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5174615</wp:posOffset>
            </wp:positionH>
            <wp:positionV relativeFrom="page">
              <wp:posOffset>670560</wp:posOffset>
            </wp:positionV>
            <wp:extent cx="1995805" cy="487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5805" cy="487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20"/>
        <w:spacing w:after="0"/>
        <w:rPr>
          <w:sz w:val="20"/>
          <w:szCs w:val="20"/>
          <w:color w:val="auto"/>
        </w:rPr>
      </w:pPr>
      <w:r>
        <w:rPr>
          <w:rFonts w:ascii="Arial" w:cs="Arial" w:eastAsia="Arial" w:hAnsi="Arial"/>
          <w:sz w:val="60"/>
          <w:szCs w:val="60"/>
          <w:color w:val="000021"/>
        </w:rPr>
        <w:t>Fiscal 2026</w:t>
      </w:r>
    </w:p>
    <w:p>
      <w:pPr>
        <w:spacing w:after="0"/>
        <w:rPr>
          <w:sz w:val="20"/>
          <w:szCs w:val="20"/>
          <w:color w:val="auto"/>
        </w:rPr>
      </w:pPr>
      <w:r>
        <w:rPr>
          <w:rFonts w:ascii="Arial" w:cs="Arial" w:eastAsia="Arial" w:hAnsi="Arial"/>
          <w:sz w:val="55"/>
          <w:szCs w:val="55"/>
          <w:color w:val="000021"/>
        </w:rPr>
        <w:t>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-501015</wp:posOffset>
            </wp:positionH>
            <wp:positionV relativeFrom="paragraph">
              <wp:posOffset>334645</wp:posOffset>
            </wp:positionV>
            <wp:extent cx="7200900" cy="6219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0900" cy="6219825"/>
                    </a:xfrm>
                    <a:prstGeom prst="rect">
                      <a:avLst/>
                    </a:prstGeom>
                    <a:noFill/>
                  </pic:spPr>
                </pic:pic>
              </a:graphicData>
            </a:graphic>
          </wp:anchor>
        </w:drawing>
      </w:r>
    </w:p>
    <w:p>
      <w:pPr>
        <w:sectPr>
          <w:pgSz w:w="12240" w:h="15840" w:orient="portrait"/>
          <w:cols w:equalWidth="0" w:num="1">
            <w:col w:w="9560"/>
          </w:cols>
          <w:pgMar w:left="1240" w:top="1440" w:right="1440" w:bottom="61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40"/>
        <w:spacing w:after="0"/>
        <w:rPr>
          <w:sz w:val="20"/>
          <w:szCs w:val="20"/>
          <w:color w:val="auto"/>
        </w:rPr>
      </w:pPr>
      <w:r>
        <w:rPr>
          <w:rFonts w:ascii="Arial" w:cs="Arial" w:eastAsia="Arial" w:hAnsi="Arial"/>
          <w:sz w:val="16"/>
          <w:szCs w:val="16"/>
          <w:color w:val="FFFFFF"/>
        </w:rPr>
        <w:t>I N N O V AT I O N W I T H P U R P O S E</w:t>
      </w:r>
    </w:p>
    <w:p>
      <w:pPr>
        <w:sectPr>
          <w:pgSz w:w="12240" w:h="15840" w:orient="portrait"/>
          <w:cols w:equalWidth="0" w:num="1">
            <w:col w:w="9560"/>
          </w:cols>
          <w:pgMar w:left="1240" w:top="1440" w:right="1440" w:bottom="610" w:gutter="0" w:footer="0" w:header="0"/>
          <w:type w:val="continuous"/>
        </w:sectPr>
      </w:pPr>
    </w:p>
    <w:bookmarkStart w:id="1" w:name="page2"/>
    <w:bookmarkEnd w:id="1"/>
    <w:p>
      <w:pPr>
        <w:spacing w:after="0" w:line="3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1079500</wp:posOffset>
            </wp:positionH>
            <wp:positionV relativeFrom="page">
              <wp:posOffset>445770</wp:posOffset>
            </wp:positionV>
            <wp:extent cx="1676400" cy="4578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6400" cy="45783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DEAR FELLOW SHAREHOLDERS,</w:t>
      </w:r>
    </w:p>
    <w:p>
      <w:pPr>
        <w:spacing w:after="0" w:line="229" w:lineRule="exact"/>
        <w:rPr>
          <w:sz w:val="20"/>
          <w:szCs w:val="20"/>
          <w:color w:val="auto"/>
        </w:rPr>
      </w:pPr>
    </w:p>
    <w:p>
      <w:pPr>
        <w:ind w:left="360" w:right="540" w:firstLine="3"/>
        <w:spacing w:after="0" w:line="300" w:lineRule="auto"/>
        <w:rPr>
          <w:sz w:val="20"/>
          <w:szCs w:val="20"/>
          <w:color w:val="auto"/>
        </w:rPr>
      </w:pPr>
      <w:r>
        <w:rPr>
          <w:rFonts w:ascii="Arial" w:cs="Arial" w:eastAsia="Arial" w:hAnsi="Arial"/>
          <w:sz w:val="17"/>
          <w:szCs w:val="17"/>
          <w:color w:val="auto"/>
        </w:rPr>
        <w:t>Fiscal 2026 was a strong year for Allegro MicroSystems (“Allegro”) and represented an important step forward in the execution of our strategy. We increased total sales 23% year-over-year to $890 million and more than doubled non-GAAP earnings per share to $0.54. This performance was driven by content expansion and share gains in Focus Auto (xEV and ADAS), and by strong growth in our data center business.</w:t>
      </w:r>
    </w:p>
    <w:p>
      <w:pPr>
        <w:spacing w:after="0" w:line="162" w:lineRule="exact"/>
        <w:rPr>
          <w:sz w:val="20"/>
          <w:szCs w:val="20"/>
          <w:color w:val="auto"/>
        </w:rPr>
      </w:pPr>
    </w:p>
    <w:p>
      <w:pPr>
        <w:ind w:left="360" w:right="560" w:hanging="2"/>
        <w:spacing w:after="0" w:line="279" w:lineRule="auto"/>
        <w:rPr>
          <w:sz w:val="20"/>
          <w:szCs w:val="20"/>
          <w:color w:val="auto"/>
        </w:rPr>
      </w:pPr>
      <w:r>
        <w:rPr>
          <w:rFonts w:ascii="Arial" w:cs="Arial" w:eastAsia="Arial" w:hAnsi="Arial"/>
          <w:sz w:val="18"/>
          <w:szCs w:val="18"/>
          <w:color w:val="auto"/>
        </w:rPr>
        <w:t>Over the past year, we took important steps to strengthen the business and better align Allegro for our next phase of growth. We continued to build on our leadership positions in magnetic sensor and power ICs through innovation and share gains. We also sharpened our commercial execution by reorganizing our sales team from a geographic structure to an end-market-focused model to better support accelerated growth in our highest-opportunity end markets across xEV, ADAS, data center and robotics.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23439E"/>
        </w:rPr>
        <w:t>Innovation and differentiation</w:t>
      </w:r>
    </w:p>
    <w:p>
      <w:pPr>
        <w:spacing w:after="0" w:line="25" w:lineRule="exact"/>
        <w:rPr>
          <w:sz w:val="20"/>
          <w:szCs w:val="20"/>
          <w:color w:val="auto"/>
        </w:rPr>
      </w:pPr>
    </w:p>
    <w:p>
      <w:pPr>
        <w:ind w:left="360" w:right="380" w:firstLine="4"/>
        <w:spacing w:after="0" w:line="294" w:lineRule="auto"/>
        <w:rPr>
          <w:sz w:val="20"/>
          <w:szCs w:val="20"/>
          <w:color w:val="auto"/>
        </w:rPr>
      </w:pPr>
      <w:r>
        <w:rPr>
          <w:rFonts w:ascii="Arial" w:cs="Arial" w:eastAsia="Arial" w:hAnsi="Arial"/>
          <w:sz w:val="17"/>
          <w:szCs w:val="17"/>
          <w:color w:val="auto"/>
        </w:rPr>
        <w:t>Innovation remains at the center of our strategy. During fiscal 2026, we achieved a near-record number of product releases and exceeded our target for the year. These releases include the industry’s first 10 MHz TMR current sensor—recognized as EDN’s 2025 Sensor Product of the Year—giving customers the highest bandwidth magnetic current sensor available for next-generation gallium nitride (“GaN”) and silicon carbide (“SiC”) power systems across xEV, data center and robotics applications. TMR ICs also represented approximately 30% of our sensor product releases during the year, reflecting continued progress in a differentiated technology</w:t>
      </w:r>
    </w:p>
    <w:p>
      <w:pPr>
        <w:spacing w:after="0" w:line="3" w:lineRule="exact"/>
        <w:rPr>
          <w:sz w:val="20"/>
          <w:szCs w:val="20"/>
          <w:color w:val="auto"/>
        </w:rPr>
      </w:pPr>
    </w:p>
    <w:p>
      <w:pPr>
        <w:ind w:left="360" w:right="520" w:firstLine="3"/>
        <w:spacing w:after="0" w:line="299" w:lineRule="auto"/>
        <w:rPr>
          <w:sz w:val="20"/>
          <w:szCs w:val="20"/>
          <w:color w:val="auto"/>
        </w:rPr>
      </w:pPr>
      <w:r>
        <w:rPr>
          <w:rFonts w:ascii="Arial" w:cs="Arial" w:eastAsia="Arial" w:hAnsi="Arial"/>
          <w:sz w:val="17"/>
          <w:szCs w:val="17"/>
          <w:color w:val="auto"/>
        </w:rPr>
        <w:t>that we believe will be increasingly important to our long-term growth. From a power IC perspective, we also launched our first isolated gate driver designed specifically for SiC transistors. This isolated gate driver features our proprietary Power Thru™ architecture, which can deliver significant power density benefits and up to 40% greater efficiency compared to competitor ICs. In aggregate, new Allegro products and technologies expand our content opportunity and support continued share gains in secular growth markets.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22"/>
          <w:szCs w:val="22"/>
          <w:color w:val="23439E"/>
        </w:rPr>
        <w:t>Executing in our highest-growth end markets</w:t>
      </w:r>
    </w:p>
    <w:p>
      <w:pPr>
        <w:spacing w:after="0" w:line="25" w:lineRule="exact"/>
        <w:rPr>
          <w:sz w:val="20"/>
          <w:szCs w:val="20"/>
          <w:color w:val="auto"/>
        </w:rPr>
      </w:pPr>
    </w:p>
    <w:p>
      <w:pPr>
        <w:ind w:left="360" w:right="500" w:hanging="4"/>
        <w:spacing w:after="0" w:line="279" w:lineRule="auto"/>
        <w:rPr>
          <w:sz w:val="20"/>
          <w:szCs w:val="20"/>
          <w:color w:val="auto"/>
        </w:rPr>
      </w:pPr>
      <w:r>
        <w:rPr>
          <w:rFonts w:ascii="Arial" w:cs="Arial" w:eastAsia="Arial" w:hAnsi="Arial"/>
          <w:sz w:val="18"/>
          <w:szCs w:val="18"/>
          <w:color w:val="auto"/>
        </w:rPr>
        <w:t>Automotive sales grew 17% in fiscal 2026, led by Focus Auto (xEV and ADAS), which increased 30% year-over-year. This growth was driven by content expansion and share gains in xEV powertrain and ADAS safety systems, including high-voltage traction inverters, onboard chargers, and advanced steering and braking systems. Our sensor and motor driver portfolios remain well-aligned with the industry’s continued transition toward electrification and higher levels of safety.</w:t>
      </w:r>
    </w:p>
    <w:p>
      <w:pPr>
        <w:spacing w:after="0" w:line="177" w:lineRule="exact"/>
        <w:rPr>
          <w:sz w:val="20"/>
          <w:szCs w:val="20"/>
          <w:color w:val="auto"/>
        </w:rPr>
      </w:pPr>
    </w:p>
    <w:p>
      <w:pPr>
        <w:ind w:left="360" w:right="420" w:firstLine="4"/>
        <w:spacing w:after="0" w:line="278" w:lineRule="auto"/>
        <w:rPr>
          <w:sz w:val="20"/>
          <w:szCs w:val="20"/>
          <w:color w:val="auto"/>
        </w:rPr>
      </w:pPr>
      <w:r>
        <w:rPr>
          <w:rFonts w:ascii="Arial" w:cs="Arial" w:eastAsia="Arial" w:hAnsi="Arial"/>
          <w:sz w:val="18"/>
          <w:szCs w:val="18"/>
          <w:color w:val="auto"/>
        </w:rPr>
        <w:t>Data center became a more meaningful growth pillar for Allegro in fiscal 2026, with sales quadrupling year-over-year to reach 10% of total sales for the year and 14% of sales in our fiscal fourth quarter. Growth was driven by strong demand for our high-efficiency motor drivers for cooling fans and increasing adoption of our high-speed current sensors in server power supplies and power backup systems. As power requirements increase in next-generation AI infrastructure, we believe our differentiated sensing and power technologies position us well in this high-growth market.</w:t>
      </w:r>
    </w:p>
    <w:p>
      <w:pPr>
        <w:spacing w:after="0" w:line="181" w:lineRule="exact"/>
        <w:rPr>
          <w:sz w:val="20"/>
          <w:szCs w:val="20"/>
          <w:color w:val="auto"/>
        </w:rPr>
      </w:pPr>
    </w:p>
    <w:p>
      <w:pPr>
        <w:ind w:left="360" w:right="680" w:firstLine="2"/>
        <w:spacing w:after="0" w:line="279" w:lineRule="auto"/>
        <w:rPr>
          <w:sz w:val="20"/>
          <w:szCs w:val="20"/>
          <w:color w:val="auto"/>
        </w:rPr>
      </w:pPr>
      <w:r>
        <w:rPr>
          <w:rFonts w:ascii="Arial" w:cs="Arial" w:eastAsia="Arial" w:hAnsi="Arial"/>
          <w:sz w:val="18"/>
          <w:szCs w:val="18"/>
          <w:color w:val="auto"/>
        </w:rPr>
        <w:t>We also advanced our position in robotics and automation, where our automotive-grade sensing and motor control technologies translate well to demanding industrial environments. Robotics and automation revenue more than doubled in fiscal 2026 from a small base, reflecting increasing adoption of our sensors in factory and building automation applications during the year, along with growing engagement and design wins with humanoid robotics customers.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23439E"/>
        </w:rPr>
        <w:t>Financial discipline and long-term value</w:t>
      </w:r>
    </w:p>
    <w:p>
      <w:pPr>
        <w:spacing w:after="0" w:line="25" w:lineRule="exact"/>
        <w:rPr>
          <w:sz w:val="20"/>
          <w:szCs w:val="20"/>
          <w:color w:val="auto"/>
        </w:rPr>
      </w:pPr>
    </w:p>
    <w:p>
      <w:pPr>
        <w:ind w:left="360" w:right="400" w:firstLine="4"/>
        <w:spacing w:after="0" w:line="278" w:lineRule="auto"/>
        <w:rPr>
          <w:sz w:val="20"/>
          <w:szCs w:val="20"/>
          <w:color w:val="auto"/>
        </w:rPr>
      </w:pPr>
      <w:r>
        <w:rPr>
          <w:rFonts w:ascii="Arial" w:cs="Arial" w:eastAsia="Arial" w:hAnsi="Arial"/>
          <w:sz w:val="18"/>
          <w:szCs w:val="18"/>
          <w:color w:val="auto"/>
        </w:rPr>
        <w:t>In parallel to sales growth, we remained highly focused on improving profitability and strengthening the balance sheet. In fiscal 2026, non-GAAP gross margin improved 140 basis points year-over-year to 49.4%, even while absorbing an approximately 200 basis point headwind from gold costs. This progress reflects our work on factory efficiencies, cost reduction initiatives, as well as product and process optimization. Stronger profitability also supported record free cash flow of $125 million, which allowed us to continue investing in the business while making $60 million of voluntary debt repayments in fiscal 2026, reducing total debt to $285 million and net debt to $116 million.</w:t>
      </w:r>
    </w:p>
    <w:p>
      <w:pPr>
        <w:sectPr>
          <w:pgSz w:w="12240" w:h="15840" w:orient="portrait"/>
          <w:cols w:equalWidth="0" w:num="1">
            <w:col w:w="9360"/>
          </w:cols>
          <w:pgMar w:left="1440" w:top="1440" w:right="1440" w:bottom="854" w:gutter="0" w:footer="0" w:header="0"/>
        </w:sectPr>
      </w:pPr>
    </w:p>
    <w:bookmarkStart w:id="2" w:name="page3"/>
    <w:bookmarkEnd w:id="2"/>
    <w:p>
      <w:pPr>
        <w:spacing w:after="0" w:line="273" w:lineRule="exact"/>
        <w:rPr>
          <w:sz w:val="20"/>
          <w:szCs w:val="20"/>
          <w:color w:val="auto"/>
        </w:rPr>
      </w:pPr>
    </w:p>
    <w:p>
      <w:pPr>
        <w:ind w:left="360"/>
        <w:spacing w:after="0"/>
        <w:rPr>
          <w:sz w:val="20"/>
          <w:szCs w:val="20"/>
          <w:color w:val="auto"/>
        </w:rPr>
      </w:pPr>
      <w:r>
        <w:rPr>
          <w:rFonts w:ascii="Arial" w:cs="Arial" w:eastAsia="Arial" w:hAnsi="Arial"/>
          <w:sz w:val="22"/>
          <w:szCs w:val="22"/>
          <w:color w:val="23439E"/>
        </w:rPr>
        <w:t>Looking ahead</w:t>
      </w:r>
    </w:p>
    <w:p>
      <w:pPr>
        <w:spacing w:after="0" w:line="25" w:lineRule="exact"/>
        <w:rPr>
          <w:sz w:val="20"/>
          <w:szCs w:val="20"/>
          <w:color w:val="auto"/>
        </w:rPr>
      </w:pPr>
    </w:p>
    <w:p>
      <w:pPr>
        <w:ind w:left="360" w:right="420" w:firstLine="3"/>
        <w:spacing w:after="0" w:line="279" w:lineRule="auto"/>
        <w:rPr>
          <w:sz w:val="20"/>
          <w:szCs w:val="20"/>
          <w:color w:val="auto"/>
        </w:rPr>
      </w:pPr>
      <w:r>
        <w:rPr>
          <w:rFonts w:ascii="Arial" w:cs="Arial" w:eastAsia="Arial" w:hAnsi="Arial"/>
          <w:sz w:val="18"/>
          <w:szCs w:val="18"/>
          <w:color w:val="auto"/>
        </w:rPr>
        <w:t>Looking ahead, our strategic and financial priorities are clear. As we outlined at our 2026 Analyst Day, we will continue extending our product leadership and deepening our position in focus markets. These markets include xEV, ADAS, data center, and robotics and automation—where our technology aligns with powerful, durable megatrends and where we see significant content expansion opportunities ahead.</w:t>
      </w:r>
    </w:p>
    <w:p>
      <w:pPr>
        <w:spacing w:after="0" w:line="177" w:lineRule="exact"/>
        <w:rPr>
          <w:sz w:val="20"/>
          <w:szCs w:val="20"/>
          <w:color w:val="auto"/>
        </w:rPr>
      </w:pPr>
    </w:p>
    <w:p>
      <w:pPr>
        <w:ind w:left="360" w:right="400" w:firstLine="3"/>
        <w:spacing w:after="0" w:line="294" w:lineRule="auto"/>
        <w:rPr>
          <w:sz w:val="20"/>
          <w:szCs w:val="20"/>
          <w:color w:val="auto"/>
        </w:rPr>
      </w:pPr>
      <w:r>
        <w:rPr>
          <w:rFonts w:ascii="Arial" w:cs="Arial" w:eastAsia="Arial" w:hAnsi="Arial"/>
          <w:sz w:val="17"/>
          <w:szCs w:val="17"/>
          <w:color w:val="auto"/>
        </w:rPr>
        <w:t>In data center, the industry is undergoing a fundamental shift—from compute-constrained to power-constrained architectures. As AI rack densities scale dramatically, the entire power delivery chain, from conversion and distribution to thermal management, requires smarter, real-time control. Allegro’s high-precision sensing</w:t>
      </w:r>
    </w:p>
    <w:p>
      <w:pPr>
        <w:spacing w:after="0" w:line="1" w:lineRule="exact"/>
        <w:rPr>
          <w:sz w:val="20"/>
          <w:szCs w:val="20"/>
          <w:color w:val="auto"/>
        </w:rPr>
      </w:pPr>
    </w:p>
    <w:p>
      <w:pPr>
        <w:ind w:left="360" w:right="700" w:firstLine="1"/>
        <w:spacing w:after="0" w:line="279" w:lineRule="auto"/>
        <w:rPr>
          <w:sz w:val="20"/>
          <w:szCs w:val="20"/>
          <w:color w:val="auto"/>
        </w:rPr>
      </w:pPr>
      <w:r>
        <w:rPr>
          <w:rFonts w:ascii="Arial" w:cs="Arial" w:eastAsia="Arial" w:hAnsi="Arial"/>
          <w:sz w:val="18"/>
          <w:szCs w:val="18"/>
          <w:color w:val="auto"/>
        </w:rPr>
        <w:t>and power technologies are increasingly central to solving this challenge, and we are actively expanding our addressable opportunity beyond cooling into power supplies, protection circuits, and high-voltage power delivery.</w:t>
      </w:r>
    </w:p>
    <w:p>
      <w:pPr>
        <w:spacing w:after="0" w:line="178" w:lineRule="exact"/>
        <w:rPr>
          <w:sz w:val="20"/>
          <w:szCs w:val="20"/>
          <w:color w:val="auto"/>
        </w:rPr>
      </w:pPr>
    </w:p>
    <w:p>
      <w:pPr>
        <w:ind w:left="360" w:right="460" w:firstLine="12"/>
        <w:spacing w:after="0" w:line="298" w:lineRule="auto"/>
        <w:rPr>
          <w:sz w:val="20"/>
          <w:szCs w:val="20"/>
          <w:color w:val="auto"/>
        </w:rPr>
      </w:pPr>
      <w:r>
        <w:rPr>
          <w:rFonts w:ascii="Arial" w:cs="Arial" w:eastAsia="Arial" w:hAnsi="Arial"/>
          <w:sz w:val="17"/>
          <w:szCs w:val="17"/>
          <w:color w:val="auto"/>
        </w:rPr>
        <w:t>What makes our positioning particularly compelling is the convergence of technology across our focus markets. The shift toward 800V architectures—driven by the need to deliver more power in less space with greater efficiency—is underway in both xEV and data center simultaneously, and Allegro’s high-voltage expertise positions us to win in both. In robotics, the same 48V power architectures and precision sensing solutions validated across billions of miles in automotive applications are now the preferred foundation for advanced humanoid and industrial platforms, creating meaningful content expansion opportunities as adoption scales.</w:t>
      </w:r>
    </w:p>
    <w:p>
      <w:pPr>
        <w:spacing w:after="0" w:line="163" w:lineRule="exact"/>
        <w:rPr>
          <w:sz w:val="20"/>
          <w:szCs w:val="20"/>
          <w:color w:val="auto"/>
        </w:rPr>
      </w:pPr>
    </w:p>
    <w:p>
      <w:pPr>
        <w:ind w:left="360" w:right="780"/>
        <w:spacing w:after="0" w:line="312" w:lineRule="auto"/>
        <w:rPr>
          <w:sz w:val="20"/>
          <w:szCs w:val="20"/>
          <w:color w:val="auto"/>
        </w:rPr>
      </w:pPr>
      <w:r>
        <w:rPr>
          <w:rFonts w:ascii="Arial" w:cs="Arial" w:eastAsia="Arial" w:hAnsi="Arial"/>
          <w:sz w:val="17"/>
          <w:szCs w:val="17"/>
          <w:color w:val="auto"/>
        </w:rPr>
        <w:t>We are laser-focused on improving gross margin and profitability as we progress toward our target financial model, while continuing to execute with the discipline that helped drive our progress in fiscal 2026.</w:t>
      </w:r>
    </w:p>
    <w:p>
      <w:pPr>
        <w:spacing w:after="0" w:line="152" w:lineRule="exact"/>
        <w:rPr>
          <w:sz w:val="20"/>
          <w:szCs w:val="20"/>
          <w:color w:val="auto"/>
        </w:rPr>
      </w:pPr>
    </w:p>
    <w:p>
      <w:pPr>
        <w:ind w:left="360" w:right="480" w:hanging="2"/>
        <w:spacing w:after="0" w:line="279" w:lineRule="auto"/>
        <w:rPr>
          <w:sz w:val="20"/>
          <w:szCs w:val="20"/>
          <w:color w:val="auto"/>
        </w:rPr>
      </w:pPr>
      <w:r>
        <w:rPr>
          <w:rFonts w:ascii="Arial" w:cs="Arial" w:eastAsia="Arial" w:hAnsi="Arial"/>
          <w:sz w:val="18"/>
          <w:szCs w:val="18"/>
          <w:color w:val="auto"/>
        </w:rPr>
        <w:t>On behalf of the entire Allegro team, thank you for your continued trust, investment, and support. I am grateful to our team, our customers, our partners, and you, our shareholders, for your contributions to Allegro’s success. It is a privilege to lead this company, and I appreciate the opportunity to build on the strong foundation we have created together.</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88900</wp:posOffset>
            </wp:positionV>
            <wp:extent cx="1371600" cy="2094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209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Mike Doogue</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and Chief Executive Officer</w:t>
      </w:r>
    </w:p>
    <w:p>
      <w:pPr>
        <w:spacing w:after="0" w:line="253" w:lineRule="exact"/>
        <w:rPr>
          <w:sz w:val="20"/>
          <w:szCs w:val="20"/>
          <w:color w:val="auto"/>
        </w:rPr>
      </w:pPr>
    </w:p>
    <w:p>
      <w:pPr>
        <w:ind w:left="360" w:right="440" w:firstLine="11"/>
        <w:spacing w:after="0" w:line="268" w:lineRule="auto"/>
        <w:rPr>
          <w:sz w:val="20"/>
          <w:szCs w:val="20"/>
          <w:color w:val="auto"/>
        </w:rPr>
      </w:pPr>
      <w:r>
        <w:rPr>
          <w:rFonts w:ascii="Arial" w:cs="Arial" w:eastAsia="Arial" w:hAnsi="Arial"/>
          <w:sz w:val="14"/>
          <w:szCs w:val="14"/>
          <w:color w:val="auto"/>
        </w:rPr>
        <w:t>Forward-looking statements disclaimer</w:t>
      </w:r>
      <w:r>
        <w:rPr>
          <w:rFonts w:ascii="Arial" w:cs="Arial" w:eastAsia="Arial" w:hAnsi="Arial"/>
          <w:sz w:val="14"/>
          <w:szCs w:val="14"/>
          <w:color w:val="2D2C36"/>
        </w:rPr>
        <w:t>: The foregoing should be read in conjunction with our consolidated financial statements and related notes</w:t>
      </w:r>
      <w:r>
        <w:rPr>
          <w:rFonts w:ascii="Arial" w:cs="Arial" w:eastAsia="Arial" w:hAnsi="Arial"/>
          <w:sz w:val="14"/>
          <w:szCs w:val="14"/>
          <w:color w:val="auto"/>
        </w:rPr>
        <w:t xml:space="preserve"> </w:t>
      </w:r>
      <w:r>
        <w:rPr>
          <w:rFonts w:ascii="Arial" w:cs="Arial" w:eastAsia="Arial" w:hAnsi="Arial"/>
          <w:sz w:val="14"/>
          <w:szCs w:val="14"/>
          <w:color w:val="2D2C36"/>
        </w:rPr>
        <w:t>and other information included elsewhere in this Annual Report. All statements other than statements of historical facts, including statements regarding our future results of operations and financial position, business strategy, prospective products, market opportunities and the plans and objectives of management for future operations, may be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could cause or contribute to those differences include, but are not limited to, those discussed in the sections titled “Risk Factors” and “Forward-Looking Statements” included elsewhere in this Annual Report.</w:t>
      </w:r>
    </w:p>
    <w:p>
      <w:pPr>
        <w:sectPr>
          <w:pgSz w:w="12240" w:h="15840" w:orient="portrait"/>
          <w:cols w:equalWidth="0" w:num="1">
            <w:col w:w="9360"/>
          </w:cols>
          <w:pgMar w:left="1440" w:top="1440" w:right="1440" w:bottom="1440" w:gutter="0" w:footer="0" w:header="0"/>
        </w:sectPr>
      </w:pPr>
    </w:p>
    <w:bookmarkStart w:id="3" w:name="page4"/>
    <w:bookmarkEnd w:id="3"/>
    <w:p>
      <w:pPr>
        <w:spacing w:after="0" w:line="268" w:lineRule="auto"/>
        <w:rPr>
          <w:sz w:val="20"/>
          <w:szCs w:val="20"/>
          <w:color w:val="auto"/>
        </w:rPr>
      </w:pPr>
    </w:p>
    <w:p>
      <w:pPr>
        <w:sectPr>
          <w:pgSz w:w="12240" w:h="15840"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607695</wp:posOffset>
                </wp:positionV>
                <wp:extent cx="6858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47.85pt" to="576pt,47.85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626745</wp:posOffset>
                </wp:positionV>
                <wp:extent cx="68580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49.35pt" to="576pt,49.35pt" o:allowincell="f" strokecolor="#000000" strokeweight="0.75pt">
                <w10:wrap anchorx="page" anchory="page"/>
              </v:line>
            </w:pict>
          </mc:Fallback>
        </mc:AlternateContent>
        <w:t>UNITED STATES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FORM 10-K</w:t>
      </w:r>
    </w:p>
    <w:p>
      <w:pPr>
        <w:spacing w:after="0" w:line="231" w:lineRule="auto"/>
        <w:rPr>
          <w:sz w:val="20"/>
          <w:szCs w:val="20"/>
          <w:color w:val="auto"/>
        </w:rPr>
      </w:pPr>
      <w:r>
        <w:rPr>
          <w:rFonts w:ascii="Times New Roman" w:cs="Times New Roman" w:eastAsia="Times New Roman" w:hAnsi="Times New Roman"/>
          <w:sz w:val="16"/>
          <w:szCs w:val="16"/>
          <w:b w:val="1"/>
          <w:bCs w:val="1"/>
          <w:color w:val="auto"/>
        </w:rPr>
        <w:t>(Mark One)</w:t>
      </w:r>
    </w:p>
    <w:p>
      <w:pPr>
        <w:ind w:left="440" w:hanging="426"/>
        <w:spacing w:after="0" w:line="226" w:lineRule="auto"/>
        <w:tabs>
          <w:tab w:leader="none" w:pos="440" w:val="left"/>
        </w:tabs>
        <w:numPr>
          <w:ilvl w:val="0"/>
          <w:numId w:val="1"/>
        </w:numPr>
        <w:rPr>
          <w:rFonts w:ascii="Segoe UI" w:cs="Segoe UI" w:eastAsia="Segoe UI" w:hAnsi="Segoe UI"/>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0" w:hanging="426"/>
        <w:spacing w:after="0"/>
        <w:tabs>
          <w:tab w:leader="none" w:pos="440" w:val="left"/>
        </w:tabs>
        <w:numPr>
          <w:ilvl w:val="0"/>
          <w:numId w:val="2"/>
        </w:numPr>
        <w:rPr>
          <w:rFonts w:ascii="Segoe UI" w:cs="Segoe UI" w:eastAsia="Segoe UI" w:hAnsi="Segoe UI"/>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 to _______________</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001-39675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87630</wp:posOffset>
                </wp:positionV>
                <wp:extent cx="13716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9pt" to="324pt,6.9pt" o:allowincell="f" strokecolor="#000000" strokeweight="0.75pt"/>
            </w:pict>
          </mc:Fallback>
        </mc:AlternateConten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ALLEGRO MICROSYSTEMS,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71120</wp:posOffset>
                </wp:positionV>
                <wp:extent cx="13716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6pt" to="324pt,5.6pt" o:allowincell="f" strokecolor="#000000" strokeweight="0.75pt"/>
            </w:pict>
          </mc:Fallback>
        </mc:AlternateConten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000" w:type="dxa"/>
            <w:vAlign w:val="bottom"/>
            <w:gridSpan w:val="3"/>
          </w:tcPr>
          <w:p>
            <w:pPr>
              <w:jc w:val="right"/>
              <w:ind w:right="2180"/>
              <w:spacing w:after="0"/>
              <w:rPr>
                <w:sz w:val="20"/>
                <w:szCs w:val="20"/>
                <w:color w:val="auto"/>
              </w:rPr>
            </w:pPr>
            <w:r>
              <w:rPr>
                <w:rFonts w:ascii="Times New Roman" w:cs="Times New Roman" w:eastAsia="Times New Roman" w:hAnsi="Times New Roman"/>
                <w:sz w:val="16"/>
                <w:szCs w:val="16"/>
                <w:b w:val="1"/>
                <w:bCs w:val="1"/>
                <w:color w:val="auto"/>
              </w:rPr>
              <w:t>46-2405937</w:t>
            </w:r>
          </w:p>
        </w:tc>
      </w:tr>
      <w:tr>
        <w:trPr>
          <w:trHeight w:val="221"/>
        </w:trPr>
        <w:tc>
          <w:tcPr>
            <w:tcW w:w="4800" w:type="dxa"/>
            <w:vAlign w:val="bottom"/>
            <w:tcBorders>
              <w:top w:val="single" w:sz="8" w:color="auto"/>
            </w:tcBorders>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20"/>
        </w:trPr>
        <w:tc>
          <w:tcPr>
            <w:tcW w:w="4800" w:type="dxa"/>
            <w:vAlign w:val="bottom"/>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955 Perimeter Road</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203"/>
        </w:trPr>
        <w:tc>
          <w:tcPr>
            <w:tcW w:w="4800" w:type="dxa"/>
            <w:vAlign w:val="bottom"/>
          </w:tcPr>
          <w:p>
            <w:pPr>
              <w:jc w:val="center"/>
              <w:ind w:left="400"/>
              <w:spacing w:after="0"/>
              <w:rPr>
                <w:sz w:val="20"/>
                <w:szCs w:val="20"/>
                <w:color w:val="auto"/>
              </w:rPr>
            </w:pPr>
            <w:r>
              <w:rPr>
                <w:rFonts w:ascii="Times New Roman" w:cs="Times New Roman" w:eastAsia="Times New Roman" w:hAnsi="Times New Roman"/>
                <w:sz w:val="16"/>
                <w:szCs w:val="16"/>
                <w:b w:val="1"/>
                <w:bCs w:val="1"/>
                <w:color w:val="auto"/>
              </w:rPr>
              <w:t>Manchester, New Hampshire</w:t>
            </w:r>
          </w:p>
        </w:tc>
        <w:tc>
          <w:tcPr>
            <w:tcW w:w="6000" w:type="dxa"/>
            <w:vAlign w:val="bottom"/>
            <w:gridSpan w:val="3"/>
          </w:tcPr>
          <w:p>
            <w:pPr>
              <w:jc w:val="right"/>
              <w:ind w:right="2360"/>
              <w:spacing w:after="0"/>
              <w:rPr>
                <w:sz w:val="20"/>
                <w:szCs w:val="20"/>
                <w:color w:val="auto"/>
              </w:rPr>
            </w:pPr>
            <w:r>
              <w:rPr>
                <w:rFonts w:ascii="Times New Roman" w:cs="Times New Roman" w:eastAsia="Times New Roman" w:hAnsi="Times New Roman"/>
                <w:sz w:val="16"/>
                <w:szCs w:val="16"/>
                <w:b w:val="1"/>
                <w:bCs w:val="1"/>
                <w:color w:val="auto"/>
              </w:rPr>
              <w:t>03103</w:t>
            </w:r>
          </w:p>
        </w:tc>
      </w:tr>
      <w:tr>
        <w:trPr>
          <w:trHeight w:val="231"/>
        </w:trPr>
        <w:tc>
          <w:tcPr>
            <w:tcW w:w="4800" w:type="dxa"/>
            <w:vAlign w:val="bottom"/>
            <w:tcBorders>
              <w:top w:val="single" w:sz="8" w:color="auto"/>
            </w:tcBorders>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5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295"/>
        </w:trPr>
        <w:tc>
          <w:tcPr>
            <w:tcW w:w="4800" w:type="dxa"/>
            <w:vAlign w:val="bottom"/>
          </w:tcPr>
          <w:p>
            <w:pPr>
              <w:spacing w:after="0"/>
              <w:rPr>
                <w:sz w:val="24"/>
                <w:szCs w:val="24"/>
                <w:color w:val="auto"/>
              </w:rPr>
            </w:pPr>
          </w:p>
        </w:tc>
        <w:tc>
          <w:tcPr>
            <w:tcW w:w="6000" w:type="dxa"/>
            <w:vAlign w:val="bottom"/>
            <w:gridSpan w:val="3"/>
          </w:tcPr>
          <w:p>
            <w:pPr>
              <w:jc w:val="right"/>
              <w:ind w:right="4820"/>
              <w:spacing w:after="0"/>
              <w:rPr>
                <w:sz w:val="20"/>
                <w:szCs w:val="20"/>
                <w:color w:val="auto"/>
              </w:rPr>
            </w:pPr>
            <w:r>
              <w:rPr>
                <w:rFonts w:ascii="Times New Roman" w:cs="Times New Roman" w:eastAsia="Times New Roman" w:hAnsi="Times New Roman"/>
                <w:sz w:val="16"/>
                <w:szCs w:val="16"/>
                <w:b w:val="1"/>
                <w:bCs w:val="1"/>
                <w:color w:val="auto"/>
              </w:rPr>
              <w:t>(603) 626-2300</w:t>
            </w:r>
          </w:p>
        </w:tc>
      </w:tr>
    </w:tbl>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71120</wp:posOffset>
                </wp:positionV>
                <wp:extent cx="13716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6pt" to="324pt,5.6pt" o:allowincell="f" strokecolor="#000000" strokeweight="0.75pt"/>
            </w:pict>
          </mc:Fallback>
        </mc:AlternateConten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203"/>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00" w:type="dxa"/>
            <w:vAlign w:val="bottom"/>
          </w:tcPr>
          <w:p>
            <w:pPr>
              <w:spacing w:after="0"/>
              <w:rPr>
                <w:sz w:val="17"/>
                <w:szCs w:val="17"/>
                <w:color w:val="auto"/>
              </w:rPr>
            </w:pPr>
          </w:p>
        </w:tc>
        <w:tc>
          <w:tcPr>
            <w:tcW w:w="4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40"/>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ALGM</w:t>
            </w:r>
          </w:p>
        </w:tc>
        <w:tc>
          <w:tcPr>
            <w:tcW w:w="100" w:type="dxa"/>
            <w:vAlign w:val="bottom"/>
          </w:tcPr>
          <w:p>
            <w:pPr>
              <w:spacing w:after="0"/>
              <w:rPr>
                <w:sz w:val="20"/>
                <w:szCs w:val="20"/>
                <w:color w:val="auto"/>
              </w:rPr>
            </w:pPr>
          </w:p>
        </w:tc>
        <w:tc>
          <w:tcPr>
            <w:tcW w:w="4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8160" w:type="dxa"/>
            <w:vAlign w:val="bottom"/>
            <w:gridSpan w:val="5"/>
          </w:tcPr>
          <w:p>
            <w:pPr>
              <w:jc w:val="center"/>
              <w:ind w:left="2558"/>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2640" w:type="dxa"/>
            <w:vAlign w:val="bottom"/>
          </w:tcPr>
          <w:p>
            <w:pPr>
              <w:spacing w:after="0"/>
              <w:rPr>
                <w:sz w:val="22"/>
                <w:szCs w:val="22"/>
                <w:color w:val="auto"/>
              </w:rPr>
            </w:pPr>
          </w:p>
        </w:tc>
      </w:tr>
      <w:tr>
        <w:trPr>
          <w:trHeight w:val="349"/>
        </w:trPr>
        <w:tc>
          <w:tcPr>
            <w:tcW w:w="81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w:cs="Segoe UI" w:eastAsia="Segoe UI" w:hAnsi="Segoe UI"/>
                <w:sz w:val="16"/>
                <w:szCs w:val="16"/>
                <w:color w:val="auto"/>
              </w:rPr>
              <w:t>շ</w:t>
            </w:r>
          </w:p>
        </w:tc>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w:cs="Segoe UI" w:eastAsia="Segoe UI" w:hAnsi="Segoe UI"/>
                <w:sz w:val="16"/>
                <w:szCs w:val="16"/>
                <w:color w:val="auto"/>
              </w:rPr>
              <w:t>ն</w:t>
            </w:r>
          </w:p>
        </w:tc>
      </w:tr>
      <w:tr>
        <w:trPr>
          <w:trHeight w:val="293"/>
        </w:trPr>
        <w:tc>
          <w:tcPr>
            <w:tcW w:w="81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Segoe UI" w:cs="Segoe UI" w:eastAsia="Segoe UI" w:hAnsi="Segoe UI"/>
                <w:sz w:val="16"/>
                <w:szCs w:val="16"/>
                <w:color w:val="auto"/>
              </w:rPr>
              <w:t>ն</w:t>
            </w:r>
          </w:p>
        </w:tc>
        <w:tc>
          <w:tcPr>
            <w:tcW w:w="2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w:cs="Segoe UI" w:eastAsia="Segoe UI" w:hAnsi="Segoe UI"/>
                <w:sz w:val="16"/>
                <w:szCs w:val="16"/>
                <w:color w:val="auto"/>
              </w:rPr>
              <w:t>շ</w:t>
            </w:r>
          </w:p>
        </w:tc>
      </w:tr>
    </w:tbl>
    <w:p>
      <w:pPr>
        <w:spacing w:after="0" w:line="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0"/>
          <w:szCs w:val="20"/>
          <w:color w:val="auto"/>
        </w:rPr>
      </w:pPr>
    </w:p>
    <w:p>
      <w:pPr>
        <w:spacing w:after="0"/>
        <w:tabs>
          <w:tab w:leader="none" w:pos="520" w:val="left"/>
          <w:tab w:leader="none" w:pos="114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Segoe UI" w:cs="Segoe UI" w:eastAsia="Segoe UI" w:hAnsi="Segoe UI"/>
          <w:sz w:val="16"/>
          <w:szCs w:val="16"/>
          <w:color w:val="auto"/>
        </w:rPr>
        <w:t>շ</w:t>
      </w:r>
      <w:r>
        <w:rPr>
          <w:rFonts w:ascii="Times New Roman" w:cs="Times New Roman" w:eastAsia="Times New Roman" w:hAnsi="Times New Roman"/>
          <w:sz w:val="16"/>
          <w:szCs w:val="16"/>
          <w:color w:val="auto"/>
        </w:rPr>
        <w:tab/>
        <w:t xml:space="preserve">No </w:t>
      </w:r>
      <w:r>
        <w:rPr>
          <w:rFonts w:ascii="Segoe UI" w:cs="Segoe UI" w:eastAsia="Segoe UI" w:hAnsi="Segoe UI"/>
          <w:sz w:val="16"/>
          <w:szCs w:val="16"/>
          <w:color w:val="auto"/>
        </w:rPr>
        <w:t>ն</w:t>
      </w:r>
    </w:p>
    <w:p>
      <w:pPr>
        <w:spacing w:after="0" w:line="6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6"/>
          <w:szCs w:val="16"/>
          <w:color w:val="auto"/>
        </w:rPr>
        <w:t>շ</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ն</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80" w:type="dxa"/>
            <w:vAlign w:val="bottom"/>
          </w:tcPr>
          <w:p>
            <w:pPr>
              <w:ind w:left="400"/>
              <w:spacing w:after="0"/>
              <w:rPr>
                <w:sz w:val="20"/>
                <w:szCs w:val="20"/>
                <w:color w:val="auto"/>
              </w:rPr>
            </w:pPr>
            <w:r>
              <w:rPr>
                <w:rFonts w:ascii="Segoe UI" w:cs="Segoe UI" w:eastAsia="Segoe UI" w:hAnsi="Segoe UI"/>
                <w:sz w:val="16"/>
                <w:szCs w:val="16"/>
                <w:color w:val="auto"/>
              </w:rPr>
              <w:t>շ</w:t>
            </w:r>
          </w:p>
        </w:tc>
        <w:tc>
          <w:tcPr>
            <w:tcW w:w="49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80"/>
              <w:spacing w:after="0"/>
              <w:rPr>
                <w:sz w:val="20"/>
                <w:szCs w:val="20"/>
                <w:color w:val="auto"/>
              </w:rPr>
            </w:pPr>
            <w:r>
              <w:rPr>
                <w:rFonts w:ascii="Segoe UI" w:cs="Segoe UI" w:eastAsia="Segoe UI" w:hAnsi="Segoe UI"/>
                <w:sz w:val="16"/>
                <w:szCs w:val="16"/>
                <w:color w:val="auto"/>
              </w:rPr>
              <w:t>ն</w:t>
            </w:r>
          </w:p>
        </w:tc>
      </w:tr>
      <w:tr>
        <w:trPr>
          <w:trHeight w:val="21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80" w:type="dxa"/>
            <w:vAlign w:val="bottom"/>
          </w:tcPr>
          <w:p>
            <w:pPr>
              <w:ind w:left="400"/>
              <w:spacing w:after="0"/>
              <w:rPr>
                <w:sz w:val="20"/>
                <w:szCs w:val="20"/>
                <w:color w:val="auto"/>
              </w:rPr>
            </w:pPr>
            <w:r>
              <w:rPr>
                <w:rFonts w:ascii="Segoe UI" w:cs="Segoe UI" w:eastAsia="Segoe UI" w:hAnsi="Segoe UI"/>
                <w:sz w:val="16"/>
                <w:szCs w:val="16"/>
                <w:color w:val="auto"/>
              </w:rPr>
              <w:t>ն</w:t>
            </w:r>
          </w:p>
        </w:tc>
        <w:tc>
          <w:tcPr>
            <w:tcW w:w="49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80"/>
              <w:spacing w:after="0"/>
              <w:rPr>
                <w:sz w:val="20"/>
                <w:szCs w:val="20"/>
                <w:color w:val="auto"/>
              </w:rPr>
            </w:pPr>
            <w:r>
              <w:rPr>
                <w:rFonts w:ascii="Segoe UI" w:cs="Segoe UI" w:eastAsia="Segoe UI" w:hAnsi="Segoe UI"/>
                <w:sz w:val="16"/>
                <w:szCs w:val="16"/>
                <w:color w:val="auto"/>
              </w:rPr>
              <w:t>ն</w:t>
            </w:r>
          </w:p>
        </w:tc>
      </w:tr>
      <w:tr>
        <w:trPr>
          <w:trHeight w:val="261"/>
        </w:trPr>
        <w:tc>
          <w:tcPr>
            <w:tcW w:w="18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9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580"/>
              <w:spacing w:after="0"/>
              <w:rPr>
                <w:sz w:val="20"/>
                <w:szCs w:val="20"/>
                <w:color w:val="auto"/>
              </w:rPr>
            </w:pPr>
            <w:r>
              <w:rPr>
                <w:rFonts w:ascii="Segoe UI" w:cs="Segoe UI" w:eastAsia="Segoe UI" w:hAnsi="Segoe UI"/>
                <w:sz w:val="16"/>
                <w:szCs w:val="16"/>
                <w:color w:val="auto"/>
              </w:rPr>
              <w:t>ն</w:t>
            </w:r>
          </w:p>
        </w:tc>
      </w:tr>
    </w:tbl>
    <w:p>
      <w:pPr>
        <w:spacing w:after="0" w:line="47"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auto"/>
        </w:rPr>
        <w:t>ն</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color w:val="auto"/>
        </w:rPr>
        <w:t>շ</w:t>
      </w:r>
    </w:p>
    <w:p>
      <w:pPr>
        <w:spacing w:after="0" w:line="65"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auto"/>
        </w:rPr>
        <w:t>ն</w:t>
      </w:r>
    </w:p>
    <w:p>
      <w:pPr>
        <w:spacing w:after="0" w:line="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auto"/>
        </w:rPr>
        <w:t>ն</w:t>
      </w:r>
    </w:p>
    <w:p>
      <w:pPr>
        <w:spacing w:after="0" w:line="1" w:lineRule="exact"/>
        <w:rPr>
          <w:sz w:val="20"/>
          <w:szCs w:val="20"/>
          <w:color w:val="auto"/>
        </w:rPr>
      </w:pPr>
    </w:p>
    <w:p>
      <w:pPr>
        <w:spacing w:after="0"/>
        <w:tabs>
          <w:tab w:leader="none" w:pos="72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Segoe UI" w:cs="Segoe UI" w:eastAsia="Segoe UI" w:hAnsi="Segoe UI"/>
          <w:sz w:val="16"/>
          <w:szCs w:val="16"/>
          <w:color w:val="auto"/>
        </w:rPr>
        <w:t>ն</w:t>
      </w:r>
      <w:r>
        <w:rPr>
          <w:rFonts w:ascii="Times New Roman" w:cs="Times New Roman" w:eastAsia="Times New Roman" w:hAnsi="Times New Roman"/>
          <w:sz w:val="16"/>
          <w:szCs w:val="16"/>
          <w:color w:val="auto"/>
        </w:rPr>
        <w:tab/>
        <w:t xml:space="preserve">No </w:t>
      </w:r>
      <w:r>
        <w:rPr>
          <w:rFonts w:ascii="Segoe UI" w:cs="Segoe UI" w:eastAsia="Segoe UI" w:hAnsi="Segoe UI"/>
          <w:sz w:val="16"/>
          <w:szCs w:val="16"/>
          <w:color w:val="auto"/>
        </w:rPr>
        <w:t>շ</w:t>
      </w:r>
    </w:p>
    <w:p>
      <w:pPr>
        <w:spacing w:after="0" w:line="8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As of September 26, 2025, the last business day of the registrant’s most recently completed second fiscal quarter, the aggregate market value of the voting and non-voting common equity held by non-affiliates was $3,703,521,114 based on the closing sale price as reported on The NASDAQ Stock Market LLC on such date.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May 18, 2026, the registrant had 186,222,406 shares of common stock, $0.01 par value per share, outstanding.</w:t>
      </w:r>
    </w:p>
    <w:p>
      <w:pPr>
        <w:spacing w:after="0" w:line="7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Portions of the registrant’s proxy statement for its 2026 Annual Meeting of Stockholders to be filed pursuant to Regulation 14A within 120 days of the end of the registrant’s fiscal year ended March 27, 2026 are incorporated by reference into Part III of this Annual Report on Form 10-K to the extent stated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63500</wp:posOffset>
                </wp:positionV>
                <wp:extent cx="68580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pt" to="540pt,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82550</wp:posOffset>
                </wp:positionV>
                <wp:extent cx="68580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5pt" to="540pt,6.5pt" o:allowincell="f" strokecolor="#000000" strokeweight="0.75pt"/>
            </w:pict>
          </mc:Fallback>
        </mc:AlternateContent>
      </w:r>
    </w:p>
    <w:p>
      <w:pPr>
        <w:sectPr>
          <w:pgSz w:w="12240" w:h="15840" w:orient="portrait"/>
          <w:cols w:equalWidth="0" w:num="1">
            <w:col w:w="10800"/>
          </w:cols>
          <w:pgMar w:left="720" w:top="991" w:right="720" w:bottom="566"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4"/>
        </w:trPr>
        <w:tc>
          <w:tcPr>
            <w:tcW w:w="1020" w:type="dxa"/>
            <w:vAlign w:val="bottom"/>
          </w:tcPr>
          <w:p>
            <w:pPr>
              <w:spacing w:after="0"/>
              <w:rPr>
                <w:sz w:val="23"/>
                <w:szCs w:val="23"/>
                <w:color w:val="auto"/>
              </w:rPr>
            </w:pPr>
          </w:p>
        </w:tc>
        <w:tc>
          <w:tcPr>
            <w:tcW w:w="8700" w:type="dxa"/>
            <w:vAlign w:val="bottom"/>
          </w:tcPr>
          <w:p>
            <w:pPr>
              <w:ind w:left="33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08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020" w:type="dxa"/>
            <w:vAlign w:val="bottom"/>
          </w:tcPr>
          <w:p>
            <w:pPr>
              <w:spacing w:after="0"/>
              <w:rPr>
                <w:sz w:val="23"/>
                <w:szCs w:val="23"/>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Forward Looking Statements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8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Business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Risk Factors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Cybersecurity</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Properties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Legal Proceedings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49"/>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Mine Safety Disclosures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74"/>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87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5.</w:t>
            </w:r>
          </w:p>
        </w:tc>
        <w:tc>
          <w:tcPr>
            <w:tcW w:w="87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020" w:type="dxa"/>
            <w:vAlign w:val="bottom"/>
            <w:vMerge w:val="continue"/>
          </w:tcPr>
          <w:p>
            <w:pPr>
              <w:spacing w:after="0"/>
              <w:rPr>
                <w:sz w:val="13"/>
                <w:szCs w:val="13"/>
                <w:color w:val="auto"/>
              </w:rPr>
            </w:pPr>
          </w:p>
        </w:tc>
        <w:tc>
          <w:tcPr>
            <w:tcW w:w="87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Securities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79"/>
        </w:trPr>
        <w:tc>
          <w:tcPr>
            <w:tcW w:w="1020" w:type="dxa"/>
            <w:vAlign w:val="bottom"/>
          </w:tcPr>
          <w:p>
            <w:pPr>
              <w:spacing w:after="0"/>
              <w:rPr>
                <w:sz w:val="6"/>
                <w:szCs w:val="6"/>
                <w:color w:val="auto"/>
              </w:rPr>
            </w:pPr>
          </w:p>
        </w:tc>
        <w:tc>
          <w:tcPr>
            <w:tcW w:w="87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Controls and Procedures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 Information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49"/>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Executive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49"/>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Exhibit and Financial Statement Schedules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10-K Summary</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Signatures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53"/>
        </w:trPr>
        <w:tc>
          <w:tcPr>
            <w:tcW w:w="1020" w:type="dxa"/>
            <w:vAlign w:val="bottom"/>
          </w:tcPr>
          <w:p>
            <w:pPr>
              <w:spacing w:after="0"/>
              <w:rPr>
                <w:sz w:val="22"/>
                <w:szCs w:val="22"/>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Index to Consolidated Financial Statements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w:t>
            </w:r>
          </w:p>
        </w:tc>
        <w:tc>
          <w:tcPr>
            <w:tcW w:w="0" w:type="dxa"/>
            <w:vAlign w:val="bottom"/>
          </w:tcPr>
          <w:p>
            <w:pPr>
              <w:spacing w:after="0"/>
              <w:rPr>
                <w:sz w:val="1"/>
                <w:szCs w:val="1"/>
                <w:color w:val="auto"/>
              </w:rPr>
            </w:pPr>
          </w:p>
        </w:tc>
      </w:tr>
      <w:tr>
        <w:trPr>
          <w:trHeight w:val="276"/>
        </w:trPr>
        <w:tc>
          <w:tcPr>
            <w:tcW w:w="1020" w:type="dxa"/>
            <w:vAlign w:val="bottom"/>
          </w:tcPr>
          <w:p>
            <w:pPr>
              <w:spacing w:after="0"/>
              <w:rPr>
                <w:sz w:val="24"/>
                <w:szCs w:val="24"/>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F-2</w:t>
            </w:r>
          </w:p>
        </w:tc>
        <w:tc>
          <w:tcPr>
            <w:tcW w:w="0" w:type="dxa"/>
            <w:vAlign w:val="bottom"/>
          </w:tcPr>
          <w:p>
            <w:pPr>
              <w:spacing w:after="0"/>
              <w:rPr>
                <w:sz w:val="1"/>
                <w:szCs w:val="1"/>
                <w:color w:val="auto"/>
              </w:rPr>
            </w:pPr>
          </w:p>
        </w:tc>
      </w:tr>
      <w:tr>
        <w:trPr>
          <w:trHeight w:val="276"/>
        </w:trPr>
        <w:tc>
          <w:tcPr>
            <w:tcW w:w="1020" w:type="dxa"/>
            <w:vAlign w:val="bottom"/>
          </w:tcPr>
          <w:p>
            <w:pPr>
              <w:spacing w:after="0"/>
              <w:rPr>
                <w:sz w:val="24"/>
                <w:szCs w:val="24"/>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F-4</w:t>
            </w:r>
          </w:p>
        </w:tc>
        <w:tc>
          <w:tcPr>
            <w:tcW w:w="0" w:type="dxa"/>
            <w:vAlign w:val="bottom"/>
          </w:tcPr>
          <w:p>
            <w:pPr>
              <w:spacing w:after="0"/>
              <w:rPr>
                <w:sz w:val="1"/>
                <w:szCs w:val="1"/>
                <w:color w:val="auto"/>
              </w:rPr>
            </w:pPr>
          </w:p>
        </w:tc>
      </w:tr>
      <w:tr>
        <w:trPr>
          <w:trHeight w:val="289"/>
        </w:trPr>
        <w:tc>
          <w:tcPr>
            <w:tcW w:w="1020" w:type="dxa"/>
            <w:vAlign w:val="bottom"/>
          </w:tcPr>
          <w:p>
            <w:pPr>
              <w:spacing w:after="0"/>
              <w:rPr>
                <w:sz w:val="24"/>
                <w:szCs w:val="24"/>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Consolidated Statements of Operations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F-5</w:t>
            </w:r>
          </w:p>
        </w:tc>
        <w:tc>
          <w:tcPr>
            <w:tcW w:w="0" w:type="dxa"/>
            <w:vAlign w:val="bottom"/>
          </w:tcPr>
          <w:p>
            <w:pPr>
              <w:spacing w:after="0"/>
              <w:rPr>
                <w:sz w:val="1"/>
                <w:szCs w:val="1"/>
                <w:color w:val="auto"/>
              </w:rPr>
            </w:pPr>
          </w:p>
        </w:tc>
      </w:tr>
      <w:tr>
        <w:trPr>
          <w:trHeight w:val="276"/>
        </w:trPr>
        <w:tc>
          <w:tcPr>
            <w:tcW w:w="1020" w:type="dxa"/>
            <w:vAlign w:val="bottom"/>
          </w:tcPr>
          <w:p>
            <w:pPr>
              <w:spacing w:after="0"/>
              <w:rPr>
                <w:sz w:val="24"/>
                <w:szCs w:val="24"/>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Consolidated Statements of Comprehensive (Loss)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F-6</w:t>
            </w:r>
          </w:p>
        </w:tc>
        <w:tc>
          <w:tcPr>
            <w:tcW w:w="0" w:type="dxa"/>
            <w:vAlign w:val="bottom"/>
          </w:tcPr>
          <w:p>
            <w:pPr>
              <w:spacing w:after="0"/>
              <w:rPr>
                <w:sz w:val="1"/>
                <w:szCs w:val="1"/>
                <w:color w:val="auto"/>
              </w:rPr>
            </w:pPr>
          </w:p>
        </w:tc>
      </w:tr>
      <w:tr>
        <w:trPr>
          <w:trHeight w:val="276"/>
        </w:trPr>
        <w:tc>
          <w:tcPr>
            <w:tcW w:w="1020" w:type="dxa"/>
            <w:vAlign w:val="bottom"/>
          </w:tcPr>
          <w:p>
            <w:pPr>
              <w:spacing w:after="0"/>
              <w:rPr>
                <w:sz w:val="24"/>
                <w:szCs w:val="24"/>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Consolidated Statements of Changes in Stockholders’ Equity</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F-7</w:t>
            </w:r>
          </w:p>
        </w:tc>
        <w:tc>
          <w:tcPr>
            <w:tcW w:w="0" w:type="dxa"/>
            <w:vAlign w:val="bottom"/>
          </w:tcPr>
          <w:p>
            <w:pPr>
              <w:spacing w:after="0"/>
              <w:rPr>
                <w:sz w:val="1"/>
                <w:szCs w:val="1"/>
                <w:color w:val="auto"/>
              </w:rPr>
            </w:pPr>
          </w:p>
        </w:tc>
      </w:tr>
      <w:tr>
        <w:trPr>
          <w:trHeight w:val="276"/>
        </w:trPr>
        <w:tc>
          <w:tcPr>
            <w:tcW w:w="1020" w:type="dxa"/>
            <w:vAlign w:val="bottom"/>
          </w:tcPr>
          <w:p>
            <w:pPr>
              <w:spacing w:after="0"/>
              <w:rPr>
                <w:sz w:val="24"/>
                <w:szCs w:val="24"/>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F-8</w:t>
            </w:r>
          </w:p>
        </w:tc>
        <w:tc>
          <w:tcPr>
            <w:tcW w:w="0" w:type="dxa"/>
            <w:vAlign w:val="bottom"/>
          </w:tcPr>
          <w:p>
            <w:pPr>
              <w:spacing w:after="0"/>
              <w:rPr>
                <w:sz w:val="1"/>
                <w:szCs w:val="1"/>
                <w:color w:val="auto"/>
              </w:rPr>
            </w:pPr>
          </w:p>
        </w:tc>
      </w:tr>
      <w:tr>
        <w:trPr>
          <w:trHeight w:val="276"/>
        </w:trPr>
        <w:tc>
          <w:tcPr>
            <w:tcW w:w="1020" w:type="dxa"/>
            <w:vAlign w:val="bottom"/>
          </w:tcPr>
          <w:p>
            <w:pPr>
              <w:spacing w:after="0"/>
              <w:rPr>
                <w:sz w:val="24"/>
                <w:szCs w:val="24"/>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-6056630</wp:posOffset>
            </wp:positionV>
            <wp:extent cx="6858000" cy="6046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extLst>
                    </a:blip>
                    <a:srcRect/>
                    <a:stretch>
                      <a:fillRect/>
                    </a:stretch>
                  </pic:blipFill>
                  <pic:spPr bwMode="auto">
                    <a:xfrm>
                      <a:off x="0" y="0"/>
                      <a:ext cx="6858000" cy="6046470"/>
                    </a:xfrm>
                    <a:prstGeom prst="rect">
                      <a:avLst/>
                    </a:prstGeom>
                    <a:noFill/>
                  </pic:spPr>
                </pic:pic>
              </a:graphicData>
            </a:graphic>
          </wp:anchor>
        </w:drawing>
      </w:r>
    </w:p>
    <w:p>
      <w:pPr>
        <w:sectPr>
          <w:pgSz w:w="12240" w:h="15840" w:orient="portrait"/>
          <w:cols w:equalWidth="0" w:num="1">
            <w:col w:w="10800"/>
          </w:cols>
          <w:pgMar w:left="720" w:top="926" w:right="72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44"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This Annual Report on Form 10-K (the “Annual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Annual Report, including statements regarding our future results of operations and financial position, business strategy, prospective products and the plans and objectives of management for future operations, may be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6"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Statements regarding our future results of operations and financial position, business strategy and plans and objectives of management for future operations, including, among others, statements regarding the liquidity, growth and profitability strategies and factors and trends affecting our business are forward-looking statements. Without limiting the foregoing, in some cases, you can identify forward-looking statements by terms such as “aim,” “may,” “will,” “should,” “expect,” “exploring,” “plan,” “anticipate,” “could,” “intend,” “target,” “project,” “would,” “contemplate,” “believe,” “estimate,” “predict,” “potential,” “seek,”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82"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II, Item 7. “Management’s Discussion and Analysis of Financial Condition and Results of Operations” and Part I, Item 1A. “Risk Factors” in this Annual Report. These risks and uncertainties include, but are not limited to:</w:t>
      </w:r>
    </w:p>
    <w:p>
      <w:pPr>
        <w:spacing w:after="0" w:line="20" w:lineRule="exact"/>
        <w:rPr>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downturns or volatility in general economic conditions;</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effectively, expand our market share and increase our net sales and profitability;</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a limited number of third-party semiconductor wafer fabrication facilities and suppliers of other materials;</w:t>
      </w:r>
    </w:p>
    <w:p>
      <w:pPr>
        <w:spacing w:after="0" w:line="60" w:lineRule="exact"/>
        <w:rPr>
          <w:rFonts w:ascii="Times New Roman" w:cs="Times New Roman" w:eastAsia="Times New Roman" w:hAnsi="Times New Roman"/>
          <w:sz w:val="20"/>
          <w:szCs w:val="20"/>
          <w:color w:val="auto"/>
        </w:rPr>
      </w:pPr>
    </w:p>
    <w:p>
      <w:pPr>
        <w:ind w:left="720" w:hanging="360"/>
        <w:spacing w:after="0" w:line="27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to adjust purchase commitments and inventory management based on changing market conditions or customer demand;</w:t>
      </w: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cyclical nature of the semiconductor industry, including the analog segment in which we compete;</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downturn or disruption in the automotive market or industry;</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integrate the acquisition of other companies or technologies and products into our business;</w:t>
      </w:r>
    </w:p>
    <w:p>
      <w:pPr>
        <w:spacing w:after="0" w:line="60" w:lineRule="exact"/>
        <w:rPr>
          <w:rFonts w:ascii="Times New Roman" w:cs="Times New Roman" w:eastAsia="Times New Roman" w:hAnsi="Times New Roman"/>
          <w:sz w:val="20"/>
          <w:szCs w:val="20"/>
          <w:color w:val="auto"/>
        </w:rPr>
      </w:pPr>
    </w:p>
    <w:p>
      <w:pPr>
        <w:ind w:left="720" w:hanging="360"/>
        <w:spacing w:after="0" w:line="27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or improve our gross margins may be adversely affected by decreases in average selling prices of our products, increases in input costs, or shifts in product, customer or channel mix;</w:t>
      </w:r>
    </w:p>
    <w:p>
      <w:pPr>
        <w:ind w:left="720" w:hanging="360"/>
        <w:spacing w:after="0" w:line="27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any sustained yield problems or other delays at our third-party wafer fabrication facilities or in the final assembly and test of our products;</w:t>
      </w: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accurately predict our quarterly net sales and operating results and meet the expectations of investors;</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manufacturing operations in the Philippines;</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distributors to generate sales;</w:t>
      </w:r>
    </w:p>
    <w:p>
      <w:pPr>
        <w:spacing w:after="0" w:line="60" w:lineRule="exact"/>
        <w:rPr>
          <w:rFonts w:ascii="Times New Roman" w:cs="Times New Roman" w:eastAsia="Times New Roman" w:hAnsi="Times New Roman"/>
          <w:sz w:val="20"/>
          <w:szCs w:val="20"/>
          <w:color w:val="auto"/>
        </w:rPr>
      </w:pPr>
    </w:p>
    <w:p>
      <w:pPr>
        <w:ind w:left="720" w:hanging="360"/>
        <w:spacing w:after="0" w:line="27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events beyond our control impacting us, our key suppliers or our manufacturing partners or other third-party suppliers of components, materials or subassemblies, including the Middle East conflicts;</w:t>
      </w: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new product features or new products in a timely and cost-effective manner;</w:t>
      </w:r>
    </w:p>
    <w:p>
      <w:pPr>
        <w:spacing w:after="0" w:line="60" w:lineRule="exact"/>
        <w:rPr>
          <w:rFonts w:ascii="Times New Roman" w:cs="Times New Roman" w:eastAsia="Times New Roman" w:hAnsi="Times New Roman"/>
          <w:sz w:val="20"/>
          <w:szCs w:val="20"/>
          <w:color w:val="auto"/>
        </w:rPr>
      </w:pPr>
    </w:p>
    <w:p>
      <w:pPr>
        <w:jc w:val="both"/>
        <w:ind w:left="720" w:hanging="360"/>
        <w:spacing w:after="0" w:line="258"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growth in the end markets that use our products, and the impact that slowdowns in such growth—including as a result of volatility in demand for emerging technologies or changes in government incentives—could have on our financial results;</w:t>
      </w:r>
    </w:p>
    <w:p>
      <w:pPr>
        <w:spacing w:after="0" w:line="8"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one or more significant customers;</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identify, enter and expand in new markets, and to generate returns on such investments;</w:t>
      </w:r>
    </w:p>
    <w:p>
      <w:pPr>
        <w:spacing w:after="0" w:line="60" w:lineRule="exact"/>
        <w:rPr>
          <w:rFonts w:ascii="Times New Roman" w:cs="Times New Roman" w:eastAsia="Times New Roman" w:hAnsi="Times New Roman"/>
          <w:sz w:val="20"/>
          <w:szCs w:val="20"/>
          <w:color w:val="auto"/>
        </w:rPr>
      </w:pPr>
    </w:p>
    <w:p>
      <w:pPr>
        <w:ind w:left="720" w:hanging="360"/>
        <w:spacing w:after="0" w:line="27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related to the design win process and our ability to recover design and development expenses and to generate timely or sufficient net sales or margins;</w:t>
      </w: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government trade policies, including the imposition of export restrictions and tariffs;</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exposures to warranty claims, customer quality claims, product liability claims and product recalls;</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international customers and operations;</w:t>
      </w:r>
    </w:p>
    <w:p>
      <w:pPr>
        <w:sectPr>
          <w:pgSz w:w="12240" w:h="15840" w:orient="portrait"/>
          <w:cols w:equalWidth="0" w:num="1">
            <w:col w:w="10800"/>
          </w:cols>
          <w:pgMar w:left="720" w:top="926" w:right="720" w:bottom="175"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800"/>
          </w:cols>
          <w:pgMar w:left="720" w:top="926" w:right="720" w:bottom="175" w:gutter="0" w:footer="0" w:header="0"/>
          <w:type w:val="continuous"/>
        </w:sectPr>
      </w:pPr>
    </w:p>
    <w:bookmarkStart w:id="7" w:name="page8"/>
    <w:bookmarkEnd w:id="7"/>
    <w:p>
      <w:pPr>
        <w:jc w:val="both"/>
        <w:ind w:left="720" w:hanging="360"/>
        <w:spacing w:after="0" w:line="252"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liabilities, costs and obligations related to governmental regulations and other legal obligations, including export/trade control, privacy, data protection, information security, cybersecurity, consumer protection, environmental and occupational health and safety, antitrust, anti-corruption and anti-bribery, product safety, environmental protection, employment matters, and tax;</w:t>
      </w:r>
    </w:p>
    <w:p>
      <w:pPr>
        <w:spacing w:after="0" w:line="14"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volatility of currency exchange rates;</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raise capital to support our growth strategy;</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indebtedness may limit our flexibility to operate our business;</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key and highly skilled personnel;</w:t>
      </w:r>
    </w:p>
    <w:p>
      <w:pPr>
        <w:spacing w:after="0" w:line="60" w:lineRule="exact"/>
        <w:rPr>
          <w:rFonts w:ascii="Times New Roman" w:cs="Times New Roman" w:eastAsia="Times New Roman" w:hAnsi="Times New Roman"/>
          <w:sz w:val="20"/>
          <w:szCs w:val="20"/>
          <w:color w:val="auto"/>
        </w:rPr>
      </w:pPr>
    </w:p>
    <w:p>
      <w:pPr>
        <w:ind w:left="720" w:hanging="360"/>
        <w:spacing w:after="0" w:line="27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that future sales of our common stock by large stockholders, or the perception that such sales could occur, may have on the market price of our common stock;</w:t>
      </w: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restructuring activities on our business and operating results;</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our proprietary technology and inventions through patents or trade secrets;</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commercialize our products without infringing third-party intellectual property rights;</w:t>
      </w:r>
    </w:p>
    <w:p>
      <w:pPr>
        <w:spacing w:after="0" w:line="60" w:lineRule="exact"/>
        <w:rPr>
          <w:rFonts w:ascii="Times New Roman" w:cs="Times New Roman" w:eastAsia="Times New Roman" w:hAnsi="Times New Roman"/>
          <w:sz w:val="20"/>
          <w:szCs w:val="20"/>
          <w:color w:val="auto"/>
        </w:rPr>
      </w:pPr>
    </w:p>
    <w:p>
      <w:pPr>
        <w:ind w:left="720" w:hanging="360"/>
        <w:spacing w:after="0" w:line="27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or breaches of our information technology systems or confidential information or those of our third-party service providers;</w:t>
      </w:r>
    </w:p>
    <w:p>
      <w:pPr>
        <w:ind w:left="720" w:hanging="360"/>
        <w:spacing w:after="0" w:line="27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presented by the use of artificial intelligence, machine learning, and automated decision-making technologies (collectively, “AI Technologies”) by us and others;</w:t>
      </w: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to maintain effective internal control over financial reporting;</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rates or the adoption of new tax legislation;</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negative impacts of sustained inflation on our business; and</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events beyond our control.</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Moreover, we operate in an evolving environment. New risk factors and uncertainties may emerge from time to time, and it is not possible for management to predict all risk factors and uncertainties.</w:t>
      </w:r>
    </w:p>
    <w:p>
      <w:pPr>
        <w:spacing w:after="0" w:line="49"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in this Annual Report, whether as a result of any new information, future events or otherwise.</w:t>
      </w:r>
    </w:p>
    <w:p>
      <w:pPr>
        <w:spacing w:after="0" w:line="74"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Additionally, our discussion of various items herein or elsewhere, including our discussion of environmental, social and governance (“ESG”) matters, may include information that is not necessarily “material” under the federal securities laws for SEC reporting purposes. For many ESG matters, this disclosure is informed by various ESG standards and frameworks (including standards for the measurement of underlying data), and the interests of various stakeholders. Much of this information is subject to assumptions, estimates or third-party information that is still evolving and subject to change. For example, we note that methodologies regarding the calculation of greenhouse gas emissions and related ESG data are still evolving. Our disclosures on such matters may change as well, but we cannot guarantee that they will align with the expectations of any particular stakeholder. Similarly, our disclosures based on any standards may change due to revisions in framework requirements, availability of information, changes in our business or applicable government policies, or other factors, some of which may be beyond our control.</w:t>
      </w:r>
    </w:p>
    <w:p>
      <w:pPr>
        <w:spacing w:after="0" w:line="86"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Unless the context otherwise requires, references to “we,” “us,” “our,” the “Company” and “Allegro” refer to the operations of Allegro MicroSystems, Inc. and its consolidated subsidiaries.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800"/>
          </w:cols>
          <w:pgMar w:left="720" w:top="930" w:right="720" w:bottom="175"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4"/>
          <w:szCs w:val="24"/>
          <w:b w:val="1"/>
          <w:bCs w:val="1"/>
          <w:color w:val="auto"/>
        </w:rPr>
        <w:t>PART 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Mission</w:t>
      </w:r>
    </w:p>
    <w:p>
      <w:pPr>
        <w:spacing w:after="0" w:line="124" w:lineRule="exact"/>
        <w:rPr>
          <w:sz w:val="20"/>
          <w:szCs w:val="20"/>
          <w:color w:val="auto"/>
        </w:rPr>
      </w:pPr>
    </w:p>
    <w:p>
      <w:pPr>
        <w:jc w:val="both"/>
        <w:ind w:firstLine="540"/>
        <w:spacing w:after="0" w:line="277" w:lineRule="auto"/>
        <w:rPr>
          <w:sz w:val="20"/>
          <w:szCs w:val="20"/>
          <w:color w:val="auto"/>
        </w:rPr>
      </w:pPr>
      <w:r>
        <w:rPr>
          <w:rFonts w:ascii="Times New Roman" w:cs="Times New Roman" w:eastAsia="Times New Roman" w:hAnsi="Times New Roman"/>
          <w:sz w:val="20"/>
          <w:szCs w:val="20"/>
          <w:color w:val="auto"/>
        </w:rPr>
        <w:t>Our mission is to be the leader in global semiconductor technology with sensing and power solutions that drive electrification, automation, AI, and robotics forward.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124"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The Company is a global leader in the design, development, and marketing of sensor integrated circuits (“ICs”) and application-specific power ICs that enable the sensing, motion control, and power management functions of complex electromechanical or power conversion systems. We primarily serve automotive and industrial markets, including advanced industrial markets such as AI data centers, robotics, and energy infrastructure, where our solutions enable customers to sense, move, and manage power with efficiency, precision, and reliability.</w:t>
      </w:r>
    </w:p>
    <w:p>
      <w:pPr>
        <w:spacing w:after="0" w:line="77"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Our sensor ICs provide critical feedback for motion, position, speed, and electrical current sensing, while our power ICs control motors and manage power conversion and regulation across a wide range of applications. By embedding system-level intelligence directly into our products, we reduce the number of components required in a customer’s design while improving performance, energy efficiency, safety, and reliability. We believe our deep application knowledge, differentiated technology, and strong customer relationships enable us to deliver solutions that are more integrated, intelligent, and efficient than typical ICs.</w:t>
      </w:r>
    </w:p>
    <w:p>
      <w:pPr>
        <w:spacing w:after="0" w:line="77"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Our portfolio includes the broadest range of magnetic sensor ICs in the industry, and we are the world’s leading supplier of magnetic sensor ICs by market share. Our portfolio includes more than 1,500 products, and we ship approximately 2.1 billion units annually to more than 15,000 customers worldwide.</w:t>
      </w:r>
    </w:p>
    <w:p>
      <w:pPr>
        <w:spacing w:after="0" w:line="68"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Secular technology trends, including electrification, automation, AI data center expansion, and increasing energy efficiency, are driving growing demand for precision sensing and power solutions. In automotive markets, these trends are accelerating the adoption of electrified powertrains and safety-critical Advanced Driver Assistance Systems (“ADAS”), such as steering and braking systems. In industrial markets, these trends are driving greater power density, and increasing requirements for automation and thermal efficiency across AI data centers, robotics, and energy infrastructure. We believe these trends favor our differentiated sensing and power technologies and support sustained demand for our solutions.</w:t>
      </w:r>
    </w:p>
    <w:p>
      <w:pPr>
        <w:spacing w:after="0" w:line="80"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Our technology leadership is built on decades of innovation across both magnetic sensor and power ICs. We develop highly differentiated solutions by combining proprietary circuit technologies, application-optimized packaging, and deep system-level expertise, supported by unique and proprietary wafer process technologies. Our specialized capabilities include high-temperature operation, high-speed and high-precision signal processing, and compliance with stringent automotive safety and reliability standards. These capabilities are enabled by our 120-volt (“120V”) capable Bipolar-CMOS-DMOS (“BCD”) wafer process technology, which integrates bipolar, complementary metal-oxide semiconductor (“CMOS”), and double -diffused metal-oxide semiconductor (“DMOS”) transistors on a single chip. This BCD wafer technology supports both sensing and power products and scales across multiple end markets.</w:t>
      </w:r>
    </w:p>
    <w:p>
      <w:pPr>
        <w:spacing w:after="0" w:line="82"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This common technology foundation has enabled us to apply a consistent design and innovation blueprint across successive generations of products, establishing a strong competitive position in demanding automotive and industrial applications.</w:t>
      </w:r>
    </w:p>
    <w:p>
      <w:pPr>
        <w:spacing w:after="0" w:line="49"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Within magnetic sensing, we offer the industry’s broadest portfolio of sensor ICs, spanning Hall-effect, giant magnetoresistive (“GMR”), and tunneling magnetoresistive (“TMR”) sensor technologies (together, “xMR”). We pioneered a systems-level approach that integrates value-added packaging elements, such as current-carrying conductors, magnets, and discrete components, along with precision analog circuits, intelligent digital logic, and calibration to develop specialized sensor ICs. This integration enables market-leading sensor ICs optimized for high-growth applications. We are among a limited number of semiconductor companies offering monolithic and high temperature rated TMR-based solutions, which provide higher sensitivity, low power consumption, and compact form factors. TMR is becoming a foundational element of our innovation strategy. An increasing percentage of new product development is focused on using TMR sensors to improve the performance or efficiency of hybrid electric vehicles (“HEV”s) and battery electric vehicles (“BEV”s) (together, “xEV”s), ADAS systems, and advanced robots.</w:t>
      </w:r>
    </w:p>
    <w:p>
      <w:pPr>
        <w:spacing w:after="0" w:line="86" w:lineRule="exact"/>
        <w:rPr>
          <w:sz w:val="20"/>
          <w:szCs w:val="20"/>
          <w:color w:val="auto"/>
        </w:rPr>
      </w:pPr>
    </w:p>
    <w:p>
      <w:pPr>
        <w:jc w:val="both"/>
        <w:ind w:firstLine="547"/>
        <w:spacing w:after="0" w:line="246" w:lineRule="auto"/>
        <w:rPr>
          <w:sz w:val="20"/>
          <w:szCs w:val="20"/>
          <w:color w:val="auto"/>
        </w:rPr>
      </w:pPr>
      <w:r>
        <w:rPr>
          <w:rFonts w:ascii="Times New Roman" w:cs="Times New Roman" w:eastAsia="Times New Roman" w:hAnsi="Times New Roman"/>
          <w:sz w:val="20"/>
          <w:szCs w:val="20"/>
          <w:color w:val="auto"/>
        </w:rPr>
        <w:t>In power ICs, we offer a comprehensive portfolio of high-performance solutions, including motor drivers, voltage regulators, isolated gate drivers (“IGD”), and power management ICs (“PMIC”s), built on our proprietary BCD process technology. We leverage a systems-level approach that integrates high-voltage power transistors with precision analog circuits, intelligent digital logic and control algorithms, and advanced power packaging, such as integrated capacitors and thermally enhanced leadframes, to develop specialized power solutions. This monolithic integration enables us to deliver market-leading efficiency, superior thermal performance, and high-temperature capability in compact form factors. We are a leader in high-voltage and high-current power ICs that incorporate embedded control algorithms to eliminate customer code development and reduce audible noise. Our power</w:t>
      </w:r>
    </w:p>
    <w:p>
      <w:pPr>
        <w:sectPr>
          <w:pgSz w:w="12240" w:h="15840" w:orient="portrait"/>
          <w:cols w:equalWidth="0" w:num="1">
            <w:col w:w="10800"/>
          </w:cols>
          <w:pgMar w:left="720" w:top="922" w:right="720" w:bottom="175"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800"/>
          </w:cols>
          <w:pgMar w:left="720" w:top="922" w:right="720" w:bottom="175" w:gutter="0" w:footer="0" w:header="0"/>
          <w:type w:val="continuous"/>
        </w:sectPr>
      </w:pPr>
    </w:p>
    <w:bookmarkStart w:id="9" w:name="page10"/>
    <w:bookmarkEnd w:id="9"/>
    <w:p>
      <w:pPr>
        <w:jc w:val="both"/>
        <w:spacing w:after="0" w:line="277" w:lineRule="auto"/>
        <w:rPr>
          <w:sz w:val="20"/>
          <w:szCs w:val="20"/>
          <w:color w:val="auto"/>
        </w:rPr>
      </w:pPr>
      <w:r>
        <w:rPr>
          <w:rFonts w:ascii="Times New Roman" w:cs="Times New Roman" w:eastAsia="Times New Roman" w:hAnsi="Times New Roman"/>
          <w:sz w:val="20"/>
          <w:szCs w:val="20"/>
          <w:color w:val="auto"/>
        </w:rPr>
        <w:t>innovation strategy is increasingly focused on high-growth applications, where our integrated solutions improve power density and reliability in automotive, energy infrastructure, and industrial robotics.</w:t>
      </w:r>
    </w:p>
    <w:p>
      <w:pPr>
        <w:spacing w:after="0" w:line="49"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We maintain our market leadership through deep, long-standing customer relationships, often collaborating early in the design cycle to address demanding performance, quality, and safety requirements. Our customer base includes virtually all major global automotive manufacturers, leading tier-one automotive suppliers, and a growing number of data center, automation, and robotics customers worldwide. We support customers through a global network of design, applications, and customer support centers across North America, South America, Asia, and Europe.</w:t>
      </w:r>
    </w:p>
    <w:p>
      <w:pPr>
        <w:spacing w:after="0" w:line="77"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Our fabless, asset-light manufacturing model supports scalability, flexibility, and access to advanced manufacturing technologies to extend our market leadership. We design proprietary wafer technologies and then transfer and industrialize these technologies with external wafer fabrication partners around the globe. We also utilize a robust and scalable combination of internal and external assembly and test capabilities. To enhance regional agility and supply chain resilience, we are expanding regional supply chain capabilities, including localized manufacturing partnerships in multiple geographies, to support local customer demand and enhance overall supply chain resilience. We also maintain manufacturing relationships with Polar Semiconductor, LLC (“Polar”) in North America and various internal and external assembly and test partners across Asia to provide customers with flexibility in supply chain configurations. We believe this manufacturing strategy positions us to support long product life cycles, meet automotive-grade quality requirements, and scale efficiently across both automotive and industrial markets.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Market</w:t>
      </w:r>
    </w:p>
    <w:p>
      <w:pPr>
        <w:spacing w:after="0" w:line="124"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Within the global semiconductor industry, we focus on the magnetic sensor and power IC markets, serving higher growth applications, primarily in automotive and industrial markets, including advanced industrial markets such as AI data centers, robotics, and energy infrastructure.</w:t>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Automotive Focus Applications: xEV Powertrain and ADAS</w:t>
      </w:r>
    </w:p>
    <w:p>
      <w:pPr>
        <w:spacing w:after="0" w:line="118"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We focus on vehicle electrification and automation, including xEV powertrains and the expanding adoption of ADAS. These trends are driving increased semiconductor content per vehicle and higher demand for both sensing and power solutions. The transition to electrified powertrains and 48V electrical architectures is increasing demand for our sensor and power products built on our proprietary 120V BCD process technology. Our 120V BCD-based solutions consolidate power management and protection, reducing component count and improving overall system reliability.</w:t>
      </w:r>
    </w:p>
    <w:p>
      <w:pPr>
        <w:spacing w:after="0" w:line="77"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We are a leading provider of sensing and power solutions for vehicle electrification, building on decades of experience in powertrain efficiency and performance in conventional vehicles. Improving efficiency is critical as original equipment manufacturers (“OEMs”) seek to extend driving range, meet emissions regulations, and address heightened customer focus on environmental impact. As xEVs represent a growing share of global vehicle production, OEMs are redesigning systems to improve energy efficiency, creating opportunities for increased semiconductor content per vehicle. We believe our continued investment in research and development (“R&amp;D”) positions us to drive both content expansion and market share gains in this high-growth focus area.</w:t>
      </w:r>
    </w:p>
    <w:p>
      <w:pPr>
        <w:spacing w:after="0" w:line="80"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Our IGD portfolio provides additional content opportunities in xEV powertrains. Our first-to-market Power-Thru gate driver technology integrates an isolated DC-DC converter and an IGD into a single IC, reducing component count and improving efficiency compared to multi-chip solutions. This integration enables smaller printed circuit boards (“PCBs”) and more compact systems, such as on-board chargers and traction motor inverters. We continue to advance this technology to support high-voltage gallium nitride (“GaN”) and silicon carbide (“SiC”) solutions used in xEV power conversion systems.</w:t>
      </w:r>
    </w:p>
    <w:p>
      <w:pPr>
        <w:spacing w:after="0" w:line="77"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Industry experts see ADAS adoption continuing to expand across vehicle classes globally, driven by demand for safety and automation features. Our sensor and power ICs are used in steering and braking systems that enable functions such as collision avoidance, lane-keep assist, automatic emergency braking, and self-parking. Even modest levels of automation utilize products across our portfolio, including sensors, PMICs, and motor drivers. We believe that our content per ADAS system will increase as ADAS architectures evolve from electric power steering to steer-by-wire systems and from electro-hydraulic braking to electro-mechanical braking systems. As these ADAS architectures become more sophisticated, more semiconductor content is required per system. While we are positioned for this long-term shift toward higher automation, we are currently capturing significant value in the existing market. Today, our solutions are already widely deployed in Level 1 and 2 ADAS systems across both xEV and internal combustion engine (“ICE”) vehicles, allowing us to participate in ADAS growth without reliance on full vehicle autonomy.</w:t>
      </w:r>
    </w:p>
    <w:p>
      <w:pPr>
        <w:spacing w:after="0" w:line="86"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TMR technology, marketed under the XtremeSense™ brand, strengthens our sensor portfolio and is a pillar of our innovation strategy. TMR enables higher sensitivity, lower power consumption, faster response times, and smaller form factors compared to other magnetic technologies. TMR solutions are well-suited to support high-accuracy sensing in electric powertrains and safety-critical steering and braking systems.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800"/>
          </w:cols>
          <w:pgMar w:left="720" w:top="930" w:right="720" w:bottom="175" w:gutter="0" w:footer="0" w:header="0"/>
          <w:type w:val="continuous"/>
        </w:sectPr>
      </w:pPr>
    </w:p>
    <w:bookmarkStart w:id="10" w:name="page11"/>
    <w:bookmarkEnd w:id="10"/>
    <w:p>
      <w:pPr>
        <w:ind w:left="540"/>
        <w:spacing w:after="0"/>
        <w:rPr>
          <w:sz w:val="20"/>
          <w:szCs w:val="20"/>
          <w:color w:val="auto"/>
        </w:rPr>
      </w:pPr>
      <w:r>
        <w:rPr>
          <w:rFonts w:ascii="Times New Roman" w:cs="Times New Roman" w:eastAsia="Times New Roman" w:hAnsi="Times New Roman"/>
          <w:sz w:val="20"/>
          <w:szCs w:val="20"/>
          <w:i w:val="1"/>
          <w:iCs w:val="1"/>
          <w:color w:val="auto"/>
        </w:rPr>
        <w:t>Other Automotive Applications</w:t>
      </w:r>
    </w:p>
    <w:p>
      <w:pPr>
        <w:spacing w:after="0" w:line="118"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ICE powertrains are expected to persist for the foreseeable future, either as standalone systems or as part of HEVs. OEMs continue to pursue improved fuel efficiency and reduced vehicle emissions. We remain a proven supplier supporting these objectives through decades of experience in ICE powertrain applications.</w:t>
      </w:r>
    </w:p>
    <w:p>
      <w:pPr>
        <w:spacing w:after="0" w:line="68"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Our safety, comfort, and convenience business, commonly referred to as body electronics, continues to evolve alongside vehicle electrification. xEVs incorporate a growing number of motors, pumps, and fans, often in air or liquid cooling systems, thereby increasing our content opportunity per vehicle. We also enable safer and more energy-efficient interior and exterior lighting systems through continued innovation in LED driver products developed in close collaboration with customers.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Industrial Focus Applications: AI Data Center, Automation, and Robotics</w:t>
      </w:r>
    </w:p>
    <w:p>
      <w:pPr>
        <w:spacing w:after="0" w:line="118"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The emergence of AI data centers is driving increased demand for our sensor and power ICs in both cooling and power supply applications. Our motor drivers are widely used in data center cooling systems, including fans and pumps, to provide air or liquid cooling of digital processors, power supplies, or network switches. Our fully integrated motor drivers reduce the number of components needed, lower energy consumption, and improve thermal efficiency.</w:t>
      </w:r>
    </w:p>
    <w:p>
      <w:pPr>
        <w:spacing w:after="0" w:line="74"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In data center power supplies, our current sensor ICs improve efficiency and power density in power conversion systems, particularly as architectures transition to higher operating voltages such as 48V and 800V. Our galvanically isolated current sensors are well suited for these environments. We believe demand for our Hall-effect and TMR current sensors ICs will increase as data center power density requirements rise.</w:t>
      </w:r>
    </w:p>
    <w:p>
      <w:pPr>
        <w:spacing w:after="0" w:line="74"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IGDs are also gaining traction in data center applications. Our compact, single-package gate driver solutions improve power density and efficiency and shrink the overall size of power conversion systems.</w:t>
      </w:r>
    </w:p>
    <w:p>
      <w:pPr>
        <w:spacing w:after="0" w:line="49"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This momentum is reflected in our fiscal year 2026 performance, as data center sales represented an increasing percentage of our total revenue. Both motor drivers and current sensors contributed to fiscal year 2026 sales, while IGDs are being sampled and tested by customers for the next generation of data centers.</w:t>
      </w:r>
    </w:p>
    <w:p>
      <w:pPr>
        <w:spacing w:after="0" w:line="68"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Factory automation and robotics represent additional high-growth opportunities driven by demand for precise motion control and energy-efficient systems. Robotics applications, including warehouse, industrial, collaborative, and humanoid robots, require high-accuracy, reliability, and safety specifications that align closely with our automotive ADAS heritage. We believe we are well positioned to leverage synergies across our sensor and power portfolios, including motor drivers as well as current, position, and angle sensors, to expand our presence in these emerging markets. Industrial customers value our rigorous quality standards and devices designed to perform reliably over long product lifecycles.</w:t>
      </w:r>
    </w:p>
    <w:p>
      <w:pPr>
        <w:spacing w:after="0" w:line="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Other Industrial Markets</w:t>
      </w:r>
    </w:p>
    <w:p>
      <w:pPr>
        <w:spacing w:after="0" w:line="118"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other industrial markets comprise energy infrastructure, personal mobility, power tools, heavy transport equipment, medical, and consumer applications.</w:t>
      </w:r>
    </w:p>
    <w:p>
      <w:pPr>
        <w:spacing w:after="0" w:line="49"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Energy infrastructure growth is being driven by the increased electrification of a variety of products and processes, government regulations to reduce emissions, and the rising power demands of AI data centers. Applications, including solar inverters, xEV charging infrastructure, and grid infrastructure seek the same efficiency and power density as xEVs. We enable more efficient use of grid-delivered power by supporting higher-voltage, higher-efficiency power architectures that reduce losses between the grid connection and the point of load. By deploying XtremeSense™ TMR current sensors and integrated power ICs, we enable smarter, more efficient power conversion and fault detection. These ICs are essential for managing the extreme load fluctuations and bidirectional energy flows inherent in the “Age of Electricity.” Our technology allows grid infrastructure to support significantly higher power densities while reducing energy waste.</w:t>
      </w:r>
    </w:p>
    <w:p>
      <w:pPr>
        <w:spacing w:after="0" w:line="82"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Personal mobility applications, including two-wheelers, are experiencing electrification trends similar to larger automobiles and require compact, high-performance solutions with long product lifecycles. Our automotive-grade quality standards provide industrial customers with robust, high-performance solutions that have earned trust across markets.</w:t>
      </w:r>
    </w:p>
    <w:p>
      <w:pPr>
        <w:spacing w:after="0" w:line="68"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Consumer applications include smart home products, gaming equipment, power tools, and personal medical devices. Our low-power XtremeSense™ TMR and Hall-effect sensors, along with efficient motor drivers, enable more energy-efficient consumer products with extended battery life.</w:t>
      </w: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800"/>
          </w:cols>
          <w:pgMar w:left="720" w:top="932" w:right="720" w:bottom="175" w:gutter="0" w:footer="0" w:header="0"/>
          <w:type w:val="continuous"/>
        </w:sectPr>
      </w:pPr>
    </w:p>
    <w:bookmarkStart w:id="11" w:name="page12"/>
    <w:bookmarkEnd w:id="11"/>
    <w:p>
      <w:pPr>
        <w:ind w:left="540"/>
        <w:spacing w:after="0"/>
        <w:rPr>
          <w:sz w:val="20"/>
          <w:szCs w:val="20"/>
          <w:color w:val="auto"/>
        </w:rPr>
      </w:pPr>
      <w:r>
        <w:rPr>
          <w:rFonts w:ascii="Times New Roman" w:cs="Times New Roman" w:eastAsia="Times New Roman" w:hAnsi="Times New Roman"/>
          <w:sz w:val="20"/>
          <w:szCs w:val="20"/>
          <w:i w:val="1"/>
          <w:iCs w:val="1"/>
          <w:color w:val="auto"/>
        </w:rPr>
        <w:t>Market Opportunity and Served Available Market (“SAM”)</w:t>
      </w:r>
    </w:p>
    <w:p>
      <w:pPr>
        <w:spacing w:after="0" w:line="118"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Within our target markets, our growth opportunity extends beyond unit deployment and is increasingly driven by structural market shifts and long-term megatrends that expand semiconductor content per system. These trends include electrification, automation, AI data centers, and robotics, each of which is driving higher system power, greater architectural complexity, and increased requirements for sensing, control, and power management. As these markets evolve, growth is increasingly defined by rising content per system rather than unit volumes alone, expanding our SAM even in periods of moderated end-market growth.</w:t>
      </w:r>
    </w:p>
    <w:p>
      <w:pPr>
        <w:spacing w:after="0" w:line="77"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Across these target automotive and industrial markets, our sensor and power ICs are frequently deployed together to deliver complete solutions for precision motion control and efficient power management. These integrated solutions enable smaller, more efficient electric motors, improved power density, enhanced safety, and reduced total system cost, while supporting increasing semiconductor content per system in our target applications.</w:t>
      </w:r>
    </w:p>
    <w:p>
      <w:pPr>
        <w:spacing w:after="0" w:line="74"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We are a market share leader in magnetic sensor ICs and believe there is an opportunity to grow this foundational business by aligning our portfolio with the highest growth applications within magnetic sensing. The transition to xEVs, ADAS, AI data centers, and robotics is driving demand for precise, high-bandwidth current and position sensing to enable efficient power conversion and motor control, as well as compliance with increasingly stringent performance and safety requirements. Our XtremeSense™ TMR technology underpins differentiated products, including industry-leading 10 MHz current sensors designed to support fast-switching GaN and SiC power devices. As system architectures evolve, specifically through the transition to electro-mechanical braking in vehicles and the build-out of high-power AI data centers, the sensing intensity per system is increasing in both volume and value, resulting in content gains. Adoption of TMR and inductive angular position sensors is also increasing to enable precise motion control in ADAS and robotics systems.</w:t>
      </w:r>
    </w:p>
    <w:p>
      <w:pPr>
        <w:spacing w:after="0" w:line="86"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We are also expanding our power IC portfolio to increase content in automotive and industrial applications where electrification and energy efficiency are driving design changes. xEVs require a growing number of motors to support pumps, fans, and safety-critical systems. Next-generation vehicle architectures, such as electro-mechanical braking and steer-by-wire, meaningfully increase power IC semiconductor content per system. In parallel, AI data centers continue to evolve toward higher rack power, increased airflow requirements, and advanced liquid cooling solutions. These shifts increase demand for efficient motor drivers and power solutions while enabling content growth that scales faster than end-market unit volumes.</w:t>
      </w:r>
    </w:p>
    <w:p>
      <w:pPr>
        <w:spacing w:after="0" w:line="80"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We also see an opportunity to expand our presence in IGDs as power conversion architectures evolve across xEVs, AI data centers, and energy infrastructure. The accelerating adoption of SiC and GaN power devices reflects customer demand for higher efficiency, smaller system size, and improved thermal performance. Our IGDs are designed to enable efficient, reliable operation of these next-generation power systems, supporting higher power throughput and contributing to meaningful increases in semiconductor content per system.</w:t>
      </w:r>
    </w:p>
    <w:p>
      <w:pPr>
        <w:spacing w:after="0" w:line="77"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The same content expansion dynamics are emerging across industrial automation and robotics. As robots become more capable and are deployed at greater scale, systems will increasingly require multiple motors, precise position sensing, and advanced power management within each joint and subsystem. These increasing per system requirements create opportunities for multiple Allegro devices within a single robotic platform and represent an additional long-term expansion of our SAM.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Strategy</w:t>
      </w:r>
    </w:p>
    <w:p>
      <w:pPr>
        <w:spacing w:after="0" w:line="124"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Our strategy is built on delivering high-performance, differentiated IC solutions that solve our customers’ most complex challenges. By innovating with purpose, we extend our leadership in high-growth target markets. We are committed to expanding our global footprint to remain a premier provider of semiconductor power and sensing solutions, driving the next generation of motion control and energy-efficient systems across the automotive and industrial landscape.</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Invest in R&amp;D that is market-aligned and focused on targeted portfolio expansion</w:t>
      </w:r>
    </w:p>
    <w:p>
      <w:pPr>
        <w:spacing w:after="0" w:line="118" w:lineRule="exact"/>
        <w:rPr>
          <w:sz w:val="20"/>
          <w:szCs w:val="20"/>
          <w:color w:val="auto"/>
        </w:rPr>
      </w:pPr>
    </w:p>
    <w:p>
      <w:pPr>
        <w:jc w:val="both"/>
        <w:ind w:firstLine="540"/>
        <w:spacing w:after="0" w:line="244" w:lineRule="auto"/>
        <w:rPr>
          <w:sz w:val="20"/>
          <w:szCs w:val="20"/>
          <w:color w:val="auto"/>
        </w:rPr>
      </w:pPr>
      <w:r>
        <w:rPr>
          <w:rFonts w:ascii="Times New Roman" w:cs="Times New Roman" w:eastAsia="Times New Roman" w:hAnsi="Times New Roman"/>
          <w:sz w:val="20"/>
          <w:szCs w:val="20"/>
          <w:color w:val="auto"/>
        </w:rPr>
        <w:t>We believe continued investment in R&amp;D across product design, automotive-grade wafer technology, and advanced IC packaging is critical to maintaining our competitive position. Structural technology shifts in automotive and industrial markets, including xEV, ADAS, AI data centers, and robotics, are driving demand for higher intelligence, greater energy efficiency, and more complex system architectures that align closely with our core competencies. Our deep understanding of customer end systems has enabled us to expand our sensor IC and power portfolios to address these evolving requirements. By aligning our R&amp;D investments with high-growth technology trends and subjecting programs to disciplined return on investment (“ROI”) evaluation, we believe we can support sustained growth while maintaining attractive financial performance. A smaller portion of R&amp;D investment is allocated to an in-house incubator with a higher risk-reward profile that explores new technologies with the potential to contribute significantly to Allegro’s long-term revenue.</w:t>
      </w: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800"/>
          </w:cols>
          <w:pgMar w:left="720" w:top="932" w:right="720" w:bottom="175" w:gutter="0" w:footer="0" w:header="0"/>
          <w:type w:val="continuous"/>
        </w:sectPr>
      </w:pPr>
    </w:p>
    <w:bookmarkStart w:id="12" w:name="page13"/>
    <w:bookmarkEnd w:id="12"/>
    <w:p>
      <w:pPr>
        <w:jc w:val="both"/>
        <w:ind w:firstLine="547"/>
        <w:spacing w:after="0" w:line="275" w:lineRule="auto"/>
        <w:rPr>
          <w:sz w:val="20"/>
          <w:szCs w:val="20"/>
          <w:color w:val="auto"/>
        </w:rPr>
      </w:pPr>
      <w:r>
        <w:rPr>
          <w:rFonts w:ascii="Times New Roman" w:cs="Times New Roman" w:eastAsia="Times New Roman" w:hAnsi="Times New Roman"/>
          <w:sz w:val="20"/>
          <w:szCs w:val="20"/>
          <w:i w:val="1"/>
          <w:iCs w:val="1"/>
          <w:color w:val="auto"/>
        </w:rPr>
        <w:t>Build on our automotive heritage to align our product development with the most rigorous applications and reliability expectations</w:t>
      </w:r>
    </w:p>
    <w:p>
      <w:pPr>
        <w:spacing w:after="0" w:line="51"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We are a leading supplier of magnetic sensor and power ICs to the automotive market due to our deliberate focus on designing products to meet stringent automotive operating voltages, temperature ranges, and safety and reliability standards across the full product lifecycle, from design through manufacturing. By developing products from the outset to operate reliably in high-temperature and high-voltage environments, we have established a strong technical reputation with automotive OEMs and tier-one suppliers.</w:t>
      </w:r>
    </w:p>
    <w:p>
      <w:pPr>
        <w:spacing w:after="0" w:line="74"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We believe our approach of using automotive standards as the baseline for product development positions us well as customers seek trusted suppliers to support increasingly complex and safety-critical systems, particularly in rapidly growing areas such as xEV powertrains and ADAS. These applications require higher performance, greater reliability, and longer product lifecycles, creating meaningful investment requirements for new competitors.</w:t>
      </w:r>
    </w:p>
    <w:p>
      <w:pPr>
        <w:spacing w:after="0" w:line="74"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We leverage this automotive- grade expertise to address growing demand from industrial customers for rugged, high-reliability solutions in applications such as AI data centers, factory automation, and robotics. In our experience, products that meet or exceed stringent safety and reliability requirements tend to command higher average selling prices (“ASPs”) and exhibit slower ASP erosion over time compared to typical industry products.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Invest to lead in chosen markets and apply our intellectual property (“IP”) and technology to pursue adjacent growth markets</w:t>
      </w:r>
    </w:p>
    <w:p>
      <w:pPr>
        <w:spacing w:after="0" w:line="118"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We intend to continue investing in technology development and our IP portfolio to maintain leadership in magnetic sensor ICs and expand our competitive position in power ICs across our target markets. We seek to maximize the return on these investments by leveraging proven technologies and existing R&amp;D, sales, and support infrastructure to address adjacent, high-growth market opportunities with strong technical and customer overlap.</w:t>
      </w:r>
    </w:p>
    <w:p>
      <w:pPr>
        <w:spacing w:after="0" w:line="74"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We apply our patented sensor and power-related IP to support increasing electronics content in automotive applications driven by the adoption of electrified powertrains and advanced safety systems. We are also investing in advanced current sensing, IGD, and sensorless motor control technologies to address AI data center applications, where rising power density and efficiency requirements align closely with our core capabilities. In addition, we are aligning our application domain expertise, smart sensor design, and power management and motor control algorithms to support the growing demand for electronics in industrial automation and robotics.</w:t>
      </w:r>
    </w:p>
    <w:p>
      <w:pPr>
        <w:spacing w:after="0" w:line="77" w:lineRule="exact"/>
        <w:rPr>
          <w:sz w:val="20"/>
          <w:szCs w:val="20"/>
          <w:color w:val="auto"/>
        </w:rPr>
      </w:pPr>
    </w:p>
    <w:p>
      <w:pPr>
        <w:jc w:val="both"/>
        <w:ind w:firstLine="540"/>
        <w:spacing w:after="0" w:line="277" w:lineRule="auto"/>
        <w:rPr>
          <w:sz w:val="20"/>
          <w:szCs w:val="20"/>
          <w:color w:val="auto"/>
        </w:rPr>
      </w:pPr>
      <w:r>
        <w:rPr>
          <w:rFonts w:ascii="Times New Roman" w:cs="Times New Roman" w:eastAsia="Times New Roman" w:hAnsi="Times New Roman"/>
          <w:sz w:val="20"/>
          <w:szCs w:val="20"/>
          <w:color w:val="auto"/>
        </w:rPr>
        <w:t>We believe this strategy of extending core technologies into adjacent markets enables us to expand our SAM while achieving higher returns on our R&amp;D investments.</w:t>
      </w:r>
    </w:p>
    <w:p>
      <w:pPr>
        <w:spacing w:after="0" w:line="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Sales operations and customer relationships</w:t>
      </w:r>
    </w:p>
    <w:p>
      <w:pPr>
        <w:spacing w:after="0" w:line="118"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We sell our products globally through a combination of a direct sales force, distributors, and independent sales representatives. Our global sales infrastructure is designed to support customers through key account managers and regional technical and support centers located near customer operations. These centers enable us to work closely with customers as an extension of their design teams, providing early insight into system requirements and accelerating product adoption and ramp-up in customer designs.</w:t>
      </w:r>
    </w:p>
    <w:p>
      <w:pPr>
        <w:spacing w:after="0" w:line="7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We intend to continue to strengthen relationships with existing customers while enabling our channel partners to play a greater role in demand generation, customer support, and fulfillment for smaller, broad-based industrial customers. We believe expanding the role of our channel will allow us to further penetrate industrial markets and scale our business efficiently.</w:t>
      </w:r>
    </w:p>
    <w:p>
      <w:pPr>
        <w:spacing w:after="0" w:line="68"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Our approach to the Chinese market emphasizes localized engineering engagement to drive innovation, regional supply chain capabilities, and close co-development with domestic OEMs, enabling deep customer partnerships and design wins based on our differentiated technology.</w:t>
      </w:r>
    </w:p>
    <w:p>
      <w:pPr>
        <w:spacing w:after="0" w:line="68" w:lineRule="exact"/>
        <w:rPr>
          <w:sz w:val="20"/>
          <w:szCs w:val="20"/>
          <w:color w:val="auto"/>
        </w:rPr>
      </w:pPr>
    </w:p>
    <w:p>
      <w:pPr>
        <w:jc w:val="both"/>
        <w:ind w:firstLine="540"/>
        <w:spacing w:after="0" w:line="277" w:lineRule="auto"/>
        <w:rPr>
          <w:sz w:val="20"/>
          <w:szCs w:val="20"/>
          <w:color w:val="auto"/>
        </w:rPr>
      </w:pPr>
      <w:r>
        <w:rPr>
          <w:rFonts w:ascii="Times New Roman" w:cs="Times New Roman" w:eastAsia="Times New Roman" w:hAnsi="Times New Roman"/>
          <w:sz w:val="20"/>
          <w:szCs w:val="20"/>
          <w:color w:val="auto"/>
        </w:rPr>
        <w:t>During fiscal year 2026, we reorganized our internal sales force to align by end market rather than geography. We believe this will further support sales growth across automotive and industrial markets.</w:t>
      </w:r>
    </w:p>
    <w:p>
      <w:pPr>
        <w:spacing w:after="0" w:line="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Improve our gross margins through product innovation and cost optimization</w:t>
      </w:r>
    </w:p>
    <w:p>
      <w:pPr>
        <w:spacing w:after="0" w:line="118"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We seek to improve profitability by introducing differentiated products with value-added features while reducing manufacturing costs through our fabless, asset-light operating model. We expect to continue enhancing our product mix by developing new products for growth markets where we believe we can generate higher ASPs and/or gross margins.</w:t>
      </w:r>
    </w:p>
    <w:p>
      <w:pPr>
        <w:spacing w:after="0" w:line="68"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We also intend to deepen relationships with key foundry and manufacturing partners to apply our products and applications expertise in developing differentiated, cost-efficient wafer processes and packaging technologies. By leveraging the advanced manufacturing capabilities of our strategic suppliers, adopting more cost-effective packaging solutions, and optimizing the mix of internal and external assembly and test capacity, we believe we can reduce manufacturing costs, limit capital requirements, enhance supply reliability, and support continued growth.</w:t>
      </w:r>
    </w:p>
    <w:p>
      <w:pPr>
        <w:spacing w:after="0" w:line="77" w:lineRule="exact"/>
        <w:rPr>
          <w:sz w:val="20"/>
          <w:szCs w:val="20"/>
          <w:color w:val="auto"/>
        </w:rPr>
      </w:pPr>
    </w:p>
    <w:p>
      <w:pPr>
        <w:jc w:val="both"/>
        <w:ind w:firstLine="540"/>
        <w:spacing w:after="0" w:line="277" w:lineRule="auto"/>
        <w:rPr>
          <w:sz w:val="20"/>
          <w:szCs w:val="20"/>
          <w:color w:val="auto"/>
        </w:rPr>
      </w:pPr>
      <w:r>
        <w:rPr>
          <w:rFonts w:ascii="Times New Roman" w:cs="Times New Roman" w:eastAsia="Times New Roman" w:hAnsi="Times New Roman"/>
          <w:sz w:val="20"/>
          <w:szCs w:val="20"/>
          <w:color w:val="auto"/>
        </w:rPr>
        <w:t>We intend to continue selecting leading manufacturing partners to maintain product quality, ensure continuity of supply, and protect our IP.</w:t>
      </w: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800"/>
          </w:cols>
          <w:pgMar w:left="720" w:top="932" w:right="720" w:bottom="175" w:gutter="0" w:footer="0" w:header="0"/>
          <w:type w:val="continuous"/>
        </w:sectPr>
      </w:pPr>
    </w:p>
    <w:bookmarkStart w:id="13" w:name="page14"/>
    <w:bookmarkEnd w:id="13"/>
    <w:p>
      <w:pPr>
        <w:ind w:left="540"/>
        <w:spacing w:after="0"/>
        <w:rPr>
          <w:sz w:val="20"/>
          <w:szCs w:val="20"/>
          <w:color w:val="auto"/>
        </w:rPr>
      </w:pPr>
      <w:r>
        <w:rPr>
          <w:rFonts w:ascii="Times New Roman" w:cs="Times New Roman" w:eastAsia="Times New Roman" w:hAnsi="Times New Roman"/>
          <w:sz w:val="20"/>
          <w:szCs w:val="20"/>
          <w:i w:val="1"/>
          <w:iCs w:val="1"/>
          <w:color w:val="auto"/>
        </w:rPr>
        <w:t>Selectively pursue acquisitions and other strategic transactions</w:t>
      </w:r>
    </w:p>
    <w:p>
      <w:pPr>
        <w:spacing w:after="0" w:line="118"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We evaluate and selectively pursue acquisitions and transactions as an integral part of our strategy to supplement organic growth. We focus on acquisitions that we believe will accelerate our growth in strategic focus areas, complement our expertise and customer base, and be accretive to our target financial models. Historical examples include our acquisitions of Crocus Technology International Corp. and Heyday Integrated Circuits.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Maintain sustainability efforts</w:t>
      </w:r>
    </w:p>
    <w:p>
      <w:pPr>
        <w:spacing w:after="0" w:line="118"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We will continue to innovate with purpose, aiming to help address critical global challenges related to energy efficiency and vehicle emissions, as well as clean and renewable energy with our sensing and power management product portfolio. In addition, we strive to operate our business in a socially responsible and environmentally sustainable manner, with the goals of reducing costs, maintaining a dedication to social responsibility in our supply chain, and disclosing the environmental impact of our business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Products and Solutions</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Our product portfolio includes over 1,500 products across a range of high-performance analog mixed-signal semiconductors.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apply our deep technology know-how to deliver magnetic sensing IC and power IC solutions to:</w:t>
      </w:r>
    </w:p>
    <w:p>
      <w:pPr>
        <w:spacing w:after="0" w:line="46" w:lineRule="exact"/>
        <w:rPr>
          <w:sz w:val="20"/>
          <w:szCs w:val="20"/>
          <w:color w:val="auto"/>
        </w:rPr>
      </w:pPr>
    </w:p>
    <w:p>
      <w:pPr>
        <w:jc w:val="both"/>
        <w:ind w:left="720" w:hanging="360"/>
        <w:spacing w:after="0" w:line="258"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Sense speed, position, angle and current to enable critical safety features in ADAS and optimize power density and efficiency in xEVs to extend driving range. Beyond the automotive market, our technologies enhance the performance and energy efficiency of AI data centers, factory automation, robotics, and energy infrastructure;</w:t>
      </w:r>
    </w:p>
    <w:p>
      <w:pPr>
        <w:spacing w:after="0" w:line="21" w:lineRule="exact"/>
        <w:rPr>
          <w:rFonts w:ascii="Arial" w:cs="Arial" w:eastAsia="Arial" w:hAnsi="Arial"/>
          <w:sz w:val="20"/>
          <w:szCs w:val="20"/>
          <w:color w:val="auto"/>
        </w:rPr>
      </w:pPr>
    </w:p>
    <w:p>
      <w:pPr>
        <w:jc w:val="both"/>
        <w:ind w:left="720" w:hanging="360"/>
        <w:spacing w:after="0" w:line="258"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Regulate complex vehicle systems and manage high-voltage power through integrated PMICs and IGDs to enhance functional safety and power efficiency. Our solutions are engineered to significantly increase power density, thereby reducing overall system footprint, minimizing the use of raw materials, and lowering total system cost for our customers; and</w:t>
      </w:r>
    </w:p>
    <w:p>
      <w:pPr>
        <w:spacing w:after="0" w:line="21" w:lineRule="exact"/>
        <w:rPr>
          <w:rFonts w:ascii="Arial" w:cs="Arial" w:eastAsia="Arial" w:hAnsi="Arial"/>
          <w:sz w:val="20"/>
          <w:szCs w:val="20"/>
          <w:color w:val="auto"/>
        </w:rPr>
      </w:pPr>
    </w:p>
    <w:p>
      <w:pPr>
        <w:jc w:val="both"/>
        <w:ind w:left="720" w:hanging="360"/>
        <w:spacing w:after="0" w:line="252"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Drive high-performance motors using our advanced motor drivers, powered by proprietary algorithms that deliver industry-leading reliability and energy efficiency. These solutions provide the precision control required for smooth operation with minimal audible noise and vibration, essential for both in-cabin motors for premium xEVs and the high-speed accuracy required of robotics.</w:t>
      </w:r>
    </w:p>
    <w:p>
      <w:pPr>
        <w:spacing w:after="0" w:line="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Magnetic Sensor ICs</w:t>
      </w:r>
    </w:p>
    <w:p>
      <w:pPr>
        <w:spacing w:after="0" w:line="118"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We offer what we believe to be the industry’s leading portfolio of magnetic sensor ICs. Our solutions are based on our monolithic Hall-effect, GMR and TMR technologies, which allow customers to develop contactless sensor solutions that reduce mechanical wear and provide greater measurement accuracy and system control. Our portfolio of magnetic sensor ICs includes the following:</w:t>
      </w:r>
    </w:p>
    <w:p>
      <w:pPr>
        <w:spacing w:after="0" w:line="28" w:lineRule="exact"/>
        <w:rPr>
          <w:sz w:val="20"/>
          <w:szCs w:val="20"/>
          <w:color w:val="auto"/>
        </w:rPr>
      </w:pPr>
    </w:p>
    <w:p>
      <w:pPr>
        <w:jc w:val="both"/>
        <w:ind w:left="720" w:hanging="360"/>
        <w:spacing w:after="0" w:line="24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Current Sensor ICs</w:t>
      </w:r>
      <w:r>
        <w:rPr>
          <w:rFonts w:ascii="Times New Roman" w:cs="Times New Roman" w:eastAsia="Times New Roman" w:hAnsi="Times New Roman"/>
          <w:sz w:val="20"/>
          <w:szCs w:val="20"/>
          <w:color w:val="auto"/>
        </w:rPr>
        <w:t>: Current sensor ICs measure current by detecting the magnetic field generated by a current carrying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conductor. We offer a broad portfolio of current sensors designed to support a wide range of voltages and applications, enabling customers to monitor and protect electronic systems while improving energy efficiency. These products are used across automotive and industrial markets, including on-board chargers, DC-DC converters, inverters, industrial motors, solar inverters, robotics, AI data center power supplies and xEV charging infrastructure. Our XtremeSense™ TMR based current sensors deliver industry leading bandwidth, enabling high-performance SiC- and GaN-based power conversion in high voltage systems such as AI data centers and energy infrastructure.</w:t>
      </w:r>
    </w:p>
    <w:p>
      <w:pPr>
        <w:spacing w:after="0" w:line="33" w:lineRule="exact"/>
        <w:rPr>
          <w:rFonts w:ascii="Arial" w:cs="Arial" w:eastAsia="Arial" w:hAnsi="Arial"/>
          <w:sz w:val="20"/>
          <w:szCs w:val="20"/>
          <w:color w:val="auto"/>
        </w:rPr>
      </w:pPr>
    </w:p>
    <w:p>
      <w:pPr>
        <w:jc w:val="both"/>
        <w:ind w:left="720" w:hanging="360"/>
        <w:spacing w:after="0" w:line="245"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Position Sensor ICs</w:t>
      </w:r>
      <w:r>
        <w:rPr>
          <w:rFonts w:ascii="Times New Roman" w:cs="Times New Roman" w:eastAsia="Times New Roman" w:hAnsi="Times New Roman"/>
          <w:sz w:val="20"/>
          <w:szCs w:val="20"/>
          <w:color w:val="auto"/>
        </w:rPr>
        <w:t>: Position sensor ICs provide high-precision analog or digital outputs to measure magnetic field intensity,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establishing the exact position or angle required for complex motion control. These solutions are fundamental to the functional safety of ADAS power steering and braking systems, as well as the high-speed synchronization of xEV traction motors. By leveraging our proprietary XtremeSense™ TMR technology, we provide industry-leading resolution and advanced safety diagnostics essential for mission-critical motor position sensing in autonomous and electrified platforms. While these high-performance sensors continue to optimize the efficiency of advanced transmission and powertrain systems in traditional ICE vehicles to meet global emissions standards, our innovation is increasingly focused on the next generation of safe and sustainable mobility.</w:t>
      </w:r>
    </w:p>
    <w:p>
      <w:pPr>
        <w:spacing w:after="0" w:line="35" w:lineRule="exact"/>
        <w:rPr>
          <w:rFonts w:ascii="Arial" w:cs="Arial" w:eastAsia="Arial" w:hAnsi="Arial"/>
          <w:sz w:val="20"/>
          <w:szCs w:val="20"/>
          <w:color w:val="auto"/>
        </w:rPr>
      </w:pPr>
    </w:p>
    <w:p>
      <w:pPr>
        <w:jc w:val="both"/>
        <w:ind w:left="720" w:hanging="360"/>
        <w:spacing w:after="0" w:line="249"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Speed Sensor ICs: </w:t>
      </w:r>
      <w:r>
        <w:rPr>
          <w:rFonts w:ascii="Times New Roman" w:cs="Times New Roman" w:eastAsia="Times New Roman" w:hAnsi="Times New Roman"/>
          <w:sz w:val="20"/>
          <w:szCs w:val="20"/>
          <w:color w:val="auto"/>
        </w:rPr>
        <w:t>Our high-precision speed sensor ICs and advanced high-performance xMR solutions provide critical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digital data on rotation and direction for the next generation of safe, electrified, and automated mobility. These sensors can be essential for the functional safety of ADAS braking systems and the precise motion control required in industrial robotics. While our proprietary algorithms continue to support traditional powertrain optimization to meet global emissions standards, our portfolio is increasingly centered on enabling the autonomous and electrified future.</w:t>
      </w: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800"/>
          </w:cols>
          <w:pgMar w:left="720" w:top="932" w:right="720" w:bottom="175" w:gutter="0" w:footer="0" w:header="0"/>
          <w:type w:val="continuous"/>
        </w:sectPr>
      </w:pPr>
    </w:p>
    <w:bookmarkStart w:id="14" w:name="page15"/>
    <w:bookmarkEnd w:id="14"/>
    <w:p>
      <w:pPr>
        <w:ind w:left="540"/>
        <w:spacing w:after="0"/>
        <w:rPr>
          <w:sz w:val="20"/>
          <w:szCs w:val="20"/>
          <w:color w:val="auto"/>
        </w:rPr>
      </w:pPr>
      <w:r>
        <w:rPr>
          <w:rFonts w:ascii="Times New Roman" w:cs="Times New Roman" w:eastAsia="Times New Roman" w:hAnsi="Times New Roman"/>
          <w:sz w:val="20"/>
          <w:szCs w:val="20"/>
          <w:i w:val="1"/>
          <w:iCs w:val="1"/>
          <w:color w:val="auto"/>
        </w:rPr>
        <w:t>Power ICs</w:t>
      </w:r>
    </w:p>
    <w:p>
      <w:pPr>
        <w:spacing w:after="0" w:line="118"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Our power IC portfolio includes high-temperature and high-voltage capable motor driver ICs, DC-DC voltage regulators, safety PMICs, LED driver ICs, and high-voltage IGDs. These power ICs allow our customers to design safer, smaller, and more power-efficient systems. We employ embedded algorithms that reduce the need for external software development, reduce audible noise, and increase start-up reliability in BLDC motors and fans. Our portfolio of power ICs includes the following:</w:t>
      </w:r>
    </w:p>
    <w:p>
      <w:pPr>
        <w:spacing w:after="0" w:line="28" w:lineRule="exact"/>
        <w:rPr>
          <w:sz w:val="20"/>
          <w:szCs w:val="20"/>
          <w:color w:val="auto"/>
        </w:rPr>
      </w:pPr>
    </w:p>
    <w:p>
      <w:pPr>
        <w:jc w:val="both"/>
        <w:ind w:left="720" w:hanging="360"/>
        <w:spacing w:after="0" w:line="252" w:lineRule="auto"/>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Motor Driver ICs</w:t>
      </w:r>
      <w:r>
        <w:rPr>
          <w:rFonts w:ascii="Times New Roman" w:cs="Times New Roman" w:eastAsia="Times New Roman" w:hAnsi="Times New Roman"/>
          <w:sz w:val="20"/>
          <w:szCs w:val="20"/>
          <w:color w:val="auto"/>
        </w:rPr>
        <w:t>: Motor driver ICs contain the power drivers and the sequencing logic to drive the coils of a variety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motors. Our motor driver ICs utilize embedded algorithms to improve energy efficiency and motion control in various automotive motors, pumps, and fans. Our ICs also spin AI data center cooling fans and pumps, as well as motors for robotics, factory automation, medical devices, and home appliances.</w:t>
      </w:r>
    </w:p>
    <w:p>
      <w:pPr>
        <w:spacing w:after="0" w:line="27" w:lineRule="exact"/>
        <w:rPr>
          <w:rFonts w:ascii="Arial" w:cs="Arial" w:eastAsia="Arial" w:hAnsi="Arial"/>
          <w:sz w:val="20"/>
          <w:szCs w:val="20"/>
          <w:color w:val="auto"/>
        </w:rPr>
      </w:pPr>
    </w:p>
    <w:p>
      <w:pPr>
        <w:jc w:val="both"/>
        <w:ind w:left="720" w:hanging="360"/>
        <w:spacing w:after="0" w:line="258" w:lineRule="auto"/>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Regulators, Safety PMICs and LED Driver ICs</w:t>
      </w:r>
      <w:r>
        <w:rPr>
          <w:rFonts w:ascii="Times New Roman" w:cs="Times New Roman" w:eastAsia="Times New Roman" w:hAnsi="Times New Roman"/>
          <w:sz w:val="20"/>
          <w:szCs w:val="20"/>
          <w:color w:val="auto"/>
        </w:rPr>
        <w:t>: Our portfolio of regulator ICs and PMICs is used extensively for DC-DC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power conversion in advanced ADAS and powertrain systems. Our LED driver ICs and modules are used in smart automotive lighting systems to improve efficiency and reduce solution size.</w:t>
      </w:r>
    </w:p>
    <w:p>
      <w:pPr>
        <w:spacing w:after="0" w:line="21" w:lineRule="exact"/>
        <w:rPr>
          <w:rFonts w:ascii="Arial" w:cs="Arial" w:eastAsia="Arial" w:hAnsi="Arial"/>
          <w:sz w:val="20"/>
          <w:szCs w:val="20"/>
          <w:color w:val="auto"/>
        </w:rPr>
      </w:pPr>
    </w:p>
    <w:p>
      <w:pPr>
        <w:jc w:val="both"/>
        <w:ind w:left="720" w:hanging="360"/>
        <w:spacing w:after="0" w:line="252" w:lineRule="auto"/>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IGDs: </w:t>
      </w:r>
      <w:r>
        <w:rPr>
          <w:rFonts w:ascii="Times New Roman" w:cs="Times New Roman" w:eastAsia="Times New Roman" w:hAnsi="Times New Roman"/>
          <w:sz w:val="20"/>
          <w:szCs w:val="20"/>
          <w:color w:val="auto"/>
        </w:rPr>
        <w:t>These devices typically combine an isolated DC-DC power supply and high-voltage gate drivers into a single package.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They are designed to drive GaN and SiC switches in high-efficiency power conversion systems. Our IGDs enable applications that are smaller and more efficient than competing solutions, helping to shrink PCBs and reduce total system size and raw materials used in AI data centers, xEV powertrains, and energy infrastructure.</w:t>
      </w:r>
    </w:p>
    <w:p>
      <w:pPr>
        <w:spacing w:after="0" w:line="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Examples of our IC products and their applications in end markets are set forth in the following table.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318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Automotive Market IC</w:t>
            </w:r>
          </w:p>
        </w:tc>
        <w:tc>
          <w:tcPr>
            <w:tcW w:w="29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7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20"/>
                <w:szCs w:val="20"/>
                <w:b w:val="1"/>
                <w:bCs w:val="1"/>
                <w:color w:val="auto"/>
              </w:rPr>
              <w:t>Solutions</w:t>
            </w:r>
          </w:p>
        </w:tc>
        <w:tc>
          <w:tcPr>
            <w:tcW w:w="588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20"/>
                <w:szCs w:val="20"/>
                <w:b w:val="1"/>
                <w:bCs w:val="1"/>
                <w:color w:val="auto"/>
              </w:rPr>
              <w:t>Industrial and Other Market IC Solutions</w:t>
            </w:r>
          </w:p>
        </w:tc>
        <w:tc>
          <w:tcPr>
            <w:tcW w:w="0" w:type="dxa"/>
            <w:vAlign w:val="bottom"/>
          </w:tcPr>
          <w:p>
            <w:pPr>
              <w:spacing w:after="0"/>
              <w:rPr>
                <w:sz w:val="1"/>
                <w:szCs w:val="1"/>
                <w:color w:val="auto"/>
              </w:rPr>
            </w:pPr>
          </w:p>
        </w:tc>
      </w:tr>
      <w:tr>
        <w:trPr>
          <w:trHeight w:val="244"/>
        </w:trPr>
        <w:tc>
          <w:tcPr>
            <w:tcW w:w="17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PRODUCTS</w:t>
            </w:r>
          </w:p>
        </w:tc>
        <w:tc>
          <w:tcPr>
            <w:tcW w:w="3180" w:type="dxa"/>
            <w:vAlign w:val="bottom"/>
            <w:shd w:val="clear" w:color="auto" w:fill="E2E2E2"/>
          </w:tcPr>
          <w:p>
            <w:pPr>
              <w:ind w:left="320"/>
              <w:spacing w:after="0"/>
              <w:rPr>
                <w:sz w:val="20"/>
                <w:szCs w:val="20"/>
                <w:color w:val="auto"/>
              </w:rPr>
            </w:pPr>
            <w:r>
              <w:rPr>
                <w:rFonts w:ascii="Times New Roman" w:cs="Times New Roman" w:eastAsia="Times New Roman" w:hAnsi="Times New Roman"/>
                <w:sz w:val="20"/>
                <w:szCs w:val="20"/>
                <w:color w:val="auto"/>
              </w:rPr>
              <w:t>ƒ Current sensors</w:t>
            </w:r>
          </w:p>
        </w:tc>
        <w:tc>
          <w:tcPr>
            <w:tcW w:w="298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20"/>
                <w:szCs w:val="20"/>
                <w:color w:val="auto"/>
              </w:rPr>
              <w:t>ƒ Current sensors</w:t>
            </w:r>
          </w:p>
        </w:tc>
        <w:tc>
          <w:tcPr>
            <w:tcW w:w="29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740" w:type="dxa"/>
            <w:vAlign w:val="bottom"/>
          </w:tcPr>
          <w:p>
            <w:pPr>
              <w:spacing w:after="0"/>
              <w:rPr>
                <w:sz w:val="21"/>
                <w:szCs w:val="21"/>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ƒ Position sensors</w:t>
            </w:r>
          </w:p>
        </w:tc>
        <w:tc>
          <w:tcPr>
            <w:tcW w:w="2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ƒ Position sensors</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740" w:type="dxa"/>
            <w:vAlign w:val="bottom"/>
            <w:shd w:val="clear" w:color="auto" w:fill="E2E2E2"/>
          </w:tcPr>
          <w:p>
            <w:pPr>
              <w:spacing w:after="0"/>
              <w:rPr>
                <w:sz w:val="21"/>
                <w:szCs w:val="21"/>
                <w:color w:val="auto"/>
              </w:rPr>
            </w:pPr>
          </w:p>
        </w:tc>
        <w:tc>
          <w:tcPr>
            <w:tcW w:w="3180" w:type="dxa"/>
            <w:vAlign w:val="bottom"/>
            <w:shd w:val="clear" w:color="auto" w:fill="E2E2E2"/>
          </w:tcPr>
          <w:p>
            <w:pPr>
              <w:ind w:left="320"/>
              <w:spacing w:after="0"/>
              <w:rPr>
                <w:sz w:val="20"/>
                <w:szCs w:val="20"/>
                <w:color w:val="auto"/>
              </w:rPr>
            </w:pPr>
            <w:r>
              <w:rPr>
                <w:rFonts w:ascii="Times New Roman" w:cs="Times New Roman" w:eastAsia="Times New Roman" w:hAnsi="Times New Roman"/>
                <w:sz w:val="20"/>
                <w:szCs w:val="20"/>
                <w:color w:val="auto"/>
              </w:rPr>
              <w:t>ƒ Speed sensors</w:t>
            </w:r>
          </w:p>
        </w:tc>
        <w:tc>
          <w:tcPr>
            <w:tcW w:w="298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20"/>
                <w:szCs w:val="20"/>
                <w:color w:val="auto"/>
              </w:rPr>
              <w:t>ƒ Speed sensors</w:t>
            </w:r>
          </w:p>
        </w:tc>
        <w:tc>
          <w:tcPr>
            <w:tcW w:w="29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1740" w:type="dxa"/>
            <w:vAlign w:val="bottom"/>
          </w:tcPr>
          <w:p>
            <w:pPr>
              <w:spacing w:after="0"/>
              <w:rPr>
                <w:sz w:val="23"/>
                <w:szCs w:val="23"/>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ƒ Motor drivers</w:t>
            </w:r>
          </w:p>
        </w:tc>
        <w:tc>
          <w:tcPr>
            <w:tcW w:w="2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ƒ Motor drivers</w:t>
            </w: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740" w:type="dxa"/>
            <w:vAlign w:val="bottom"/>
            <w:shd w:val="clear" w:color="auto" w:fill="E2E2E2"/>
          </w:tcPr>
          <w:p>
            <w:pPr>
              <w:spacing w:after="0"/>
              <w:rPr>
                <w:sz w:val="23"/>
                <w:szCs w:val="23"/>
                <w:color w:val="auto"/>
              </w:rPr>
            </w:pPr>
          </w:p>
        </w:tc>
        <w:tc>
          <w:tcPr>
            <w:tcW w:w="3180" w:type="dxa"/>
            <w:vAlign w:val="bottom"/>
            <w:shd w:val="clear" w:color="auto" w:fill="E2E2E2"/>
          </w:tcPr>
          <w:p>
            <w:pPr>
              <w:ind w:left="320"/>
              <w:spacing w:after="0"/>
              <w:rPr>
                <w:sz w:val="20"/>
                <w:szCs w:val="20"/>
                <w:color w:val="auto"/>
              </w:rPr>
            </w:pPr>
            <w:r>
              <w:rPr>
                <w:rFonts w:ascii="Times New Roman" w:cs="Times New Roman" w:eastAsia="Times New Roman" w:hAnsi="Times New Roman"/>
                <w:sz w:val="20"/>
                <w:szCs w:val="20"/>
                <w:color w:val="auto"/>
              </w:rPr>
              <w:t>ƒ LED drivers</w:t>
            </w:r>
          </w:p>
        </w:tc>
        <w:tc>
          <w:tcPr>
            <w:tcW w:w="298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20"/>
                <w:szCs w:val="20"/>
                <w:color w:val="auto"/>
              </w:rPr>
              <w:t>ƒ LED drivers</w:t>
            </w:r>
          </w:p>
        </w:tc>
        <w:tc>
          <w:tcPr>
            <w:tcW w:w="2900" w:type="dxa"/>
            <w:vAlign w:val="bottom"/>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740" w:type="dxa"/>
            <w:vAlign w:val="bottom"/>
          </w:tcPr>
          <w:p>
            <w:pPr>
              <w:spacing w:after="0"/>
              <w:rPr>
                <w:sz w:val="23"/>
                <w:szCs w:val="23"/>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ƒ Regulators and PMICs</w:t>
            </w:r>
          </w:p>
        </w:tc>
        <w:tc>
          <w:tcPr>
            <w:tcW w:w="2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ƒ Regulators and PMICs</w:t>
            </w: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1740" w:type="dxa"/>
            <w:vAlign w:val="bottom"/>
            <w:tcBorders>
              <w:bottom w:val="single" w:sz="8" w:color="auto"/>
            </w:tcBorders>
            <w:shd w:val="clear" w:color="auto" w:fill="E2E2E2"/>
          </w:tcPr>
          <w:p>
            <w:pPr>
              <w:spacing w:after="0"/>
              <w:rPr>
                <w:sz w:val="24"/>
                <w:szCs w:val="24"/>
                <w:color w:val="auto"/>
              </w:rPr>
            </w:pPr>
          </w:p>
        </w:tc>
        <w:tc>
          <w:tcPr>
            <w:tcW w:w="3180" w:type="dxa"/>
            <w:vAlign w:val="bottom"/>
            <w:tcBorders>
              <w:bottom w:val="single" w:sz="8" w:color="auto"/>
            </w:tcBorders>
            <w:shd w:val="clear" w:color="auto" w:fill="E2E2E2"/>
          </w:tcPr>
          <w:p>
            <w:pPr>
              <w:ind w:left="320"/>
              <w:spacing w:after="0"/>
              <w:rPr>
                <w:sz w:val="20"/>
                <w:szCs w:val="20"/>
                <w:color w:val="auto"/>
              </w:rPr>
            </w:pPr>
            <w:r>
              <w:rPr>
                <w:rFonts w:ascii="Times New Roman" w:cs="Times New Roman" w:eastAsia="Times New Roman" w:hAnsi="Times New Roman"/>
                <w:sz w:val="20"/>
                <w:szCs w:val="20"/>
                <w:color w:val="auto"/>
              </w:rPr>
              <w:t>ƒ IGDs</w:t>
            </w:r>
          </w:p>
        </w:tc>
        <w:tc>
          <w:tcPr>
            <w:tcW w:w="2980" w:type="dxa"/>
            <w:vAlign w:val="bottom"/>
            <w:tcBorders>
              <w:bottom w:val="single" w:sz="8" w:color="auto"/>
            </w:tcBorders>
            <w:shd w:val="clear" w:color="auto" w:fill="E2E2E2"/>
          </w:tcPr>
          <w:p>
            <w:pPr>
              <w:ind w:left="100"/>
              <w:spacing w:after="0"/>
              <w:rPr>
                <w:sz w:val="20"/>
                <w:szCs w:val="20"/>
                <w:color w:val="auto"/>
              </w:rPr>
            </w:pPr>
            <w:r>
              <w:rPr>
                <w:rFonts w:ascii="Times New Roman" w:cs="Times New Roman" w:eastAsia="Times New Roman" w:hAnsi="Times New Roman"/>
                <w:sz w:val="20"/>
                <w:szCs w:val="20"/>
                <w:color w:val="auto"/>
              </w:rPr>
              <w:t>ƒ IGDs</w:t>
            </w:r>
          </w:p>
        </w:tc>
        <w:tc>
          <w:tcPr>
            <w:tcW w:w="2900" w:type="dxa"/>
            <w:vAlign w:val="bottom"/>
            <w:tcBorders>
              <w:bottom w:val="single" w:sz="8" w:color="auto"/>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APPLICATIONS</w:t>
            </w:r>
          </w:p>
        </w:tc>
        <w:tc>
          <w:tcPr>
            <w:tcW w:w="3180" w:type="dxa"/>
            <w:vAlign w:val="bottom"/>
          </w:tcPr>
          <w:p>
            <w:pPr>
              <w:ind w:left="320"/>
              <w:spacing w:after="0" w:line="225" w:lineRule="exact"/>
              <w:rPr>
                <w:sz w:val="20"/>
                <w:szCs w:val="20"/>
                <w:color w:val="auto"/>
              </w:rPr>
            </w:pPr>
            <w:r>
              <w:rPr>
                <w:rFonts w:ascii="Times New Roman" w:cs="Times New Roman" w:eastAsia="Times New Roman" w:hAnsi="Times New Roman"/>
                <w:sz w:val="20"/>
                <w:szCs w:val="20"/>
                <w:color w:val="auto"/>
              </w:rPr>
              <w:t>ƒ Electric motor powertrain and</w:t>
            </w: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ƒ Data center power delivery and</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740" w:type="dxa"/>
            <w:vAlign w:val="bottom"/>
          </w:tcPr>
          <w:p>
            <w:pPr>
              <w:spacing w:after="0"/>
              <w:rPr>
                <w:sz w:val="10"/>
                <w:szCs w:val="10"/>
                <w:color w:val="auto"/>
              </w:rPr>
            </w:pPr>
          </w:p>
        </w:tc>
        <w:tc>
          <w:tcPr>
            <w:tcW w:w="31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on-board charging systems for</w:t>
            </w:r>
          </w:p>
        </w:tc>
        <w:tc>
          <w:tcPr>
            <w:tcW w:w="2980" w:type="dxa"/>
            <w:vAlign w:val="bottom"/>
            <w:vMerge w:val="continue"/>
          </w:tcPr>
          <w:p>
            <w:pPr>
              <w:spacing w:after="0"/>
              <w:rPr>
                <w:sz w:val="10"/>
                <w:szCs w:val="10"/>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ƒ Smart home/internet of things</w:t>
            </w:r>
          </w:p>
        </w:tc>
        <w:tc>
          <w:tcPr>
            <w:tcW w:w="0" w:type="dxa"/>
            <w:vAlign w:val="bottom"/>
          </w:tcPr>
          <w:p>
            <w:pPr>
              <w:spacing w:after="0"/>
              <w:rPr>
                <w:sz w:val="1"/>
                <w:szCs w:val="1"/>
                <w:color w:val="auto"/>
              </w:rPr>
            </w:pPr>
          </w:p>
        </w:tc>
      </w:tr>
      <w:tr>
        <w:trPr>
          <w:trHeight w:val="115"/>
        </w:trPr>
        <w:tc>
          <w:tcPr>
            <w:tcW w:w="1740" w:type="dxa"/>
            <w:vAlign w:val="bottom"/>
          </w:tcPr>
          <w:p>
            <w:pPr>
              <w:spacing w:after="0"/>
              <w:rPr>
                <w:sz w:val="10"/>
                <w:szCs w:val="10"/>
                <w:color w:val="auto"/>
              </w:rPr>
            </w:pPr>
          </w:p>
        </w:tc>
        <w:tc>
          <w:tcPr>
            <w:tcW w:w="3180" w:type="dxa"/>
            <w:vAlign w:val="bottom"/>
            <w:vMerge w:val="continue"/>
          </w:tcPr>
          <w:p>
            <w:pPr>
              <w:spacing w:after="0"/>
              <w:rPr>
                <w:sz w:val="10"/>
                <w:szCs w:val="10"/>
                <w:color w:val="auto"/>
              </w:rPr>
            </w:pP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cooling systems</w:t>
            </w:r>
          </w:p>
        </w:tc>
        <w:tc>
          <w:tcPr>
            <w:tcW w:w="2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740" w:type="dxa"/>
            <w:vAlign w:val="bottom"/>
          </w:tcPr>
          <w:p>
            <w:pPr>
              <w:spacing w:after="0"/>
              <w:rPr>
                <w:sz w:val="13"/>
                <w:szCs w:val="13"/>
                <w:color w:val="auto"/>
              </w:rPr>
            </w:pPr>
          </w:p>
        </w:tc>
        <w:tc>
          <w:tcPr>
            <w:tcW w:w="31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xEV</w:t>
            </w:r>
          </w:p>
        </w:tc>
        <w:tc>
          <w:tcPr>
            <w:tcW w:w="2980" w:type="dxa"/>
            <w:vAlign w:val="bottom"/>
            <w:vMerge w:val="continue"/>
          </w:tcPr>
          <w:p>
            <w:pPr>
              <w:spacing w:after="0"/>
              <w:rPr>
                <w:sz w:val="13"/>
                <w:szCs w:val="13"/>
                <w:color w:val="auto"/>
              </w:rPr>
            </w:pPr>
          </w:p>
        </w:tc>
        <w:tc>
          <w:tcPr>
            <w:tcW w:w="2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740" w:type="dxa"/>
            <w:vAlign w:val="bottom"/>
          </w:tcPr>
          <w:p>
            <w:pPr>
              <w:spacing w:after="0"/>
              <w:rPr>
                <w:sz w:val="8"/>
                <w:szCs w:val="8"/>
                <w:color w:val="auto"/>
              </w:rPr>
            </w:pPr>
          </w:p>
        </w:tc>
        <w:tc>
          <w:tcPr>
            <w:tcW w:w="3180" w:type="dxa"/>
            <w:vAlign w:val="bottom"/>
            <w:vMerge w:val="continue"/>
          </w:tcPr>
          <w:p>
            <w:pPr>
              <w:spacing w:after="0"/>
              <w:rPr>
                <w:sz w:val="8"/>
                <w:szCs w:val="8"/>
                <w:color w:val="auto"/>
              </w:rPr>
            </w:pPr>
          </w:p>
        </w:tc>
        <w:tc>
          <w:tcPr>
            <w:tcW w:w="29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740" w:type="dxa"/>
            <w:vAlign w:val="bottom"/>
            <w:shd w:val="clear" w:color="auto" w:fill="E2E2E2"/>
          </w:tcPr>
          <w:p>
            <w:pPr>
              <w:spacing w:after="0"/>
              <w:rPr>
                <w:sz w:val="24"/>
                <w:szCs w:val="24"/>
                <w:color w:val="auto"/>
              </w:rPr>
            </w:pPr>
          </w:p>
        </w:tc>
        <w:tc>
          <w:tcPr>
            <w:tcW w:w="3180" w:type="dxa"/>
            <w:vAlign w:val="bottom"/>
            <w:shd w:val="clear" w:color="auto" w:fill="E2E2E2"/>
          </w:tcPr>
          <w:p>
            <w:pPr>
              <w:ind w:left="320"/>
              <w:spacing w:after="0"/>
              <w:rPr>
                <w:sz w:val="20"/>
                <w:szCs w:val="20"/>
                <w:color w:val="auto"/>
              </w:rPr>
            </w:pPr>
            <w:r>
              <w:rPr>
                <w:rFonts w:ascii="Times New Roman" w:cs="Times New Roman" w:eastAsia="Times New Roman" w:hAnsi="Times New Roman"/>
                <w:sz w:val="20"/>
                <w:szCs w:val="20"/>
                <w:color w:val="auto"/>
              </w:rPr>
              <w:t>ƒ ADAS, active safety, including</w:t>
            </w:r>
          </w:p>
        </w:tc>
        <w:tc>
          <w:tcPr>
            <w:tcW w:w="298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20"/>
                <w:szCs w:val="20"/>
                <w:color w:val="auto"/>
              </w:rPr>
              <w:t>ƒ Robotics, factory automation and</w:t>
            </w:r>
          </w:p>
        </w:tc>
        <w:tc>
          <w:tcPr>
            <w:tcW w:w="2900" w:type="dxa"/>
            <w:vAlign w:val="bottom"/>
            <w:shd w:val="clear" w:color="auto" w:fill="E2E2E2"/>
          </w:tcPr>
          <w:p>
            <w:pPr>
              <w:ind w:left="80"/>
              <w:spacing w:after="0"/>
              <w:rPr>
                <w:sz w:val="20"/>
                <w:szCs w:val="20"/>
                <w:color w:val="auto"/>
              </w:rPr>
            </w:pPr>
            <w:r>
              <w:rPr>
                <w:rFonts w:ascii="Times New Roman" w:cs="Times New Roman" w:eastAsia="Times New Roman" w:hAnsi="Times New Roman"/>
                <w:sz w:val="20"/>
                <w:szCs w:val="20"/>
                <w:color w:val="auto"/>
              </w:rPr>
              <w:t>ƒ Gaming devices</w:t>
            </w:r>
          </w:p>
        </w:tc>
        <w:tc>
          <w:tcPr>
            <w:tcW w:w="0" w:type="dxa"/>
            <w:vAlign w:val="bottom"/>
          </w:tcPr>
          <w:p>
            <w:pPr>
              <w:spacing w:after="0"/>
              <w:rPr>
                <w:sz w:val="1"/>
                <w:szCs w:val="1"/>
                <w:color w:val="auto"/>
              </w:rPr>
            </w:pPr>
          </w:p>
        </w:tc>
      </w:tr>
      <w:tr>
        <w:trPr>
          <w:trHeight w:val="158"/>
        </w:trPr>
        <w:tc>
          <w:tcPr>
            <w:tcW w:w="1740" w:type="dxa"/>
            <w:vAlign w:val="bottom"/>
            <w:shd w:val="clear" w:color="auto" w:fill="E2E2E2"/>
          </w:tcPr>
          <w:p>
            <w:pPr>
              <w:spacing w:after="0"/>
              <w:rPr>
                <w:sz w:val="13"/>
                <w:szCs w:val="13"/>
                <w:color w:val="auto"/>
              </w:rPr>
            </w:pPr>
          </w:p>
        </w:tc>
        <w:tc>
          <w:tcPr>
            <w:tcW w:w="3180" w:type="dxa"/>
            <w:vAlign w:val="bottom"/>
            <w:shd w:val="clear" w:color="auto" w:fill="E2E2E2"/>
          </w:tcPr>
          <w:p>
            <w:pPr>
              <w:ind w:left="320"/>
              <w:spacing w:after="0" w:line="158" w:lineRule="exact"/>
              <w:rPr>
                <w:sz w:val="20"/>
                <w:szCs w:val="20"/>
                <w:color w:val="auto"/>
              </w:rPr>
            </w:pPr>
            <w:r>
              <w:rPr>
                <w:rFonts w:ascii="Times New Roman" w:cs="Times New Roman" w:eastAsia="Times New Roman" w:hAnsi="Times New Roman"/>
                <w:sz w:val="18"/>
                <w:szCs w:val="18"/>
                <w:color w:val="auto"/>
              </w:rPr>
              <w:t>steering and braking systems</w:t>
            </w:r>
          </w:p>
        </w:tc>
        <w:tc>
          <w:tcPr>
            <w:tcW w:w="2980" w:type="dxa"/>
            <w:vAlign w:val="bottom"/>
            <w:shd w:val="clear" w:color="auto" w:fill="E2E2E2"/>
          </w:tcPr>
          <w:p>
            <w:pPr>
              <w:ind w:left="100"/>
              <w:spacing w:after="0" w:line="158" w:lineRule="exact"/>
              <w:rPr>
                <w:sz w:val="20"/>
                <w:szCs w:val="20"/>
                <w:color w:val="auto"/>
              </w:rPr>
            </w:pPr>
            <w:r>
              <w:rPr>
                <w:rFonts w:ascii="Times New Roman" w:cs="Times New Roman" w:eastAsia="Times New Roman" w:hAnsi="Times New Roman"/>
                <w:sz w:val="18"/>
                <w:szCs w:val="18"/>
                <w:color w:val="auto"/>
              </w:rPr>
              <w:t>Industrial motors</w:t>
            </w:r>
          </w:p>
        </w:tc>
        <w:tc>
          <w:tcPr>
            <w:tcW w:w="2900" w:type="dxa"/>
            <w:vAlign w:val="bottom"/>
            <w:shd w:val="clear" w:color="auto" w:fill="E2E2E2"/>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31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ƒ Engine management and</w:t>
            </w:r>
          </w:p>
        </w:tc>
        <w:tc>
          <w:tcPr>
            <w:tcW w:w="2980" w:type="dxa"/>
            <w:vAlign w:val="bottom"/>
          </w:tcPr>
          <w:p>
            <w:pPr>
              <w:ind w:left="100"/>
              <w:spacing w:after="0" w:line="225" w:lineRule="exact"/>
              <w:rPr>
                <w:sz w:val="20"/>
                <w:szCs w:val="20"/>
                <w:color w:val="auto"/>
              </w:rPr>
            </w:pPr>
            <w:r>
              <w:rPr>
                <w:rFonts w:ascii="Times New Roman" w:cs="Times New Roman" w:eastAsia="Times New Roman" w:hAnsi="Times New Roman"/>
                <w:sz w:val="20"/>
                <w:szCs w:val="20"/>
                <w:color w:val="auto"/>
              </w:rPr>
              <w:t>ƒ xEV charging infrastructure,</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740" w:type="dxa"/>
            <w:vAlign w:val="bottom"/>
          </w:tcPr>
          <w:p>
            <w:pPr>
              <w:spacing w:after="0"/>
              <w:rPr>
                <w:sz w:val="10"/>
                <w:szCs w:val="10"/>
                <w:color w:val="auto"/>
              </w:rPr>
            </w:pPr>
          </w:p>
        </w:tc>
        <w:tc>
          <w:tcPr>
            <w:tcW w:w="3180" w:type="dxa"/>
            <w:vAlign w:val="bottom"/>
            <w:vMerge w:val="continue"/>
          </w:tcPr>
          <w:p>
            <w:pPr>
              <w:spacing w:after="0"/>
              <w:rPr>
                <w:sz w:val="10"/>
                <w:szCs w:val="10"/>
                <w:color w:val="auto"/>
              </w:rPr>
            </w:pP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solar power generation, and</w:t>
            </w: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ƒ Power tools</w:t>
            </w:r>
          </w:p>
        </w:tc>
        <w:tc>
          <w:tcPr>
            <w:tcW w:w="0" w:type="dxa"/>
            <w:vAlign w:val="bottom"/>
          </w:tcPr>
          <w:p>
            <w:pPr>
              <w:spacing w:after="0"/>
              <w:rPr>
                <w:sz w:val="1"/>
                <w:szCs w:val="1"/>
                <w:color w:val="auto"/>
              </w:rPr>
            </w:pPr>
          </w:p>
        </w:tc>
      </w:tr>
      <w:tr>
        <w:trPr>
          <w:trHeight w:val="115"/>
        </w:trPr>
        <w:tc>
          <w:tcPr>
            <w:tcW w:w="1740" w:type="dxa"/>
            <w:vAlign w:val="bottom"/>
          </w:tcPr>
          <w:p>
            <w:pPr>
              <w:spacing w:after="0"/>
              <w:rPr>
                <w:sz w:val="10"/>
                <w:szCs w:val="10"/>
                <w:color w:val="auto"/>
              </w:rPr>
            </w:pPr>
          </w:p>
        </w:tc>
        <w:tc>
          <w:tcPr>
            <w:tcW w:w="31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transmission systems</w:t>
            </w:r>
          </w:p>
        </w:tc>
        <w:tc>
          <w:tcPr>
            <w:tcW w:w="2980" w:type="dxa"/>
            <w:vAlign w:val="bottom"/>
            <w:vMerge w:val="continue"/>
          </w:tcPr>
          <w:p>
            <w:pPr>
              <w:spacing w:after="0"/>
              <w:rPr>
                <w:sz w:val="10"/>
                <w:szCs w:val="10"/>
                <w:color w:val="auto"/>
              </w:rPr>
            </w:pPr>
          </w:p>
        </w:tc>
        <w:tc>
          <w:tcPr>
            <w:tcW w:w="2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740" w:type="dxa"/>
            <w:vAlign w:val="bottom"/>
          </w:tcPr>
          <w:p>
            <w:pPr>
              <w:spacing w:after="0"/>
              <w:rPr>
                <w:sz w:val="13"/>
                <w:szCs w:val="13"/>
                <w:color w:val="auto"/>
              </w:rPr>
            </w:pPr>
          </w:p>
        </w:tc>
        <w:tc>
          <w:tcPr>
            <w:tcW w:w="3180" w:type="dxa"/>
            <w:vAlign w:val="bottom"/>
            <w:vMerge w:val="continue"/>
          </w:tcPr>
          <w:p>
            <w:pPr>
              <w:spacing w:after="0"/>
              <w:rPr>
                <w:sz w:val="13"/>
                <w:szCs w:val="13"/>
                <w:color w:val="auto"/>
              </w:rPr>
            </w:pP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battery storage</w:t>
            </w:r>
          </w:p>
        </w:tc>
        <w:tc>
          <w:tcPr>
            <w:tcW w:w="2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7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740" w:type="dxa"/>
            <w:vAlign w:val="bottom"/>
            <w:shd w:val="clear" w:color="auto" w:fill="E2E2E2"/>
          </w:tcPr>
          <w:p>
            <w:pPr>
              <w:spacing w:after="0"/>
              <w:rPr>
                <w:sz w:val="19"/>
                <w:szCs w:val="19"/>
                <w:color w:val="auto"/>
              </w:rPr>
            </w:pPr>
          </w:p>
        </w:tc>
        <w:tc>
          <w:tcPr>
            <w:tcW w:w="3180" w:type="dxa"/>
            <w:vAlign w:val="bottom"/>
            <w:shd w:val="clear" w:color="auto" w:fill="E2E2E2"/>
          </w:tcPr>
          <w:p>
            <w:pPr>
              <w:ind w:left="320"/>
              <w:spacing w:after="0" w:line="225" w:lineRule="exact"/>
              <w:rPr>
                <w:sz w:val="20"/>
                <w:szCs w:val="20"/>
                <w:color w:val="auto"/>
              </w:rPr>
            </w:pPr>
            <w:r>
              <w:rPr>
                <w:rFonts w:ascii="Times New Roman" w:cs="Times New Roman" w:eastAsia="Times New Roman" w:hAnsi="Times New Roman"/>
                <w:sz w:val="20"/>
                <w:szCs w:val="20"/>
                <w:color w:val="auto"/>
              </w:rPr>
              <w:t>ƒ Comfort and convenience</w:t>
            </w:r>
          </w:p>
        </w:tc>
        <w:tc>
          <w:tcPr>
            <w:tcW w:w="2980" w:type="dxa"/>
            <w:vAlign w:val="bottom"/>
            <w:shd w:val="clear" w:color="auto" w:fill="E2E2E2"/>
          </w:tcPr>
          <w:p>
            <w:pPr>
              <w:spacing w:after="0"/>
              <w:rPr>
                <w:sz w:val="19"/>
                <w:szCs w:val="19"/>
                <w:color w:val="auto"/>
              </w:rPr>
            </w:pPr>
          </w:p>
        </w:tc>
        <w:tc>
          <w:tcPr>
            <w:tcW w:w="2900" w:type="dxa"/>
            <w:vAlign w:val="bottom"/>
            <w:vMerge w:val="restart"/>
            <w:shd w:val="clear" w:color="auto" w:fill="E2E2E2"/>
          </w:tcPr>
          <w:p>
            <w:pPr>
              <w:ind w:left="80"/>
              <w:spacing w:after="0"/>
              <w:rPr>
                <w:sz w:val="20"/>
                <w:szCs w:val="20"/>
                <w:color w:val="auto"/>
              </w:rPr>
            </w:pPr>
            <w:r>
              <w:rPr>
                <w:rFonts w:ascii="Times New Roman" w:cs="Times New Roman" w:eastAsia="Times New Roman" w:hAnsi="Times New Roman"/>
                <w:sz w:val="20"/>
                <w:szCs w:val="20"/>
                <w:color w:val="auto"/>
              </w:rPr>
              <w:t>ƒ Household appliances, including</w:t>
            </w:r>
          </w:p>
        </w:tc>
        <w:tc>
          <w:tcPr>
            <w:tcW w:w="0" w:type="dxa"/>
            <w:vAlign w:val="bottom"/>
          </w:tcPr>
          <w:p>
            <w:pPr>
              <w:spacing w:after="0"/>
              <w:rPr>
                <w:sz w:val="1"/>
                <w:szCs w:val="1"/>
                <w:color w:val="auto"/>
              </w:rPr>
            </w:pPr>
          </w:p>
        </w:tc>
      </w:tr>
      <w:tr>
        <w:trPr>
          <w:trHeight w:val="115"/>
        </w:trPr>
        <w:tc>
          <w:tcPr>
            <w:tcW w:w="1740" w:type="dxa"/>
            <w:vAlign w:val="bottom"/>
            <w:shd w:val="clear" w:color="auto" w:fill="E2E2E2"/>
          </w:tcPr>
          <w:p>
            <w:pPr>
              <w:spacing w:after="0"/>
              <w:rPr>
                <w:sz w:val="10"/>
                <w:szCs w:val="10"/>
                <w:color w:val="auto"/>
              </w:rPr>
            </w:pPr>
          </w:p>
        </w:tc>
        <w:tc>
          <w:tcPr>
            <w:tcW w:w="3180" w:type="dxa"/>
            <w:vAlign w:val="bottom"/>
            <w:vMerge w:val="restart"/>
            <w:shd w:val="clear" w:color="auto" w:fill="E2E2E2"/>
          </w:tcPr>
          <w:p>
            <w:pPr>
              <w:ind w:left="320"/>
              <w:spacing w:after="0"/>
              <w:rPr>
                <w:sz w:val="20"/>
                <w:szCs w:val="20"/>
                <w:color w:val="auto"/>
              </w:rPr>
            </w:pPr>
            <w:r>
              <w:rPr>
                <w:rFonts w:ascii="Times New Roman" w:cs="Times New Roman" w:eastAsia="Times New Roman" w:hAnsi="Times New Roman"/>
                <w:sz w:val="20"/>
                <w:szCs w:val="20"/>
                <w:color w:val="auto"/>
              </w:rPr>
              <w:t>including in-cabin motors, HVAC,</w:t>
            </w:r>
          </w:p>
        </w:tc>
        <w:tc>
          <w:tcPr>
            <w:tcW w:w="2980" w:type="dxa"/>
            <w:vAlign w:val="bottom"/>
            <w:vMerge w:val="restart"/>
            <w:shd w:val="clear" w:color="auto" w:fill="E2E2E2"/>
          </w:tcPr>
          <w:p>
            <w:pPr>
              <w:ind w:left="100"/>
              <w:spacing w:after="0"/>
              <w:rPr>
                <w:sz w:val="20"/>
                <w:szCs w:val="20"/>
                <w:color w:val="auto"/>
              </w:rPr>
            </w:pPr>
            <w:r>
              <w:rPr>
                <w:rFonts w:ascii="Times New Roman" w:cs="Times New Roman" w:eastAsia="Times New Roman" w:hAnsi="Times New Roman"/>
                <w:sz w:val="20"/>
                <w:szCs w:val="20"/>
                <w:color w:val="auto"/>
              </w:rPr>
              <w:t>ƒ Personal mobility</w:t>
            </w:r>
          </w:p>
        </w:tc>
        <w:tc>
          <w:tcPr>
            <w:tcW w:w="2900" w:type="dxa"/>
            <w:vAlign w:val="bottom"/>
            <w:vMerge w:val="continue"/>
            <w:shd w:val="clear" w:color="auto" w:fill="E2E2E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shd w:val="clear" w:color="auto" w:fill="E2E2E2"/>
          </w:tcPr>
          <w:p>
            <w:pPr>
              <w:spacing w:after="0"/>
              <w:rPr>
                <w:sz w:val="10"/>
                <w:szCs w:val="10"/>
                <w:color w:val="auto"/>
              </w:rPr>
            </w:pPr>
          </w:p>
        </w:tc>
        <w:tc>
          <w:tcPr>
            <w:tcW w:w="3180" w:type="dxa"/>
            <w:vAlign w:val="bottom"/>
            <w:vMerge w:val="continue"/>
            <w:shd w:val="clear" w:color="auto" w:fill="E2E2E2"/>
          </w:tcPr>
          <w:p>
            <w:pPr>
              <w:spacing w:after="0"/>
              <w:rPr>
                <w:sz w:val="10"/>
                <w:szCs w:val="10"/>
                <w:color w:val="auto"/>
              </w:rPr>
            </w:pPr>
          </w:p>
        </w:tc>
        <w:tc>
          <w:tcPr>
            <w:tcW w:w="2980" w:type="dxa"/>
            <w:vAlign w:val="bottom"/>
            <w:vMerge w:val="continue"/>
            <w:shd w:val="clear" w:color="auto" w:fill="E2E2E2"/>
          </w:tcPr>
          <w:p>
            <w:pPr>
              <w:spacing w:after="0"/>
              <w:rPr>
                <w:sz w:val="10"/>
                <w:szCs w:val="10"/>
                <w:color w:val="auto"/>
              </w:rPr>
            </w:pPr>
          </w:p>
        </w:tc>
        <w:tc>
          <w:tcPr>
            <w:tcW w:w="2900" w:type="dxa"/>
            <w:vAlign w:val="bottom"/>
            <w:vMerge w:val="restart"/>
            <w:shd w:val="clear" w:color="auto" w:fill="E2E2E2"/>
          </w:tcPr>
          <w:p>
            <w:pPr>
              <w:ind w:left="80"/>
              <w:spacing w:after="0"/>
              <w:rPr>
                <w:sz w:val="20"/>
                <w:szCs w:val="20"/>
                <w:color w:val="auto"/>
              </w:rPr>
            </w:pPr>
            <w:r>
              <w:rPr>
                <w:rFonts w:ascii="Times New Roman" w:cs="Times New Roman" w:eastAsia="Times New Roman" w:hAnsi="Times New Roman"/>
                <w:sz w:val="20"/>
                <w:szCs w:val="20"/>
                <w:color w:val="auto"/>
              </w:rPr>
              <w:t>white goods</w:t>
            </w:r>
          </w:p>
        </w:tc>
        <w:tc>
          <w:tcPr>
            <w:tcW w:w="0" w:type="dxa"/>
            <w:vAlign w:val="bottom"/>
          </w:tcPr>
          <w:p>
            <w:pPr>
              <w:spacing w:after="0"/>
              <w:rPr>
                <w:sz w:val="1"/>
                <w:szCs w:val="1"/>
                <w:color w:val="auto"/>
              </w:rPr>
            </w:pPr>
          </w:p>
        </w:tc>
      </w:tr>
      <w:tr>
        <w:trPr>
          <w:trHeight w:val="151"/>
        </w:trPr>
        <w:tc>
          <w:tcPr>
            <w:tcW w:w="1740" w:type="dxa"/>
            <w:vAlign w:val="bottom"/>
            <w:shd w:val="clear" w:color="auto" w:fill="E2E2E2"/>
          </w:tcPr>
          <w:p>
            <w:pPr>
              <w:spacing w:after="0"/>
              <w:rPr>
                <w:sz w:val="13"/>
                <w:szCs w:val="13"/>
                <w:color w:val="auto"/>
              </w:rPr>
            </w:pPr>
          </w:p>
        </w:tc>
        <w:tc>
          <w:tcPr>
            <w:tcW w:w="3180" w:type="dxa"/>
            <w:vAlign w:val="bottom"/>
            <w:vMerge w:val="restart"/>
            <w:shd w:val="clear" w:color="auto" w:fill="E2E2E2"/>
          </w:tcPr>
          <w:p>
            <w:pPr>
              <w:ind w:left="320"/>
              <w:spacing w:after="0"/>
              <w:rPr>
                <w:sz w:val="20"/>
                <w:szCs w:val="20"/>
                <w:color w:val="auto"/>
              </w:rPr>
            </w:pPr>
            <w:r>
              <w:rPr>
                <w:rFonts w:ascii="Times New Roman" w:cs="Times New Roman" w:eastAsia="Times New Roman" w:hAnsi="Times New Roman"/>
                <w:sz w:val="20"/>
                <w:szCs w:val="20"/>
                <w:color w:val="auto"/>
              </w:rPr>
              <w:t>and LED lighting</w:t>
            </w:r>
          </w:p>
        </w:tc>
        <w:tc>
          <w:tcPr>
            <w:tcW w:w="2980" w:type="dxa"/>
            <w:vAlign w:val="bottom"/>
            <w:shd w:val="clear" w:color="auto" w:fill="E2E2E2"/>
          </w:tcPr>
          <w:p>
            <w:pPr>
              <w:spacing w:after="0"/>
              <w:rPr>
                <w:sz w:val="13"/>
                <w:szCs w:val="13"/>
                <w:color w:val="auto"/>
              </w:rPr>
            </w:pPr>
          </w:p>
        </w:tc>
        <w:tc>
          <w:tcPr>
            <w:tcW w:w="2900" w:type="dxa"/>
            <w:vAlign w:val="bottom"/>
            <w:vMerge w:val="continue"/>
            <w:shd w:val="clear" w:color="auto" w:fill="E2E2E2"/>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740" w:type="dxa"/>
            <w:vAlign w:val="bottom"/>
            <w:shd w:val="clear" w:color="auto" w:fill="E2E2E2"/>
          </w:tcPr>
          <w:p>
            <w:pPr>
              <w:spacing w:after="0"/>
              <w:rPr>
                <w:sz w:val="8"/>
                <w:szCs w:val="8"/>
                <w:color w:val="auto"/>
              </w:rPr>
            </w:pPr>
          </w:p>
        </w:tc>
        <w:tc>
          <w:tcPr>
            <w:tcW w:w="3180" w:type="dxa"/>
            <w:vAlign w:val="bottom"/>
            <w:vMerge w:val="continue"/>
            <w:shd w:val="clear" w:color="auto" w:fill="E2E2E2"/>
          </w:tcPr>
          <w:p>
            <w:pPr>
              <w:spacing w:after="0"/>
              <w:rPr>
                <w:sz w:val="8"/>
                <w:szCs w:val="8"/>
                <w:color w:val="auto"/>
              </w:rPr>
            </w:pPr>
          </w:p>
        </w:tc>
        <w:tc>
          <w:tcPr>
            <w:tcW w:w="2980" w:type="dxa"/>
            <w:vAlign w:val="bottom"/>
            <w:shd w:val="clear" w:color="auto" w:fill="E2E2E2"/>
          </w:tcPr>
          <w:p>
            <w:pPr>
              <w:spacing w:after="0"/>
              <w:rPr>
                <w:sz w:val="8"/>
                <w:szCs w:val="8"/>
                <w:color w:val="auto"/>
              </w:rPr>
            </w:pPr>
          </w:p>
        </w:tc>
        <w:tc>
          <w:tcPr>
            <w:tcW w:w="2900" w:type="dxa"/>
            <w:vAlign w:val="bottom"/>
            <w:shd w:val="clear" w:color="auto" w:fill="E2E2E2"/>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740" w:type="dxa"/>
            <w:vAlign w:val="bottom"/>
          </w:tcPr>
          <w:p>
            <w:pPr>
              <w:spacing w:after="0"/>
              <w:rPr>
                <w:sz w:val="19"/>
                <w:szCs w:val="19"/>
                <w:color w:val="auto"/>
              </w:rPr>
            </w:pPr>
          </w:p>
        </w:tc>
        <w:tc>
          <w:tcPr>
            <w:tcW w:w="3180" w:type="dxa"/>
            <w:vAlign w:val="bottom"/>
          </w:tcPr>
          <w:p>
            <w:pPr>
              <w:ind w:left="320"/>
              <w:spacing w:after="0" w:line="225" w:lineRule="exact"/>
              <w:rPr>
                <w:sz w:val="20"/>
                <w:szCs w:val="20"/>
                <w:color w:val="auto"/>
              </w:rPr>
            </w:pPr>
            <w:r>
              <w:rPr>
                <w:rFonts w:ascii="Times New Roman" w:cs="Times New Roman" w:eastAsia="Times New Roman" w:hAnsi="Times New Roman"/>
                <w:sz w:val="20"/>
                <w:szCs w:val="20"/>
                <w:color w:val="auto"/>
              </w:rPr>
              <w:t>ƒ Body electronics, including</w:t>
            </w:r>
          </w:p>
        </w:tc>
        <w:tc>
          <w:tcPr>
            <w:tcW w:w="29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wipers, door/window sensors, seat</w:t>
            </w:r>
          </w:p>
        </w:tc>
        <w:tc>
          <w:tcPr>
            <w:tcW w:w="2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ƒ Consumer-grade medical devices</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740" w:type="dxa"/>
            <w:vAlign w:val="bottom"/>
          </w:tcPr>
          <w:p>
            <w:pPr>
              <w:spacing w:after="0"/>
              <w:rPr>
                <w:sz w:val="23"/>
                <w:szCs w:val="23"/>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position and suspension</w:t>
            </w:r>
          </w:p>
        </w:tc>
        <w:tc>
          <w:tcPr>
            <w:tcW w:w="298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800"/>
          </w:cols>
          <w:pgMar w:left="720" w:top="932" w:right="720" w:bottom="175"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Sustainability Initiatives</w:t>
      </w:r>
    </w:p>
    <w:p>
      <w:pPr>
        <w:spacing w:after="0" w:line="124"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Our commitment to “Innovation with Purpose” is a core value that includes operating responsibly and sustainably. Our engineers are developing innovative solutions that address critical customer needs, such as improving efficiency in automotive and industrial systems and supporting the transition to more sustainable energy solutions. We believe that integrating ESG considerations into our business strategy is essential for long-term value creation and meeting the evolving expectations of our stakeholders, including our customers. We recognize that the regulatory landscape surrounding environmental and social issues is dynamic, and our approach may evolve over time as regulations and stakeholder expectations change.</w:t>
      </w:r>
    </w:p>
    <w:p>
      <w:pPr>
        <w:spacing w:after="0" w:line="80"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Our ESG strategy is advanced through our five signature initiatives focused on our products, environmental impacts, supply chain, communities, and workforce. At the core of these initiatives is maximizing the positive impact of our products. We believe our ICs help address global challenges related to carbon dioxide (“CO2”) emissions, energy efficiency, and renewable energy across a variety of applications. For example, our products:</w:t>
      </w:r>
    </w:p>
    <w:p>
      <w:pPr>
        <w:spacing w:after="0" w:line="28" w:lineRule="exact"/>
        <w:rPr>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Improve energy efficiency in HEVs and BEVs;</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Reduce vehicle emissions and improve fuel economy for ICE vehicles;</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Bolster energy efficiency in next generation data center infrastructure; and</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Enable energy management that is instrumental in renewable and smart energy applications.</w:t>
      </w:r>
    </w:p>
    <w:p>
      <w:pPr>
        <w:spacing w:after="0" w:line="119"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In response to customer demand and as part of the Company’s aim to reduce costs and the environmental impact of our products throughout their lifecycle, we are investing in innovation while measuring and tracking emissions, waste, and water usage across our facilities. The Company has implemented several energy, water, and waste reduction projects at our sites. We also strive to adhere to international standards and regulations regarding manufacturing processes, business procedures, and product composition. Our Scope 1 and Scope 2 emissions, energy use, waste data, water consumption, and other key ESG metrics are publicly disclosed in our annual ESG Report and Carbon Disclosure Project questionnaires on climate change and water security and are available at www.allegromicro.com. Please note that the content on our website and in our ESG Report is not part of, nor incorporated by reference, into this Annual Report.</w:t>
      </w:r>
    </w:p>
    <w:p>
      <w:pPr>
        <w:spacing w:after="0" w:line="82"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The Company is a member of the Responsible Business Alliance (“RBA”), the world’s largest industry coalition dedicated to corporate social responsibility in global supply chains. The Company’s subcontractors and direct materials suppliers must complete and sign the Company’s Supplier Code of Conduct, which addresses labor and human rights, worker health and safety, and environmental standards in alignment with the RBA. In the Company’s Supplier Code of Conduct, subcontractors and direct materials suppliers attest to holding ISO 14001 and ISO 45001 (or comparable) certifications or having a plan to become certified.</w:t>
      </w:r>
    </w:p>
    <w:p>
      <w:pPr>
        <w:spacing w:after="0" w:line="77" w:lineRule="exact"/>
        <w:rPr>
          <w:sz w:val="20"/>
          <w:szCs w:val="20"/>
          <w:color w:val="auto"/>
        </w:rPr>
      </w:pPr>
    </w:p>
    <w:p>
      <w:pPr>
        <w:jc w:val="both"/>
        <w:ind w:firstLine="547"/>
        <w:spacing w:after="0" w:line="246" w:lineRule="auto"/>
        <w:rPr>
          <w:sz w:val="20"/>
          <w:szCs w:val="20"/>
          <w:color w:val="auto"/>
        </w:rPr>
      </w:pPr>
      <w:r>
        <w:rPr>
          <w:rFonts w:ascii="Times New Roman" w:cs="Times New Roman" w:eastAsia="Times New Roman" w:hAnsi="Times New Roman"/>
          <w:sz w:val="20"/>
          <w:szCs w:val="20"/>
          <w:color w:val="auto"/>
        </w:rPr>
        <w:t>To support our commitment to ESG, we have established a cross-functional team led by our legal department to manage our ESG program (the “ESG Steering Committee”). Our ESG Steering Committee consists of key team members from various departments throughout the Company who are responsible for providing oversight of ESG risks and opportunities, guiding the Company through our multi-year ESG goal setting and roadmap implementation, and promoting supplier compliance with our global sustainability efforts. In addition, our ESG team updates senior management and the Nominating and Governance Committee of our Board of Directors (the “Board”) on a quarterly basis regarding ESG target setting, progress, risks, opportunities, regulatory preparedness, and other key focus areas. An ESG update is also provided annually to our full Board.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Marketing and Customer Support</w:t>
      </w:r>
    </w:p>
    <w:p>
      <w:pPr>
        <w:spacing w:after="0" w:line="124"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We sell our products worldwide through multiple sales channels, including through our direct sales force, distributors and independent sales representatives, who resell our products to numerous end customers. We have a geographically diverse mix of sales. Our net sales made to distributors were approximately 55.0%, 50.7% and 52.9% of our net sales in fiscal years 2026, 2025 and 2024, respectively. Sales to our largest, non-affiliated distributor accounted for 9.4%, 9.3%, and 10.2% of our net sales in fiscal years 2026, 2025 and 2024, respectively.</w:t>
      </w:r>
    </w:p>
    <w:p>
      <w:pPr>
        <w:spacing w:after="0" w:line="77"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Our direct sales force and field applications engineers provide our customers with specialized technical support. We believe that maintaining a close relationship with our customers and serving their specific technical needs improves their level of satisfaction and enables us to predict and influence their future product needs. We provide ongoing technical training to our distributor and sales representatives to keep them informed of our existing and new products.</w:t>
      </w:r>
    </w:p>
    <w:p>
      <w:pPr>
        <w:spacing w:after="0" w:line="74"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We maintain an internal marketing organization that is responsible for increasing our brand awareness, promoting our products to prospective and existing customers, and driving demand for our products in the market. Our marketing organization’s responsibilities include the creative management of our website, market research and analytics, and development of demand generation strategies and materials, such as product announcements, press releases, brochures, training and videos, as well as securing thought leadership through published technical and trend articles and advertisements, and active engagement in key industry events and conferences.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800"/>
          </w:cols>
          <w:pgMar w:left="720" w:top="926" w:right="720" w:bottom="175"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Manufacturing and Raw Materials</w:t>
      </w:r>
    </w:p>
    <w:p>
      <w:pPr>
        <w:spacing w:after="0" w:line="124" w:lineRule="exact"/>
        <w:rPr>
          <w:sz w:val="20"/>
          <w:szCs w:val="20"/>
          <w:color w:val="auto"/>
        </w:rPr>
      </w:pPr>
    </w:p>
    <w:p>
      <w:pPr>
        <w:jc w:val="both"/>
        <w:ind w:firstLine="547"/>
        <w:spacing w:after="0" w:line="246" w:lineRule="auto"/>
        <w:rPr>
          <w:sz w:val="20"/>
          <w:szCs w:val="20"/>
          <w:color w:val="auto"/>
        </w:rPr>
      </w:pPr>
      <w:r>
        <w:rPr>
          <w:rFonts w:ascii="Times New Roman" w:cs="Times New Roman" w:eastAsia="Times New Roman" w:hAnsi="Times New Roman"/>
          <w:sz w:val="20"/>
          <w:szCs w:val="20"/>
          <w:color w:val="auto"/>
        </w:rPr>
        <w:t>Our fabless manufacturing strategy consists of a combined internal and external sourcing model. We operate as a fabless company for semiconductor wafer fabrications, relying entirely on third-party foundry partners. For our back-end manufacturing, we use a combination of internal and external resources. Our facility in the Philippines (“AMPI”) serves as our primary internal assembly and testing site. We supplement AMPI’s capacity with a network of external subcontractors located throughout the world. Additionally, we are expanding our regional manufacturing footprint by qualifying additional wafer foundries and outsourced semiconductor assembly and test (“OSAT”) partners in Asia, which enhances supply chain resilience and supports continuity of service to our regional customers.</w:t>
      </w:r>
    </w:p>
    <w:p>
      <w:pPr>
        <w:spacing w:after="0" w:line="80" w:lineRule="exact"/>
        <w:rPr>
          <w:sz w:val="20"/>
          <w:szCs w:val="20"/>
          <w:color w:val="auto"/>
        </w:rPr>
      </w:pPr>
    </w:p>
    <w:p>
      <w:pPr>
        <w:jc w:val="both"/>
        <w:ind w:firstLine="547"/>
        <w:spacing w:after="0" w:line="246" w:lineRule="auto"/>
        <w:rPr>
          <w:sz w:val="20"/>
          <w:szCs w:val="20"/>
          <w:color w:val="auto"/>
        </w:rPr>
      </w:pPr>
      <w:r>
        <w:rPr>
          <w:rFonts w:ascii="Times New Roman" w:cs="Times New Roman" w:eastAsia="Times New Roman" w:hAnsi="Times New Roman"/>
          <w:sz w:val="20"/>
          <w:szCs w:val="20"/>
          <w:color w:val="auto"/>
        </w:rPr>
        <w:t>Our manufacturing processes use raw materials, including silicon wafers, laminate substrates, lead frames, gold and copper wires, rare earth materials, including samarium used in our magnetic sensors, and molding compounds. We seek to obtain these materials from our suppliers in a timely manner to align our production with customer demand. We work closely with our key third-party suppliers, providing rolling forecasts to help ensure an adequate supply of materials and wafer capacity. However, these suppliers may extend lead times, limit supplies, or increase prices due to factors beyond our or their control, including geopolitical and international trade restrictions. Our reliance on this hybrid manufacturing model and our supply chain involves a number of risks, which are described in more detail under “Item 1A. Risk Factors.”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w:t>
      </w:r>
    </w:p>
    <w:p>
      <w:pPr>
        <w:spacing w:after="0" w:line="124"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We sell our products to major global OEMs and their key suppliers, primarily in the automotive and industrial markets. We sold to more than 15,000 end customers, directly and through distributors, during each of fiscal years 2026, 2025 and 2024. Approximately half of our net sales during each of fiscal years 2026, 2025 and 2024 were derived from sales to our top 20 customers, which includes distributors. No end customer, including those served through our distributors, exceeded 10% of our net sales during fiscal years 2026, 2025 and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 Strategy</w:t>
      </w:r>
    </w:p>
    <w:p>
      <w:pPr>
        <w:spacing w:after="0" w:line="124" w:lineRule="exact"/>
        <w:rPr>
          <w:sz w:val="20"/>
          <w:szCs w:val="20"/>
          <w:color w:val="auto"/>
        </w:rPr>
      </w:pPr>
    </w:p>
    <w:p>
      <w:pPr>
        <w:jc w:val="both"/>
        <w:ind w:firstLine="540"/>
        <w:spacing w:after="0" w:line="246" w:lineRule="auto"/>
        <w:rPr>
          <w:sz w:val="20"/>
          <w:szCs w:val="20"/>
          <w:color w:val="auto"/>
        </w:rPr>
      </w:pPr>
      <w:r>
        <w:rPr>
          <w:rFonts w:ascii="Times New Roman" w:cs="Times New Roman" w:eastAsia="Times New Roman" w:hAnsi="Times New Roman"/>
          <w:sz w:val="20"/>
          <w:szCs w:val="20"/>
          <w:color w:val="auto"/>
        </w:rPr>
        <w:t>We are a technology company, and we believe our future success depends on our ability to rapidly develop and introduce differentiated new products in our target markets. As a result, we are committed to investing in our process and product development capabilities while focusing our engineering efforts on designing and introducing new application-specific products, developing new semiconductor process and packaging technologies, enhancing design productivity and evaluating new technologies. Our research and development investments are subject to a rigorous ROI review to ensure alignment with our growth and profitability targets. We believe that by effectively applying these resources, we have developed proprietary innovations and intellectual property that will give us an early lead in our target markets and will enable accelerated growth over time.</w:t>
      </w:r>
    </w:p>
    <w:p>
      <w:pPr>
        <w:spacing w:after="0" w:line="80"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Over the last 10 years, we believe we have been instrumental in achieving fundamental developments that have enabled key technology transitions in the automotive and industrial markets. We believe we are one of very few suppliers in the semiconductor industry to integrate proprietary, high-performance motor control algorithms into our motion control devices to achieve optimized BLDC motor performance. We remain one of the few suppliers that has developed multiple packaging technologies capable of operating at temperatures of up to 175 degrees Celsius and incorporating the passive components and high-current conductors required to produce high-efficiency, high-voltage sensor and power products. We were also one of the first in our industry to develop automotive grade xMR technology on silicon wafers, which enabled breakthrough advances in product performance. This advanced technology is a key enabler across our strategic focus areas in the automotive and industrial markets as automation and energy efficient markets continue to transition to xMR.</w:t>
      </w:r>
    </w:p>
    <w:p>
      <w:pPr>
        <w:spacing w:after="0" w:line="86"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We augment our internally generated intellectual property through a mix of licensed intellectual property, partnering with industry experts, and through acquisitions. For example, the two businesses we acquired in the past four years provide leading technology, including IGD and TMR, which will expand our SAM, most notably in BEV, AI data center and energy infrastructure.</w:t>
      </w:r>
    </w:p>
    <w:p>
      <w:pPr>
        <w:spacing w:after="0" w:line="68"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Our global team of highly skilled engineers has extensive semiconductor development experience, including expertise in analog design, digital design, test, and process technology. As of March 27, 2026, we had approximately 760 employees dedicated to research and development, with centers in the United States, Europe, South America, and Asia. The efforts of our engineering team and our strategic acquisitions have resulted in further strengthening our position in our target markets.</w:t>
      </w:r>
    </w:p>
    <w:p>
      <w:pPr>
        <w:spacing w:after="0" w:line="74" w:lineRule="exact"/>
        <w:rPr>
          <w:sz w:val="20"/>
          <w:szCs w:val="20"/>
          <w:color w:val="auto"/>
        </w:rPr>
      </w:pPr>
    </w:p>
    <w:p>
      <w:pPr>
        <w:jc w:val="both"/>
        <w:ind w:firstLine="540"/>
        <w:spacing w:after="0" w:line="247" w:lineRule="auto"/>
        <w:rPr>
          <w:sz w:val="20"/>
          <w:szCs w:val="20"/>
          <w:color w:val="auto"/>
        </w:rPr>
      </w:pPr>
      <w:r>
        <w:rPr>
          <w:rFonts w:ascii="Times New Roman" w:cs="Times New Roman" w:eastAsia="Times New Roman" w:hAnsi="Times New Roman"/>
          <w:sz w:val="20"/>
          <w:szCs w:val="20"/>
          <w:color w:val="auto"/>
        </w:rPr>
        <w:t>We have also made significant investments in our core engineering capabilities, including improvements in tools to support greater engineering efficiency, as well as electrical component, magnetic performance, and thermal distribution modeling. We believe these improved tools enable us to more accurately evaluate and predict the performance of our designs, resulting in accelerated time-to-market for our products and satisfaction of our customers. Additionally, we are strategically integrating advanced AI and automation into our research and development lifecycle to streamline the chip design process, significantly enhancing engineering productivity and accelerating the time-to-market for our innovative product portfolio.</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800"/>
          </w:cols>
          <w:pgMar w:left="720" w:top="926" w:right="720" w:bottom="175" w:gutter="0" w:footer="0" w:header="0"/>
          <w:type w:val="continuous"/>
        </w:sectPr>
      </w:pPr>
    </w:p>
    <w:bookmarkStart w:id="17" w:name="page18"/>
    <w:bookmarkEnd w:id="17"/>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Our focus on meeting or exceeding the stringent automotive market safety and reliability requirements is fundamental to our research and development process. We anticipate that we will continue to make research and development investments in order to enhance our leadership position and expand our markets with innovative, high-quality products and services (as exemplified through our acquisitions of IGD and TMR technologies).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Process and Packaging Technology</w:t>
      </w:r>
    </w:p>
    <w:p>
      <w:pPr>
        <w:spacing w:after="0" w:line="124" w:lineRule="exact"/>
        <w:rPr>
          <w:sz w:val="20"/>
          <w:szCs w:val="20"/>
          <w:color w:val="auto"/>
        </w:rPr>
      </w:pPr>
    </w:p>
    <w:p>
      <w:pPr>
        <w:jc w:val="both"/>
        <w:ind w:firstLine="540"/>
        <w:spacing w:after="0" w:line="243" w:lineRule="auto"/>
        <w:rPr>
          <w:sz w:val="20"/>
          <w:szCs w:val="20"/>
          <w:color w:val="auto"/>
        </w:rPr>
      </w:pPr>
      <w:r>
        <w:rPr>
          <w:rFonts w:ascii="Times New Roman" w:cs="Times New Roman" w:eastAsia="Times New Roman" w:hAnsi="Times New Roman"/>
          <w:sz w:val="20"/>
          <w:szCs w:val="20"/>
          <w:color w:val="auto"/>
        </w:rPr>
        <w:t>Our product and technology development engineers have long-established expertise in designing mixed signal power and magnetic sensor ICs using proprietary semiconductor process technologies and intelligent packaging. By integrating these capabilities, we provide complete system solutions and robust performance required by the most stringent customers and automotive applications. These have the benefit of advancing the feature, function, and cost of ownership of our devices relative to those of our competitors. For example, we released a unique 120V and 175-degree Celsius capable BCD wafer technology designed to handle automotive voltage and temperature transients. This platform integrates high-density logic circuits and electrically erasable programmable read-only memory to enable configurable and embedded algorithms alongside various Hall-effect and xMR transducer technology on a single silicon wafer. These technologies are fundamental to the transition from 12V to 48V power supply required in the rapidly emerging HEV and BEV markets, and to the next generation of ADAS systems. These 48V and high-voltage capabilities are cornerstone technologies for our growth in xEV powertrain and ADAS safety systems, as well as in the rapidly expanding AI data center cooling and humanoid robotics markets. We further leveraged this leadership by industrializing our IGD portfolio with integrated transformers, providing a highly integrated, small-footprint solution for high-voltage power conversion for our global customers.</w:t>
      </w:r>
    </w:p>
    <w:p>
      <w:pPr>
        <w:spacing w:after="0" w:line="83"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In choosing the process technology to be used to manufacture a new product, we seek to optimize the match between the process technology and the desired performance parameters of the product for our customers. Our current strategic semiconductor process innovations include the following:</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Automotive Quality and Safety</w:t>
      </w:r>
    </w:p>
    <w:p>
      <w:pPr>
        <w:spacing w:after="0" w:line="120"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We have developed, characterized, and qualified our wafer and package technologies to meet or exceed the rigorous automotive requirements that our customers demand. Robust development processes and guidelines have resulted in devices capable of exceeding the requirements of Automotive Electronics Council Q100 Automotive Grade 0 of 150 degrees Celsius, and our field failure rates are consistent with or better than customer requirements.</w:t>
      </w:r>
    </w:p>
    <w:p>
      <w:pPr>
        <w:spacing w:after="0" w:line="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Integrated Transducers</w:t>
      </w:r>
    </w:p>
    <w:p>
      <w:pPr>
        <w:spacing w:after="0" w:line="120" w:lineRule="exact"/>
        <w:rPr>
          <w:sz w:val="20"/>
          <w:szCs w:val="20"/>
          <w:color w:val="auto"/>
        </w:rPr>
      </w:pPr>
    </w:p>
    <w:p>
      <w:pPr>
        <w:jc w:val="both"/>
        <w:ind w:firstLine="540"/>
        <w:spacing w:after="0" w:line="247" w:lineRule="auto"/>
        <w:rPr>
          <w:sz w:val="20"/>
          <w:szCs w:val="20"/>
          <w:color w:val="auto"/>
        </w:rPr>
      </w:pPr>
      <w:r>
        <w:rPr>
          <w:rFonts w:ascii="Times New Roman" w:cs="Times New Roman" w:eastAsia="Times New Roman" w:hAnsi="Times New Roman"/>
          <w:sz w:val="20"/>
          <w:szCs w:val="20"/>
          <w:color w:val="auto"/>
        </w:rPr>
        <w:t>One of our fundamental innovations is the integration of magnetic transducers and CMOS circuitry into one piece of silicon to create a complete, fully integrated system. Hall-effect elements are implanted in silicon, providing robust and low-noise solutions that are optimized for stress and temperature effects. Thin film, high-resolution xMR transducers are deposited directly on top of the low-noise bipolar and CMOS circuitry creating a more reliable solution than multi-chip solutions by reducing interconnects and solution area. To achieve the highest level of Automotive Safety Integrity Level (“ASIL”), we integrate xMR and Hall-effect transducers onto the same silicon to produce heterogeneous solutions capable of performing reliably in the most demanding automotive environments.</w:t>
      </w:r>
    </w:p>
    <w:p>
      <w:pPr>
        <w:spacing w:after="0" w:line="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High-Voltage Technology</w:t>
      </w:r>
    </w:p>
    <w:p>
      <w:pPr>
        <w:spacing w:after="0" w:line="120" w:lineRule="exact"/>
        <w:rPr>
          <w:sz w:val="20"/>
          <w:szCs w:val="20"/>
          <w:color w:val="auto"/>
        </w:rPr>
      </w:pPr>
    </w:p>
    <w:p>
      <w:pPr>
        <w:jc w:val="both"/>
        <w:ind w:firstLine="540"/>
        <w:spacing w:after="0" w:line="244" w:lineRule="auto"/>
        <w:rPr>
          <w:sz w:val="20"/>
          <w:szCs w:val="20"/>
          <w:color w:val="auto"/>
        </w:rPr>
      </w:pPr>
      <w:r>
        <w:rPr>
          <w:rFonts w:ascii="Times New Roman" w:cs="Times New Roman" w:eastAsia="Times New Roman" w:hAnsi="Times New Roman"/>
          <w:sz w:val="20"/>
          <w:szCs w:val="20"/>
          <w:color w:val="auto"/>
        </w:rPr>
        <w:t>Our intellectual property, developed over decades of leadership in stringent automotive applications, combines advanced mixed-signal integration with proprietary high-voltage solutions. A key differentiator of our technology is the monolithic integration of 120V capable power transistors with embedded digital logic and precision analog circuits. This integration significantly reduces the bill of materials and shrinks the PCB for our customers while delivering the most efficient and quietest motor control solutions in the market. As the industry transitions to 800V+ architectures in both xEVs and AI data centers, we have leveraged our deep expertise in high-voltage materials and advanced isolation to develop and ship millions of specialized high-voltage packages. This proven capability in high-voltage packaging and sensing, where we have already deployed millions of current sensors and are rapidly scaling our IGD portfolio, represents a competitive strength and underscores our leadership in the global electrification and “Physical AI” (the integration of AI into physical machinery - such as robots, autonomous vehicles, and drones-enabling them to perceive, understand, and act within the real world) ecosystems.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800"/>
          </w:cols>
          <w:pgMar w:left="720" w:top="930" w:right="720" w:bottom="175" w:gutter="0" w:footer="0" w:header="0"/>
          <w:type w:val="continuous"/>
        </w:sectPr>
      </w:pPr>
    </w:p>
    <w:bookmarkStart w:id="18" w:name="page19"/>
    <w:bookmarkEnd w:id="18"/>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Advanced, Small Form Factor Integrated Packages</w:t>
      </w:r>
    </w:p>
    <w:p>
      <w:pPr>
        <w:spacing w:after="0" w:line="120" w:lineRule="exact"/>
        <w:rPr>
          <w:sz w:val="20"/>
          <w:szCs w:val="20"/>
          <w:color w:val="auto"/>
        </w:rPr>
      </w:pPr>
    </w:p>
    <w:p>
      <w:pPr>
        <w:jc w:val="both"/>
        <w:ind w:firstLine="540"/>
        <w:spacing w:after="0" w:line="242" w:lineRule="auto"/>
        <w:rPr>
          <w:sz w:val="20"/>
          <w:szCs w:val="20"/>
          <w:color w:val="auto"/>
        </w:rPr>
      </w:pPr>
      <w:r>
        <w:rPr>
          <w:rFonts w:ascii="Times New Roman" w:cs="Times New Roman" w:eastAsia="Times New Roman" w:hAnsi="Times New Roman"/>
          <w:sz w:val="20"/>
          <w:szCs w:val="20"/>
          <w:color w:val="auto"/>
        </w:rPr>
        <w:t>We continue to combine circuit design and process innovation with novel packaging solutions that improve performance and reliability while reducing solution footprint and our customers’ cost of ownership. Two decades of sensor package innovation have led to the development of a family of integrated systems in a package for magnetic current, position, and speed sensor ICs. By integrating a combination of a magnet, magnetic core, passive components, and our silicon integrated circuit in a single body, we are able to offer inventive magnetic sensors that reduce our customers’ needs to design complex magnetic models or complex interface circuits, solve electrical interference issues with external PCBs, and enable smaller and more cost-effective customer systems. The current sensors integrate specially designed lead frames to allow a high-precision, factory-programmed single package solution that provides a unique high-efficiency and high-voltage isolation product and can sense current for products plugged directly into a household electrical outlet or connected to an 800V automotive battery. Years of design and manufacturing refinement have led to the latest generation of power products that integrate passive components and power conversion capabilities into small packages to reduce PCB footprint, reduce electromagnetic noise, and improve efficiency in high-power systems. Our IGDs also incorporate a DC-DC converter, a small planar transformer, and a gate driver into a small form factor package. Through innovative package integration, these IGDs minimize parasitic capacitance and can significantly improve system-level efficiency in electrified vehicles, clean energy, and factory automation systems. We also believe we are one of only a few companies in our industry that have developed a broad portfolio of packages that are suitable for operation in automotive environments and 175-degree Celsius temperatures.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4"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We consider the strength of our intellectual property portfolio to be a significant competitive advantage. Our intellectual property includes patented inventions, trade secrets, accumulated technical know-how and trademarks. As of March 27, 2026, we owned approximately 1,860 active patents, including 1,005 U.S. patents (with expiration dates between 2026 and 2044), with approximately 440 pending patent applications, including 250 U.S. patent applications.</w:t>
      </w:r>
    </w:p>
    <w:p>
      <w:pPr>
        <w:spacing w:after="0" w:line="74"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We market our products worldwide under the “Allegro” name. We either hold or have applied for trademarks in all jurisdictions where we do significant business.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4"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The semiconductor industry, particularly the market for high-performance analog mixed-signal semiconductors, is highly competitive. Although no one company competes with us across all of our product lines, we face significant competition within each of our business areas from both domestic and international semiconductor companies. Our primary competitors include a broad spectrum of global semiconductor designers and manufacturers, ranging from large-scale diversified entities to specialized participants focused on specific sensing and power management technologies.</w:t>
      </w:r>
    </w:p>
    <w:p>
      <w:pPr>
        <w:spacing w:after="0" w:line="77"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Our ability to compete successfully against these companies depends on elements both within and outside of our control. Some of our competitors have substantially greater financial, technical, marketing, and management resources than we have. These competitive advantages may enable them to respond more quickly to new or emerging technologies or changes in customer requirements, or better position them to withstand adverse economic or market conditions.</w:t>
      </w:r>
    </w:p>
    <w:p>
      <w:pPr>
        <w:spacing w:after="0" w:line="7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We believe we can successfully compete against these organizations in our target markets by leveraging our design and market expertise and leadership positions, proprietary manufacturing processes, custom packaging capabilities, and close customer relationships. In addition, we compete in our target markets to varying degrees based on several competitive factors, including:</w:t>
      </w:r>
    </w:p>
    <w:p>
      <w:pPr>
        <w:spacing w:after="0" w:line="23" w:lineRule="exact"/>
        <w:rPr>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time to market;</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system and application expertise;</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product quality and reliability;</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quality systems and support;</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product features and performance;</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proprietary technology;</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production capacity; and</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solution price.</w:t>
      </w:r>
    </w:p>
    <w:p>
      <w:pPr>
        <w:spacing w:after="0" w:line="119"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We believe we currently compete favorably with respect to these factors. However, we cannot assure you that our products will continue to compete favorably or that we will be successful in the face of increasing competition from new products and enhancements introduced by existing competitors or new competitors entering our markets. See “Risk Factors—Risks Related to our Business and Industry—We face intense competition and may not be able to compete effectively, which could reduce our market share and decrease our net sales and profitability.”</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800"/>
          </w:cols>
          <w:pgMar w:left="720" w:top="930" w:right="720" w:bottom="175"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Seasonality and Market Demand</w:t>
      </w:r>
    </w:p>
    <w:p>
      <w:pPr>
        <w:spacing w:after="0" w:line="124"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Our business exhibits some seasonality. Historically, our net sales have generally been higher in the second half of the fiscal year than in the first half. We have also consistently experienced a seasonal decline in automotive in our fourth fiscal quarter, which is largely attributable to the Chinese New Year and its impact on customer demand in China in the quarter. However, various factors, such as market conditions, the cyclicality of the semiconductor industry, new product introductions, and the supply chain environment, can impact the effects of seasonality on our business.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124"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Our employees are our most valuable assets and contribute to Allegro’s success. We have a skilled and experienced workforce across research and development, operations and quality, sales and marketing and our general and administrative support functions. Together as “One Allegro,” our employees are instrumental in driving operational execution and quality excellence, delivering strong financial performance, advancing innovation, and building trusted customer relationships to help solve our most complex problems.</w:t>
      </w:r>
    </w:p>
    <w:p>
      <w:pPr>
        <w:spacing w:after="0" w:line="74"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As of March 27, 2026, we employed approximately 4,250 full-time employees, including 760 in R&amp;D, 2,950 in operations and quality (the majority of whom are located at AMPI), 235 in sales and marketing and 305 in general and administrative roles. We consider our relationship with our employees to be good, as we have never experienced a labor-related work stoppage. None of our employees are represented by a labor union.</w:t>
      </w:r>
    </w:p>
    <w:p>
      <w:pPr>
        <w:spacing w:after="0" w:line="74"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The success and growth of Allegro’s business are dependent in large part on our ability to attract, retain, and develop talented, high-performing employees from various backgrounds at all levels of our organization. We continue to invest in our centers of excellence and global design centers to attract top analog design talent. We maintain a technical ladder across our engineering disciplines to provide a robust career path. Additionally, we offer a specific Field Applications Engineer training in partnership with sales and other departments to educate teams on our extensive product portfolio.</w:t>
      </w:r>
    </w:p>
    <w:p>
      <w:pPr>
        <w:spacing w:after="0" w:line="77"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As of March 27, 2026, approximately 2,350 of our employees held university and graduate-level degrees, of which approximately 1,500 of these employees were located outside of our factory locations. For our research, engineering, and production management positions, we require employees with university and graduate-level degrees. Globally, the demand for employees with such levels of education is high and competitive.</w:t>
      </w:r>
    </w:p>
    <w:p>
      <w:pPr>
        <w:spacing w:after="0" w:line="74"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To succeed in these conditions, Allegro implements key recruitment and retention strategies, objectives and effectiveness measures as part of the overall management of our business. These core strategies are advanced through the following programs, policies and initiatives:</w:t>
      </w:r>
    </w:p>
    <w:p>
      <w:pPr>
        <w:spacing w:after="0" w:line="68"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Competitive Pay and Benefits. </w:t>
      </w:r>
      <w:r>
        <w:rPr>
          <w:rFonts w:ascii="Times New Roman" w:cs="Times New Roman" w:eastAsia="Times New Roman" w:hAnsi="Times New Roman"/>
          <w:sz w:val="20"/>
          <w:szCs w:val="20"/>
          <w:color w:val="auto"/>
        </w:rPr>
        <w:t>Allegro’s compensation programs are designed to align the compensation of our employees,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who operate in a highly competitive and technologically challenging environment, with Allegro’s business performance and to provide the proper incentives to attract, retain and motivate employees to achieve superior performance. The structure of our compensation programs provides incentive earnings for both short-term and long-term performance. Specifically, and as applicable to individual employees and roles:</w:t>
      </w:r>
    </w:p>
    <w:p>
      <w:pPr>
        <w:spacing w:after="0" w:line="31" w:lineRule="exact"/>
        <w:rPr>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provide short-term incentive and equity awards based on both business and individual performance.</w:t>
      </w:r>
    </w:p>
    <w:p>
      <w:pPr>
        <w:spacing w:after="0" w:line="73" w:lineRule="exact"/>
        <w:rPr>
          <w:rFonts w:ascii="Arial" w:cs="Arial" w:eastAsia="Arial" w:hAnsi="Arial"/>
          <w:sz w:val="20"/>
          <w:szCs w:val="20"/>
          <w:color w:val="auto"/>
        </w:rPr>
      </w:pPr>
    </w:p>
    <w:p>
      <w:pPr>
        <w:jc w:val="both"/>
        <w:ind w:left="720" w:hanging="360"/>
        <w:spacing w:after="0" w:line="258"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All non-sales employees participate in one of our annual cash incentive programs, allowing them an opportunity to be rewarded with compensation that aligns with both the business performance of Allegro and their own individual performance.</w:t>
      </w:r>
    </w:p>
    <w:p>
      <w:pPr>
        <w:spacing w:after="0" w:line="21" w:lineRule="exact"/>
        <w:rPr>
          <w:rFonts w:ascii="Arial" w:cs="Arial" w:eastAsia="Arial" w:hAnsi="Arial"/>
          <w:sz w:val="20"/>
          <w:szCs w:val="20"/>
          <w:color w:val="auto"/>
        </w:rPr>
      </w:pPr>
    </w:p>
    <w:p>
      <w:pPr>
        <w:ind w:left="720" w:hanging="360"/>
        <w:spacing w:after="0" w:line="276"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All sales and field applications positions participate in our annual sales incentive plan, allowing them to earn additional cash incentives based on the achievement of specific sales metrics designed to drive our financial performance.</w:t>
      </w:r>
    </w:p>
    <w:p>
      <w:pPr>
        <w:spacing w:after="0" w:line="4" w:lineRule="exact"/>
        <w:rPr>
          <w:rFonts w:ascii="Arial" w:cs="Arial" w:eastAsia="Arial" w:hAnsi="Arial"/>
          <w:sz w:val="20"/>
          <w:szCs w:val="20"/>
          <w:color w:val="auto"/>
        </w:rPr>
      </w:pPr>
    </w:p>
    <w:p>
      <w:pPr>
        <w:jc w:val="both"/>
        <w:ind w:left="720" w:hanging="360"/>
        <w:spacing w:after="0" w:line="252"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also provide an opportunity for many of our global employees to earn equity awards. Additionally, in the U.S. and the United Kingdom, we offer an employee stock purchase plan to our non-executive employees, which allows them to purchase shares of Allegro stock at a discounted price. This stock purchase plan further aligns our employees’ financial interests with the performance of the business and the interests of our stockholders.</w:t>
      </w:r>
    </w:p>
    <w:p>
      <w:pPr>
        <w:spacing w:after="0" w:line="27" w:lineRule="exact"/>
        <w:rPr>
          <w:rFonts w:ascii="Arial" w:cs="Arial" w:eastAsia="Arial" w:hAnsi="Arial"/>
          <w:sz w:val="20"/>
          <w:szCs w:val="20"/>
          <w:color w:val="auto"/>
        </w:rPr>
      </w:pPr>
    </w:p>
    <w:p>
      <w:pPr>
        <w:ind w:left="720" w:hanging="360"/>
        <w:spacing w:after="0" w:line="276"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purchase compensation data from external compensation and benefits consulting firms to ensure we provide competitive compensation in each of the geographic locations in which we operate.</w:t>
      </w:r>
    </w:p>
    <w:p>
      <w:pPr>
        <w:spacing w:after="0" w:line="4" w:lineRule="exact"/>
        <w:rPr>
          <w:rFonts w:ascii="Arial" w:cs="Arial" w:eastAsia="Arial" w:hAnsi="Arial"/>
          <w:sz w:val="20"/>
          <w:szCs w:val="20"/>
          <w:color w:val="auto"/>
        </w:rPr>
      </w:pPr>
    </w:p>
    <w:p>
      <w:pPr>
        <w:jc w:val="both"/>
        <w:ind w:left="720" w:hanging="360"/>
        <w:spacing w:after="0" w:line="258"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align our executives’ annual and long-term equity compensation, in the form of performance-based restricted stock units (“PSUs”) and time-based restricted stock units (“RSUs”), with our stockholders’ interests by linking realizable pay with Allegro’s stock performance and other key business and financial operating metrics.</w:t>
      </w:r>
    </w:p>
    <w:p>
      <w:pPr>
        <w:spacing w:after="0" w:line="21" w:lineRule="exact"/>
        <w:rPr>
          <w:rFonts w:ascii="Arial" w:cs="Arial" w:eastAsia="Arial" w:hAnsi="Arial"/>
          <w:sz w:val="20"/>
          <w:szCs w:val="20"/>
          <w:color w:val="auto"/>
        </w:rPr>
      </w:pPr>
    </w:p>
    <w:p>
      <w:pPr>
        <w:ind w:left="720" w:hanging="360"/>
        <w:spacing w:after="0" w:line="276"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provide comprehensive benefit options designed to retain our employees and support their families in all areas of health and wellness.</w:t>
      </w:r>
    </w:p>
    <w:p>
      <w:pPr>
        <w:spacing w:after="0" w:line="4" w:lineRule="exact"/>
        <w:rPr>
          <w:rFonts w:ascii="Arial" w:cs="Arial" w:eastAsia="Arial" w:hAnsi="Arial"/>
          <w:sz w:val="20"/>
          <w:szCs w:val="20"/>
          <w:color w:val="auto"/>
        </w:rPr>
      </w:pPr>
    </w:p>
    <w:p>
      <w:pPr>
        <w:ind w:left="720" w:hanging="360"/>
        <w:spacing w:after="0" w:line="276"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provide social community benefits, including a global charitable gift matching program, and a global volunteer policy, both of which help our employees give back to the local communities in which we operate.</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800"/>
          </w:cols>
          <w:pgMar w:left="720" w:top="926" w:right="720" w:bottom="175" w:gutter="0" w:footer="0" w:header="0"/>
          <w:type w:val="continuous"/>
        </w:sectPr>
      </w:pPr>
    </w:p>
    <w:bookmarkStart w:id="20" w:name="page21"/>
    <w:bookmarkEnd w:id="20"/>
    <w:p>
      <w:pPr>
        <w:jc w:val="both"/>
        <w:ind w:firstLine="547"/>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Employee recruitment, retention and development. </w:t>
      </w:r>
      <w:r>
        <w:rPr>
          <w:rFonts w:ascii="Times New Roman" w:cs="Times New Roman" w:eastAsia="Times New Roman" w:hAnsi="Times New Roman"/>
          <w:sz w:val="20"/>
          <w:szCs w:val="20"/>
          <w:color w:val="auto"/>
        </w:rPr>
        <w:t>Allegro works diligently to attract the best available talent from a broad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array of sources to meet the current and future demands of our business. We have established relationships with world-class colleges and universities, professional associations and industry groups to proactively attract talented and capable new hires. We also utilize social media, local job fairs and educational organizations to find motivated and responsible candidates who represent a variety of backgrounds, perspectives and experiences. We have also made strides in expanding the breadth of qualified talent pools we draw from to find candidates for management positions, while building internal resources to support our employees, regardless of background, to qualify for future leadership openings. Allegro has a strong employee value proposition that leverages our technology leadership, collaborative working environment, shared sense of purpose and culture, and the desire to do the right thing to attract talent to our Company.</w:t>
      </w:r>
    </w:p>
    <w:p>
      <w:pPr>
        <w:spacing w:after="0" w:line="86" w:lineRule="exact"/>
        <w:rPr>
          <w:sz w:val="20"/>
          <w:szCs w:val="20"/>
          <w:color w:val="auto"/>
        </w:rPr>
      </w:pPr>
    </w:p>
    <w:p>
      <w:pPr>
        <w:jc w:val="both"/>
        <w:ind w:firstLine="540"/>
        <w:spacing w:after="0" w:line="245" w:lineRule="auto"/>
        <w:rPr>
          <w:sz w:val="20"/>
          <w:szCs w:val="20"/>
          <w:color w:val="auto"/>
        </w:rPr>
      </w:pPr>
      <w:r>
        <w:rPr>
          <w:rFonts w:ascii="Times New Roman" w:cs="Times New Roman" w:eastAsia="Times New Roman" w:hAnsi="Times New Roman"/>
          <w:sz w:val="20"/>
          <w:szCs w:val="20"/>
          <w:color w:val="auto"/>
        </w:rPr>
        <w:t>We closely monitor employee turnover rates, as our success depends upon retaining and investing in our highly trained manufacturing and technical staff. Allegro strives to decrease employee-initiated voluntary turnover and increase employee retention through a combination of competitive compensation, individual developmental opportunities and personal career enrichment and growth. We strive to provide an inclusive culture where employees can come to work, feel a sense of belonging and achieve their personal best. We provide a Flex@Allegro program to allow our employees flexibility as to where and how work gets accomplished. This flexible work arrangement enables our employees to achieve better work and life balance, and helps us to attract and retain talent. Our retention at the technical, professional and managerial levels is high, and our voluntary turnover remains lower than industry averages based on benchmark data.</w:t>
      </w:r>
    </w:p>
    <w:p>
      <w:pPr>
        <w:spacing w:after="0" w:line="78" w:lineRule="exact"/>
        <w:rPr>
          <w:sz w:val="20"/>
          <w:szCs w:val="20"/>
          <w:color w:val="auto"/>
        </w:rPr>
      </w:pPr>
    </w:p>
    <w:p>
      <w:pPr>
        <w:jc w:val="both"/>
        <w:ind w:firstLine="54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Employee Engagement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At Allegro, we strive to create a positive, values-based culture and high employee engagement where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employees can bring their best to work. In fiscal year 2026, we launched our third annual global employee engagement survey to all employees, and achieved a high participation rate, indicating employees see value in sharing their perceptions and sentiments about working at Allegro. Our engagement score for fiscal year 2026 is on par with industry benchmarks, and the survey found that the large majority of employees would recommend Allegro as a great place to work and are proud to work at Allegro. In addition, the majority of employees feel that the products and services we offer are as good or better than our competitors, driving pride in the organization and passion for what we build and deliver.</w:t>
      </w:r>
    </w:p>
    <w:p>
      <w:pPr>
        <w:spacing w:after="0" w:line="73" w:lineRule="exact"/>
        <w:rPr>
          <w:sz w:val="20"/>
          <w:szCs w:val="20"/>
          <w:color w:val="auto"/>
        </w:rPr>
      </w:pPr>
    </w:p>
    <w:p>
      <w:pPr>
        <w:jc w:val="both"/>
        <w:ind w:firstLine="54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Embracing Innovation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are strategically investing in, developing, and deploying AI, machine learning, and automation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solutions to our global workforce, designed to accelerate our “Innovation with Purpose” mission. By integrating advanced AI tools into our chip design lifecycle, manufacturing operations, and administrative functions, we are empowering our engineers and professionals to achieve greater operational efficiency and shift their focus toward high-value, disruptive product development. We believe this commitment to an AI-enabled workforce allows us to maximize our human capital potential, driving faster time-to-market for our innovative solutions while maintaining a disciplined approach to organizational growth.</w:t>
      </w:r>
    </w:p>
    <w:p>
      <w:pPr>
        <w:spacing w:after="0" w:line="78"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i w:val="1"/>
          <w:iCs w:val="1"/>
          <w:color w:val="auto"/>
        </w:rPr>
        <w:t xml:space="preserve">Information about our Executive Officers. </w:t>
      </w:r>
      <w:r>
        <w:rPr>
          <w:rFonts w:ascii="Times New Roman" w:cs="Times New Roman" w:eastAsia="Times New Roman" w:hAnsi="Times New Roman"/>
          <w:sz w:val="20"/>
          <w:szCs w:val="20"/>
          <w:color w:val="auto"/>
        </w:rPr>
        <w:t>The following table sets forth certain information regarding our executive officers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May 21, 2026: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100" w:type="dxa"/>
            <w:vAlign w:val="bottom"/>
            <w:tcBorders>
              <w:bottom w:val="single" w:sz="8" w:color="E2E2E2"/>
            </w:tcBorders>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Age</w:t>
            </w:r>
          </w:p>
        </w:tc>
        <w:tc>
          <w:tcPr>
            <w:tcW w:w="100" w:type="dxa"/>
            <w:vAlign w:val="bottom"/>
            <w:tcBorders>
              <w:bottom w:val="single" w:sz="8" w:color="E2E2E2"/>
            </w:tcBorders>
          </w:tcPr>
          <w:p>
            <w:pPr>
              <w:spacing w:after="0"/>
              <w:rPr>
                <w:sz w:val="22"/>
                <w:szCs w:val="22"/>
                <w:color w:val="auto"/>
              </w:rPr>
            </w:pPr>
          </w:p>
        </w:tc>
        <w:tc>
          <w:tcPr>
            <w:tcW w:w="53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20"/>
                <w:szCs w:val="20"/>
                <w:b w:val="1"/>
                <w:bCs w:val="1"/>
                <w:color w:val="auto"/>
              </w:rPr>
              <w:t>Position with Company</w:t>
            </w:r>
          </w:p>
        </w:tc>
      </w:tr>
      <w:tr>
        <w:trPr>
          <w:trHeight w:val="239"/>
        </w:trPr>
        <w:tc>
          <w:tcPr>
            <w:tcW w:w="37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Michael C. Doogue</w:t>
            </w:r>
          </w:p>
        </w:tc>
        <w:tc>
          <w:tcPr>
            <w:tcW w:w="100" w:type="dxa"/>
            <w:vAlign w:val="bottom"/>
            <w:shd w:val="clear" w:color="auto" w:fill="E2E2E2"/>
          </w:tcPr>
          <w:p>
            <w:pPr>
              <w:spacing w:after="0"/>
              <w:rPr>
                <w:sz w:val="20"/>
                <w:szCs w:val="20"/>
                <w:color w:val="auto"/>
              </w:rPr>
            </w:pPr>
          </w:p>
        </w:tc>
        <w:tc>
          <w:tcPr>
            <w:tcW w:w="1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c>
          <w:tcPr>
            <w:tcW w:w="100" w:type="dxa"/>
            <w:vAlign w:val="bottom"/>
            <w:shd w:val="clear" w:color="auto" w:fill="E2E2E2"/>
          </w:tcPr>
          <w:p>
            <w:pPr>
              <w:spacing w:after="0"/>
              <w:rPr>
                <w:sz w:val="20"/>
                <w:szCs w:val="20"/>
                <w:color w:val="auto"/>
              </w:rPr>
            </w:pPr>
          </w:p>
        </w:tc>
        <w:tc>
          <w:tcPr>
            <w:tcW w:w="5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President and Chief Executive Officer, Director</w:t>
            </w:r>
          </w:p>
        </w:tc>
      </w:tr>
      <w:tr>
        <w:trPr>
          <w:trHeight w:val="244"/>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Derek P. D’Antilio</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54</w:t>
            </w:r>
          </w:p>
        </w:tc>
        <w:tc>
          <w:tcPr>
            <w:tcW w:w="100" w:type="dxa"/>
            <w:vAlign w:val="bottom"/>
          </w:tcPr>
          <w:p>
            <w:pPr>
              <w:spacing w:after="0"/>
              <w:rPr>
                <w:sz w:val="21"/>
                <w:szCs w:val="21"/>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Vice President, Chief Financial Officer and Treasurer</w:t>
            </w:r>
          </w:p>
        </w:tc>
      </w:tr>
      <w:tr>
        <w:trPr>
          <w:trHeight w:val="244"/>
        </w:trPr>
        <w:tc>
          <w:tcPr>
            <w:tcW w:w="37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Sharon S. Briansky</w:t>
            </w:r>
          </w:p>
        </w:tc>
        <w:tc>
          <w:tcPr>
            <w:tcW w:w="162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9"/>
              </w:rPr>
              <w:t>52</w:t>
            </w:r>
          </w:p>
        </w:tc>
        <w:tc>
          <w:tcPr>
            <w:tcW w:w="100" w:type="dxa"/>
            <w:vAlign w:val="bottom"/>
            <w:shd w:val="clear" w:color="auto" w:fill="E2E2E2"/>
          </w:tcPr>
          <w:p>
            <w:pPr>
              <w:spacing w:after="0"/>
              <w:rPr>
                <w:sz w:val="21"/>
                <w:szCs w:val="21"/>
                <w:color w:val="auto"/>
              </w:rPr>
            </w:pPr>
          </w:p>
        </w:tc>
        <w:tc>
          <w:tcPr>
            <w:tcW w:w="5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Senior Vice President, General Counsel and Secretary</w:t>
            </w:r>
          </w:p>
        </w:tc>
      </w:tr>
      <w:tr>
        <w:trPr>
          <w:trHeight w:val="244"/>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Troy T. Coleman</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c>
          <w:tcPr>
            <w:tcW w:w="100" w:type="dxa"/>
            <w:vAlign w:val="bottom"/>
          </w:tcPr>
          <w:p>
            <w:pPr>
              <w:spacing w:after="0"/>
              <w:rPr>
                <w:sz w:val="21"/>
                <w:szCs w:val="21"/>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Senior Vice President, General Manager, Products</w:t>
            </w:r>
          </w:p>
        </w:tc>
      </w:tr>
      <w:tr>
        <w:trPr>
          <w:trHeight w:val="244"/>
        </w:trPr>
        <w:tc>
          <w:tcPr>
            <w:tcW w:w="37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Erin E. Hagen</w:t>
            </w:r>
          </w:p>
        </w:tc>
        <w:tc>
          <w:tcPr>
            <w:tcW w:w="162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9"/>
              </w:rPr>
              <w:t>48</w:t>
            </w:r>
          </w:p>
        </w:tc>
        <w:tc>
          <w:tcPr>
            <w:tcW w:w="100" w:type="dxa"/>
            <w:vAlign w:val="bottom"/>
            <w:shd w:val="clear" w:color="auto" w:fill="E2E2E2"/>
          </w:tcPr>
          <w:p>
            <w:pPr>
              <w:spacing w:after="0"/>
              <w:rPr>
                <w:sz w:val="21"/>
                <w:szCs w:val="21"/>
                <w:color w:val="auto"/>
              </w:rPr>
            </w:pPr>
          </w:p>
        </w:tc>
        <w:tc>
          <w:tcPr>
            <w:tcW w:w="5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Senior Vice President, Chief Human Resources Officer</w:t>
            </w:r>
          </w:p>
        </w:tc>
      </w:tr>
      <w:tr>
        <w:trPr>
          <w:trHeight w:val="244"/>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Ian Kent</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58</w:t>
            </w:r>
          </w:p>
        </w:tc>
        <w:tc>
          <w:tcPr>
            <w:tcW w:w="100" w:type="dxa"/>
            <w:vAlign w:val="bottom"/>
          </w:tcPr>
          <w:p>
            <w:pPr>
              <w:spacing w:after="0"/>
              <w:rPr>
                <w:sz w:val="21"/>
                <w:szCs w:val="21"/>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Senior Vice President, Operations</w:t>
            </w:r>
          </w:p>
        </w:tc>
      </w:tr>
      <w:tr>
        <w:trPr>
          <w:trHeight w:val="244"/>
        </w:trPr>
        <w:tc>
          <w:tcPr>
            <w:tcW w:w="37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Richard A. Madormo</w:t>
            </w:r>
          </w:p>
        </w:tc>
        <w:tc>
          <w:tcPr>
            <w:tcW w:w="162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9"/>
              </w:rPr>
              <w:t>58</w:t>
            </w:r>
          </w:p>
        </w:tc>
        <w:tc>
          <w:tcPr>
            <w:tcW w:w="100" w:type="dxa"/>
            <w:vAlign w:val="bottom"/>
            <w:shd w:val="clear" w:color="auto" w:fill="E2E2E2"/>
          </w:tcPr>
          <w:p>
            <w:pPr>
              <w:spacing w:after="0"/>
              <w:rPr>
                <w:sz w:val="21"/>
                <w:szCs w:val="21"/>
                <w:color w:val="auto"/>
              </w:rPr>
            </w:pPr>
          </w:p>
        </w:tc>
        <w:tc>
          <w:tcPr>
            <w:tcW w:w="5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Senior Vice President, Worldwide Sales</w:t>
            </w:r>
          </w:p>
        </w:tc>
      </w:tr>
    </w:tbl>
    <w:p>
      <w:pPr>
        <w:spacing w:after="0" w:line="101"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Michael C. Doogue </w:t>
      </w:r>
      <w:r>
        <w:rPr>
          <w:rFonts w:ascii="Times New Roman" w:cs="Times New Roman" w:eastAsia="Times New Roman" w:hAnsi="Times New Roman"/>
          <w:sz w:val="20"/>
          <w:szCs w:val="20"/>
          <w:color w:val="auto"/>
        </w:rPr>
        <w:t>was appointed President and Chief Executive Officer and as a member of our Board, in February 2025.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Prior to that, he served as our Executive Vice President, Chief Technology Officer, since being named as the Company’s first Chief Technology Officer in September 2022. Mr. Doogue joined Allegro in 1998 as a Design Engineer, facilitating the development of Allegro’s innovative speed and current sensor ICs. Mr. Doogue has also served in various leadership positions at Allegro, including as Design Manager from 2002 to 2006, Director of Strategic Marketing from 2006 to 2011, Business Unit Director of Linear Current Sensors from 2011 to 2016, Vice President of Advanced Sensor Technologies from 2016 to 2019, and as Senior Vice President of Technology and Products from 2019 to 2022. Mr. Doogue holds over 75 semiconductor-related U.S. patents. Mr. Doogue received a B.A. in Physics from Colby College in 1997 and a B.E. in Electrical Engineering from Dartmouth College in 1998. In 2007, Mr. Doogue completed the Stanford Executive Program at the Stanford University Graduate School of Business.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800"/>
          </w:cols>
          <w:pgMar w:left="720" w:top="930" w:right="720" w:bottom="175" w:gutter="0" w:footer="0" w:header="0"/>
          <w:type w:val="continuous"/>
        </w:sectPr>
      </w:pPr>
    </w:p>
    <w:bookmarkStart w:id="21" w:name="page22"/>
    <w:bookmarkEnd w:id="21"/>
    <w:p>
      <w:pPr>
        <w:jc w:val="both"/>
        <w:ind w:firstLine="547"/>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Derek P. D’Antilio </w:t>
      </w:r>
      <w:r>
        <w:rPr>
          <w:rFonts w:ascii="Times New Roman" w:cs="Times New Roman" w:eastAsia="Times New Roman" w:hAnsi="Times New Roman"/>
          <w:sz w:val="20"/>
          <w:szCs w:val="20"/>
          <w:color w:val="auto"/>
        </w:rPr>
        <w:t>has served as our Executive Vice President, Chief Financial Officer and Treasurer since he joined Allegro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January 2022. Mr. D’Antilio currently serves on the board of directors of Polar as a representative of Allegro. Prior to joining Allegro, Mr. D’Antilio served as the Chief Financial Officer of a Summit Partners Portfolio Company and helped lead the sale and recapitalization of the company. From February 2019 to March 2021, he served as the Chief Financial Officer of IDEX Biometrics, a publicly traded and global fabless semiconductor company, where he played an instrumental role in leading a Nasdaq listing and preparing the company to scale its production. Prior to IDEX Biometrics, Mr. D’Antilio spent eight years at MKS Instruments, a global equipment and service provider to semiconductor and industrial markets and held numerous leadership roles, including Vice President &amp; Corporate Controller, where he oversaw global accounting and reporting, financial planning and analysis, and treasury. Earlier in his career, Mr. D’Antilio was a CPA and CMA in public accounting and served as an audit manager at PricewaterhouseCoopers LLP. Mr. D’Antilio holds a B.S.B.A. in Accounting from Salem State University, an M.B.A. from Babson College and has attended executive education programs at the University of Chicago and University of Pennsylvania.</w:t>
      </w:r>
    </w:p>
    <w:p>
      <w:pPr>
        <w:spacing w:after="0" w:line="89"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Sharon S. Briansky </w:t>
      </w:r>
      <w:r>
        <w:rPr>
          <w:rFonts w:ascii="Times New Roman" w:cs="Times New Roman" w:eastAsia="Times New Roman" w:hAnsi="Times New Roman"/>
          <w:sz w:val="20"/>
          <w:szCs w:val="20"/>
          <w:color w:val="auto"/>
        </w:rPr>
        <w:t>has served as our Senior Vice President, General Counsel and Secretary since she joined Allegro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2021. Prior to joining Allegro, Ms. Briansky served as the Vice President, Deputy General Counsel and Secretary at Thermo Fisher Scientific (“Thermo Fisher”) from 2017 to 2021. Prior to that she served as Vice President, Associate General Counsel at Thermo Fisher from 2005 to 2017. Ms. Briansky received a B.A. in Political Science from the University of North Carolina in 1995 and a J.D. from Boston University School of Law in 1998.</w:t>
      </w:r>
    </w:p>
    <w:p>
      <w:pPr>
        <w:spacing w:after="0" w:line="77"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Troy T. Coleman </w:t>
      </w:r>
      <w:r>
        <w:rPr>
          <w:rFonts w:ascii="Times New Roman" w:cs="Times New Roman" w:eastAsia="Times New Roman" w:hAnsi="Times New Roman"/>
          <w:sz w:val="20"/>
          <w:szCs w:val="20"/>
          <w:color w:val="auto"/>
        </w:rPr>
        <w:t>joined Allegro as Senior Vice President, General Manager, Products, in October 2025 with over 25 years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semiconductor industry experience. Prior to joining Allegro, Mr. Coleman served as Vice President and General Manager, Linear Power at Texas Instruments from January 2023 to September 2025 and Vice President and General Manager, Power Switches, Interface, and Lighting at Texas Instruments from April 2018 to January 2023. Mr. Coleman first joined Texas Instruments in June 1999 in the technical sales organization, holding progressively senior positions within the sales, marketing and products organizations. Mr. Coleman holds a Bachelor of Science in Electrical Engineering from Texas A&amp;M University.</w:t>
      </w:r>
    </w:p>
    <w:p>
      <w:pPr>
        <w:spacing w:after="0" w:line="80"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Erin E. Hagen </w:t>
      </w:r>
      <w:r>
        <w:rPr>
          <w:rFonts w:ascii="Times New Roman" w:cs="Times New Roman" w:eastAsia="Times New Roman" w:hAnsi="Times New Roman"/>
          <w:sz w:val="20"/>
          <w:szCs w:val="20"/>
          <w:color w:val="auto"/>
        </w:rPr>
        <w:t>joined the Company as our Senior Vice President and Chief Human Resources Officer in May 2024. Prior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joining Allegro, Ms. Hagen served as Global Human Resources Business Partner for Cabot Corporation, a leading global specialty chemicals and performance materials company, from January 2021 until May 2024. Prior to that, she served as Chief Human Resources Officer for Wind River Environmental, LLC, a septic, grease, and wastewater services company, from 2019 through 2021. From 2014 through 2019, Ms. Hagen worked for OMNOVA Solutions Inc., a developer and manufacturer of emulsion polymers, specialty chemicals and building products in roles of increasing responsibility within the human resources organization. Ms. Hagen holds an M.S. in Positive Organization Development and Change from Case Western Reserve University and a bachelor’s degree in organizational communications from Central Michigan University.</w:t>
      </w:r>
    </w:p>
    <w:p>
      <w:pPr>
        <w:spacing w:after="0" w:line="82"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Ian Kent </w:t>
      </w:r>
      <w:r>
        <w:rPr>
          <w:rFonts w:ascii="Times New Roman" w:cs="Times New Roman" w:eastAsia="Times New Roman" w:hAnsi="Times New Roman"/>
          <w:sz w:val="20"/>
          <w:szCs w:val="20"/>
          <w:color w:val="auto"/>
        </w:rPr>
        <w:t>has over 25 years of operational experience in the semiconductor industry and was named Allegro’s Senior Vice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President, Operations in January 2026. He joined Allegro in September 2023 and has held progressively senior roles in operations, including Senior Director of IC Packaging, and most recently, Vice President Operations. Prior to joining Allegro, he served as Vice President, Operations at Renesas, Inc. from August 2021 until September 2023. Before joining Renesas, he held technical leadership positions at Dialog Semiconductor beginning in August 2008 before its acquisition by Renesas in 2021. Mr. Kent holds an Electronic Engineering Technology apprenticeship and HNC from The University of Wales, Pontypridd.</w:t>
      </w:r>
    </w:p>
    <w:p>
      <w:pPr>
        <w:spacing w:after="0" w:line="80"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Richard A. Madormo </w:t>
      </w:r>
      <w:r>
        <w:rPr>
          <w:rFonts w:ascii="Times New Roman" w:cs="Times New Roman" w:eastAsia="Times New Roman" w:hAnsi="Times New Roman"/>
          <w:sz w:val="20"/>
          <w:szCs w:val="20"/>
          <w:color w:val="auto"/>
        </w:rPr>
        <w:t>joined the Company as our Senior Vice President of Worldwide Sales in March 2025 with over 25 years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sales experience in the semiconductor industry. Prior to joining Allegro, Mr. Madormo served as the SVP, Global Sales and Marketing at Wolfspeed, Inc. (“Wolfspeed”), having joined the company in August 2018 as Vice President of North American Sales. Before joining Wolfspeed, Mr. Madormo held sales leadership positions at Intel Corporation and Altera Corporation. Mr. Madormo holds a degree in electrical engineering technology from The University of Akron.</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800"/>
          </w:cols>
          <w:pgMar w:left="720" w:top="930" w:right="720" w:bottom="175"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auto"/>
        </w:rPr>
        <w:t>Environmental and Occupational Health and Safety Regulation</w:t>
      </w:r>
    </w:p>
    <w:p>
      <w:pPr>
        <w:spacing w:after="0" w:line="124"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We recognize the importance of protecting the environment and the health and safety of our employees, customers, and communities. Our Environmental Health and Safety (“EHS”) Policy outlines policies and training programs that are designed to promote and protect employee safety. Our EHS teams oversee workplace conditions for our employees. All Allegro EHS policies and procedures are developed in accordance with applicable laws and regulations. AMPI is certified to ISO 14001 for environmental management systems and ISO 45001 for occupational health and safety management systems.</w:t>
      </w:r>
    </w:p>
    <w:p>
      <w:pPr>
        <w:spacing w:after="0" w:line="77"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Our operations are subject to various federal, state, local, international, and non-U.S. laws and regulations governing pollution and environmental protection and occupational health and safety, including those related to hazardous and toxic materials, product composition, and the investigation and cleanup of contaminated sites. This includes sites we currently or formerly owned or operated, due to the release of hazardous materials, regardless of whether we caused such release. In addition, we may be strictly liable for joint and several costs associated with investigation and remediation of sites at which we have arranged for the disposal of hazardous wastes if such sites become contaminated, even if we fully comply with applicable environmental laws and regulations. We are also subject to various federal, state, local, international, and non-U.S. laws and regulations relating to occupational health and safety. Any failure on our part to comply with these laws and regulations, including new laws or new interpretations of existing ones, may subject us to significant fines or other civil or criminal costs, obligations, sanctions or property damage or personal injury claims, or suspension of our facilities’ operating permits. In addition, in the event of an incident involving hazardous materials, we could be liable for damages and such liability could exceed the amount of any liability insurance coverage and the resources of our business.</w:t>
      </w:r>
    </w:p>
    <w:p>
      <w:pPr>
        <w:spacing w:after="0" w:line="89"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We face increasing complexity in our product design and procurement operations due to the evolving nature of environmental laws, regulations, directives and standards, as well as specific customer requirements. These laws, regulations, directives, and standards have an impact on the material composition of our products entering specific markets. For example, the European Union (“EU”) adopted its Restriction of Hazardous Substance Directive (“RoHS”) legislation, EU Directive 2002/95/EC (RoHS) and 2011/65/EU (RoHS II), amended by 2015/863/EU, which took effect in July 2019. The EU also adopted the European Regulation on Registration, Evaluation, Authorization and Restriction of Chemicals in 2007, which calls for the progressive substitution of dangerous chemicals in manufacturing. In 2006, China first published its RoHS equivalent, the Administrative Measures on the Control of Pollution Cause by Electronic Information Products. This regulation was revised in 2016 when China enacted the Administrative Measures on the Restrictions of the Use of Certain Hazardous Substances in Electrical and Electronic Products Regulations, which expanded the scope of the 2006 requirements and is designed to restrict additional hazardous substance in certain electrical and electronic products. In addition, any business selling products to consumers in California containing certain listed chemicals or substances is subject to California Proposition 65 (officially known as the Safe Drinking Water and Toxic Enforcement Act of 1986), which requires disclosure of the listed chemical and potential health risks. In addition to these regulations and directives, we may face costs and liabilities in connection with product take-back legislation, which holds manufacturers responsible for the collection and proper disposal of their products discarded by their customers. There are also increasing regulations regarding the use of green marketing claims, which may also affect our product design and procurement operations. Non-compliance with current or future regulations or directives could restrict our ability to expand our business or require us to modify processes and/or materials or incur other substantial expenses which could harm our business.</w:t>
      </w:r>
    </w:p>
    <w:p>
      <w:pPr>
        <w:spacing w:after="0" w:line="86"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Although we incur costs to comply with the provisions discussed above and other applicable federal, state, local, international and non-U.S. laws and regulations relating to environmental protection in the ordinary course of our business, such costs have not materially affected, and are not presently expected to materially affect, our capital expenditures, earnings or competitive position.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24"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 xml:space="preserve">We file annual, quarterly and current reports and any amendments to those reports, proxy statements and other information with the Securities and Exchange Commission (“SEC”). Documents we file with the SEC are available free of charge on our website at </w:t>
      </w:r>
      <w:r>
        <w:rPr>
          <w:rFonts w:ascii="Times New Roman" w:cs="Times New Roman" w:eastAsia="Times New Roman" w:hAnsi="Times New Roman"/>
          <w:sz w:val="20"/>
          <w:szCs w:val="20"/>
          <w:i w:val="1"/>
          <w:iCs w:val="1"/>
          <w:color w:val="auto"/>
        </w:rPr>
        <w:t>https://investors.allegromicro.com/financials/sec-filings</w:t>
      </w:r>
      <w:r>
        <w:rPr>
          <w:rFonts w:ascii="Times New Roman" w:cs="Times New Roman" w:eastAsia="Times New Roman" w:hAnsi="Times New Roman"/>
          <w:sz w:val="20"/>
          <w:szCs w:val="20"/>
          <w:color w:val="auto"/>
        </w:rPr>
        <w:t>, as soon as reasonably practicable after such material is filed with the SEC.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The information included on or available through our website is not part of this or any other report we file with the SEC. Any document that we file with the SEC is available on the SEC’s website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800"/>
          </w:cols>
          <w:pgMar w:left="720" w:top="926" w:right="720" w:bottom="175"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86"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i w:val="1"/>
          <w:iCs w:val="1"/>
          <w:color w:val="auto"/>
        </w:rPr>
        <w:t>Investment in our common stock involves risks, which you should consider carefully, as well as the other information contained in this Annual Report. These disclosures reflect our beliefs and opinions regarding factors that could materially and adversely affect us in the future. References to past events are provided by way of example only and are not intended to be a complete listing or a representation as to whether or not such factors have occurred in the past or their likelihood of occurring in the future. If any of these risks occurs or increases in scope or severity, our business, financial condition and results of operations could be materially harmed. In that event, the trading price of our common stock might decline, and you might lose all or part of your investment. You should also refer to the other information contained in this Annual Report, including our consolidated financial statements and the related notes. Additional risks and uncertainties not presently known to us or not believed by us to be material may also negatively impact 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Downturns or volatility in general economic conditions could have a material adverse effect on our business, financial condition, results of operations and liquidity.</w:t>
      </w:r>
    </w:p>
    <w:p>
      <w:pPr>
        <w:spacing w:after="0" w:line="9"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Our net sales, gross margin, and profitability depend significantly on general economic conditions and the demand for products in the markets in which our customers compete. Weaknesses in the global economy and financial markets, including as a result of a recession and/or changes in government trade policies, such as the imposition of export restrictions and tariffs, may lead to lower demand for products that incorporate our solutions, particularly in the automotive and industrial markets. Additionally, an overall decline in end-user demand can affect our customers’ demand for our products and increase the likelihood of customers canceling or deferring existing orders. Our net sales, financial condition and results of operations could be negatively affected by such actions.</w:t>
      </w:r>
    </w:p>
    <w:p>
      <w:pPr>
        <w:spacing w:after="0" w:line="40"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Volatile and uncertain economic conditions, as well as inflationary pressures that remain above historical levels, can adversely impact sales, gross margin and profitability and make it difficult for us to accurately forecast and plan our future business activities. In addition, uncertainty surrounding international trade policy and regulations as well as trade disputes and protectionist measures could have an adverse effect on consumer confidence and spending. To the extent favorable economic conditions do not materialize or take longer to materialize than expected, we have faced and may continue to face an oversupply of our products and excess inventory. This could result in charges for excess and obsolete inventory, or in the case of excess inventory held by our customers, reduce the number of products purchased by our customers as they digest inventory. Conversely, if we underestimate customer demand, we may fail to meet customer needs, which could impair our customer relationships. In addition, any disruption in the credit markets, including as a result of a recession, could impede our access to capital, which could be further adversely affected if we are unable to obtain or maintain favorable credit ratings. If we have limited access to additional financing sources, we may be required to defer capital expenditures or seek other sources of liquidity, which may not be available to us on acceptable terms or at all. Similarly, if our suppliers or customers face challenges in obtaining credit or other financial difficulties, they may be unable to provide the materials we need to manufacture or purchase our products. All of these factors related to global economic conditions beyond our control could adversely impact our business, financial condition, results of operations and liquidity.</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intense competition and may not be able to compete effectively, which could reduce our market share and decrease our net sales and profitability.</w:t>
      </w:r>
    </w:p>
    <w:p>
      <w:pPr>
        <w:spacing w:after="0" w:line="9"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We participate in intensely competitive end markets in the global semiconductor industry. Our competitive landscape includes rapid technological change in product design and manufacturing, continuous declines in ASPs, and customers who make purchase decisions based on a mix of factors that vary by customer and by market. Our ability to compete in this environment depends on many factors, including our ability to identify emerging markets and technology trends in an accurate and timely manner, introduce new and innovative products, implement new manufacturing and IC development technologies at a sustainable pace, maintain the performance and quality of our products, and manufacture our products in a cost-effective manner.</w:t>
      </w:r>
    </w:p>
    <w:p>
      <w:pPr>
        <w:spacing w:after="0" w:line="40"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Often, we compete against larger companies that possess substantial financial, technical, development, engineering, manufacturing, including wafer fabrication capabilities, and marketing resources. Varying combinations of these resources provide advantages to these competitors, such as the rapid implementation of AI strategies for developing products and service offerings, which may enable them to influence industry trends and the pace at which they adapt to those trends. As the industry rapidly adopts and embeds AI across development, manufacturing and service workflows, our competitors may shorten product cycles and accelerate feature delivery. Any failure to keep pace with these AI-enabled capabilities could harm our competitive position and revenue. A strong competitive response from one or more competitors to our marketplace efforts, or a shift in customer preferences to competitors’ products, could result in more rapid pricing pressure than anticipated, increased sales and marketing expense, and/or market share loss. In addition, certain countries have implemented initiatives to build domestic semiconductor supply chains, including government incentives to local competitors and tools that may restrict foreign suppliers, which could place us at a competitive disadvantage or cause our customers to seek domestic alternatives to our products. Our supply chain strategies for competing in such countries may not fully eliminate the competitive disadvantages that we face. To the extent our profitability is negatively impacted by competitive pressures, our business, financial condition, results of operations and growth prospects may be adversely affected. Further, international trade policy and regulations, trade disputes, protectionist measures, and tariffs, could make our OEM and other end customers’ products less attractive relative to those of competitors, that may not be subject to such tariffs, potentially reducing demand for our solutions.</w:t>
      </w:r>
    </w:p>
    <w:p>
      <w:pPr>
        <w:sectPr>
          <w:pgSz w:w="12240" w:h="15840" w:orient="portrait"/>
          <w:cols w:equalWidth="0" w:num="1">
            <w:col w:w="10800"/>
          </w:cols>
          <w:pgMar w:left="720" w:top="926" w:right="720" w:bottom="175"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800"/>
          </w:cols>
          <w:pgMar w:left="720" w:top="926" w:right="720" w:bottom="175" w:gutter="0" w:footer="0" w:header="0"/>
          <w:type w:val="continuous"/>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rely on a limited number of third-party semiconductor wafer fabrication facilities and a limited number of suppliers of other materials, and the failure of any of these suppliers to supply wafers or other materials on a timely basis could harm our business and our financial results.</w:t>
      </w:r>
    </w:p>
    <w:p>
      <w:pPr>
        <w:spacing w:after="0" w:line="28" w:lineRule="exact"/>
        <w:rPr>
          <w:sz w:val="20"/>
          <w:szCs w:val="20"/>
          <w:color w:val="auto"/>
        </w:rPr>
      </w:pPr>
    </w:p>
    <w:p>
      <w:pPr>
        <w:jc w:val="both"/>
        <w:ind w:firstLine="547"/>
        <w:spacing w:after="0" w:line="241" w:lineRule="auto"/>
        <w:rPr>
          <w:sz w:val="20"/>
          <w:szCs w:val="20"/>
          <w:color w:val="auto"/>
        </w:rPr>
      </w:pPr>
      <w:r>
        <w:rPr>
          <w:rFonts w:ascii="Times New Roman" w:cs="Times New Roman" w:eastAsia="Times New Roman" w:hAnsi="Times New Roman"/>
          <w:sz w:val="20"/>
          <w:szCs w:val="20"/>
          <w:color w:val="auto"/>
        </w:rPr>
        <w:t>We currently rely on a limited number of third-party wafer fabrication facilities for the fabrication of semiconductor wafers used in the manufacture of our IC products, primarily United Microelectronics Corporation (“UMC”), Polar, Tower Semiconductor Ltd. (“Tower”) and Taiwan Semiconductor Manufacturing Company (“TSMC”), and we purchase a number of key manufacturing materials and components from single or limited sources. We depend on these foundries and other sources to meet our production needs. These foundries have limited production capacities with little ability to quickly expand capacity. From time to time, we have encountered shortages and delays in obtaining wafers and other components and materials as well as export restrictions on certain components and materials, and we may encounter additional shortages, delays and restrictions in the future. For example, recent foreign export restrictions from China on certain rare-earth elements, metals and magnets, including samarium, used in our applications and in end-user products have disrupted our ability to reliably source materials, and constrained global supply could restrict our ability to manufacture certain products. Such restrictions may make it difficult or impossible for us to compete with other semiconductor manufacturers that are able to obtain sufficient quantities of such materials from China or other sources. Additionally, two of our third-party wafer fabrication facilities are located in Taiwan, a location where earthquakes are commonplace, and geopolitical changes in China-Taiwan relations could disrupt their operations. If we cannot supply our products due to a lack of components, are unable to source materials, such as samarium or other rare-earth metals, from other suppliers, to redesign products with other components in a timely manner, or OEMs or our other customers are unable to access the materials they need to produce the end products that our applications are used in, our business will be significantly harmed. We do not have long-term contracts with some of our suppliers and third-party manufacturers. As a result, any such supplier or third-party manufacturer can discontinue supplying components or materials to us at any time and without penalty. Moreover, we depend on the quality of the wafers and other components and materials that they supply to us, over which we have limited control. Our suppliers’ abilities to meet our requirements could be impaired or interrupted by factors beyond their control, such as global market conditions, changes in tariffs or other trade regulations, climate change, natural disasters or other disruptions. Our suppliers may also face their own operational challenges, such as labor shortages or raw material cost increases, which could be passed on to us or disrupt their ability to supply us with necessary materials. If any of our suppliers is unable or unwilling to deliver us products and we are unable to identify alternative suppliers for such materials or components on a timely basis, our operations may be adversely affected. Even if we identify alternative suppliers, we could experience delays in testing, evaluating and validating materials or products of such alternative suppliers or products we obtain through outsourcing. Qualifying new contract manufacturers, including semiconductor foundries, is time-consuming and might result in unforeseen manufacturing and operations problems. Further, financial or other difficulties faced by our suppliers, or significant changes in demand for the components or materials they use in the products they supply to us, could limit the availability of those products, components or materials to us. We are also subject to potential delays in our suppliers' development of key components, which may affect our ability to introduce new products. Any of these problems or delays could damage our relationships with customers, adversely affect our reputation, business, financial condition, results of operations and ability to grow our business.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Failure to adjust our purchase commitments and inventory management based on changing market conditions or customer demand could result in an inability to meet customer demand or additional charges for obsolete or excess inventories or non-cancellable purchase commitments or reduced sales in periods when customers digest excess inventory.</w:t>
      </w:r>
    </w:p>
    <w:p>
      <w:pPr>
        <w:spacing w:after="0" w:line="28"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We make significant decisions, including determining the levels of business that we will seek and accept, production schedules, levels of reliance on outsourced contract manufacturing, personnel needs and other resource requirements, based on our estimates of customer requirements. The short-term nature of many customer commitments and the possibility of rapid changes in demand for their products reduce our ability to accurately estimate future requirements of our customers. On occasion, our customers may require rapid increases in production, and we may not have sufficient capacity at any given time to meet our customers’ demands. Conversely, downturns in the semiconductor industry may cause our customers to significantly reduce the number of products ordered from us as they digest excess inventory. These risks are compounded by our customers’ own supply chain challenges; if our customers are unable to source other critical components from different suppliers, they may delay or cancel their product builds, which in turn reduces their demand for our products. Because many of our sales, research and development and manufacturing expenses are relatively fixed, a reduction in customer demand has resulted, and may continue to result, in a decrease in our gross margins and operating income.</w:t>
      </w:r>
    </w:p>
    <w:p>
      <w:pPr>
        <w:spacing w:after="0" w:line="42"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Further, we base operating decisions and enter into purchase commitments on the basis of anticipated net sales trends, which can be unpredictable. Changes in forecasts or order timing or unreliable forecasts from customers expose us to risks of inventory shortages or excess inventory. Some of our purchase commitments are not cancellable, and in some cases we are required to recognize a charge representing the amount of material or capital equipment purchased or ordered, which exceeds our actual requirements. For example, we have noncancellable purchase commitments with vendors and “take-or-pay” agreements with certain of our third-party wafer fabrication partners under which we are required to purchase a minimum number of wafers per year or face financial penalties. These types of commitments and agreements have reduced and may continue to reduce our ability to adjust our inventory to address declining market demands. In prior quarters, we and other semiconductor companies have experienced downturns in market demand, which caused us to record substantive charges for excess and obsolete inventories and forced us to incur other inventory-related charges. If net sales in future periods fall substantially below our expectations, or if we fail to accurately forecast changes in demand mix, we could again be required to record substantial charges for obsolete or excess inventories or noncancellable purchase</w:t>
      </w:r>
    </w:p>
    <w:p>
      <w:pPr>
        <w:sectPr>
          <w:pgSz w:w="12240" w:h="15840" w:orient="portrait"/>
          <w:cols w:equalWidth="0" w:num="1">
            <w:col w:w="10800"/>
          </w:cols>
          <w:pgMar w:left="720" w:top="930" w:right="720" w:bottom="175"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800"/>
          </w:cols>
          <w:pgMar w:left="720" w:top="930" w:right="720" w:bottom="175" w:gutter="0" w:footer="0" w:header="0"/>
          <w:type w:val="continuous"/>
        </w:sectPr>
      </w:pPr>
    </w:p>
    <w:bookmarkStart w:id="25" w:name="page26"/>
    <w:bookmarkEnd w:id="25"/>
    <w:p>
      <w:pPr>
        <w:jc w:val="both"/>
        <w:spacing w:after="0" w:line="252" w:lineRule="auto"/>
        <w:rPr>
          <w:sz w:val="20"/>
          <w:szCs w:val="20"/>
          <w:color w:val="auto"/>
        </w:rPr>
      </w:pPr>
      <w:r>
        <w:rPr>
          <w:rFonts w:ascii="Times New Roman" w:cs="Times New Roman" w:eastAsia="Times New Roman" w:hAnsi="Times New Roman"/>
          <w:sz w:val="20"/>
          <w:szCs w:val="20"/>
          <w:color w:val="auto"/>
        </w:rPr>
        <w:t>commitments. Further, during a market upturn we may not be able to purchase sufficient supplies or components to meet increasing product demand, which could prevent us from taking advantage of opportunities and maximizing our net sales. Any failure to adjust our supply chain volume, secure sufficient supply from third-party vendors, including semiconductor wafer suppliers, or estimate customer demand could have a material adverse effect on our net sales, business, financial condition and results of operations.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cyclical nature of the semiconductor industry may limit our ability to maintain or improve our net sales and profitability.</w:t>
      </w:r>
    </w:p>
    <w:p>
      <w:pPr>
        <w:spacing w:after="0" w:line="80"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The semiconductor industry, including the analog segment in which we compete, is highly cyclical and is prone to significant downturns from time to time. Cyclical downturns can result from a variety of market forces, which can result in significant declines in analog semiconductor demand. Downturns have been characterized by diminished product demand, production overcapacity, high inventory levels and accelerated erosion of ASPs. Recent downturns in the semiconductor industry had been attributed to a variety of factors, including weakness in demand and pricing for semiconductors across applications, ongoing trade disputes among the United States and China, and excess inventory. To the extent that current levels of investment in AI-related infrastructure, products or end-market demand reflect expectations that are not ultimately realized, or if customer spending related to AI moderates, is delayed, or declines faster than anticipated, the semiconductor industry could experience an accelerated or more pronounced downturn. Downturns directly impact our business, and any prolonged or significant future downturns in the semiconductor industry could have a material adverse effect on our business, financial condition and results of operations. Conversely, significant upturns can cause us to be unable to satisfy demand in a timely and cost-efficient manner and could result in increased competition for access to third-party foundry and assembly capacity. In the event of such an upturn, we may not be able to expand our workforce and operations in a sufficiently timely manner, procure adequate resources and raw materials, including semiconductor wafers from our third-party wafer manufacturing partners, and other critical components, such as memory components, at reasonable costs, or locate suitable third-party suppliers or other third-party subcontractors to respond effectively to changes in demand for our existing or new products, and our business, financial condition and results of operations could be materially and adversely affected.</w:t>
      </w:r>
    </w:p>
    <w:p>
      <w:pPr>
        <w:spacing w:after="0" w:line="5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Substantial portions of our sales are made to automotive industry suppliers. Downturns or disruptions in the automotive market or industry have harmed, and in the future could significantly harm, our financial results.</w:t>
      </w:r>
    </w:p>
    <w:p>
      <w:pPr>
        <w:spacing w:after="0" w:line="9"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Our customers that supply various systems and components to automotive OEMs accounted for 70.6%, 73.8%, and 72.4% of our total net sales in fiscal years 2026, 2025, and 2024, respectively. This concentration of sales exposes us to the risks associated with the automotive market and automotive industry. For example, our anticipated future growth is highly dependent on the increased adoption of automotive technologies, including ADAS and xEV powertrain vehicles, which traditionally have had increased sensor and power product content. A downturn in the automotive market or prolonged disruption could delay automakers’ plans to introduce new vehicles with these features, which would negatively impact the demand for our products and the ability to grow our business. Disruptions in the automotive industry due to changes in tariffs or other trade regulations could have a material adverse effect on our business. For example, in March 2025, the United States Government released a proclamation adjusting tariffs on automobiles and automobile parts into the United States. Such tariffs, as well as any potential retaliatory tariffs, could substantially disrupt the automotive market or industry and in turn have a material adverse effect on our business. Such tariffs could make our OEM and end customers’ products less attractive relative to their competitors' products, which may not be subject to similar tariffs.</w:t>
      </w:r>
    </w:p>
    <w:p>
      <w:pPr>
        <w:spacing w:after="0" w:line="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Acquisitions of other companies or technologies, may create additional risks, including risks associated with our ability to successfully integrate these acquisitions into our business.</w:t>
      </w:r>
    </w:p>
    <w:p>
      <w:pPr>
        <w:spacing w:after="0" w:line="9"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We have acquired other companies as part of our growth strategy, and we continue to consider future acquisitions of or strategic investments in other companies, or their technologies or products, to improve our market position, broaden our technological capabilities, and expand our product offerings. Acquiring companies or technologies involves a number of risks, including, but not limited to: the potential disruption of our ongoing business; the increased costs incurred to finance acquisitions and the allocation of capital to fund acquisitions being diverted from other operational priorities, such as research and development; unexpected costs or incurring unknown liabilities; the diversion of management resources from other strategic and operational issues; difficulty in developing, manufacturing and marketing the products of a newly acquired company within the anticipated costs and timeframe; the inability to retain key employees of the acquired businesses; difficulties relating to integrating the operations and personnel of the acquired businesses; adverse effects on our existing customer relationships or existing customer relationships of acquired businesses; the potential incompatibility of the acquired business or their customers; issues not discovered during our due diligence that could impact our assumptions concerning the status of and prospects for the products and technologies of the acquired business; and acquired intangible assets, including goodwill, becoming impaired as a result of technological advancements or worse-than-expected performance of the acquired business. If we are unable to successfully address any of these risks, our business could be harmed.</w:t>
      </w:r>
    </w:p>
    <w:p>
      <w:pPr>
        <w:spacing w:after="0" w:line="4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gross margins may be adversely affected by decreases in average selling prices of our products, increases in input costs and shifts in product, customer or channel mix.</w:t>
      </w:r>
    </w:p>
    <w:p>
      <w:pPr>
        <w:spacing w:after="0" w:line="9"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The market for our products is generally characterized by declining ASPs, resulting from factors such as increased competition, overcapacity, the amount of inventory held by our customers, the introduction of new products and increased unit volumes. Further, our overall gross margins have fluctuated period to period as a result of shifts in product mix, customer mix and channel mix, as gross margins on individual products typically fluctuate over the product’s life cycle. We have experienced, and in the future may experience, substantial period-to-period fluctuations in operating results due to these factors. ASPs may decrease in the future in</w:t>
      </w:r>
    </w:p>
    <w:p>
      <w:pPr>
        <w:sectPr>
          <w:pgSz w:w="12240" w:h="15840" w:orient="portrait"/>
          <w:cols w:equalWidth="0" w:num="1">
            <w:col w:w="10800"/>
          </w:cols>
          <w:pgMar w:left="720" w:top="930" w:right="720" w:bottom="175"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800"/>
          </w:cols>
          <w:pgMar w:left="720" w:top="930" w:right="720" w:bottom="175" w:gutter="0" w:footer="0" w:header="0"/>
          <w:type w:val="continuous"/>
        </w:sectPr>
      </w:pPr>
    </w:p>
    <w:bookmarkStart w:id="26" w:name="page27"/>
    <w:bookmarkEnd w:id="26"/>
    <w:p>
      <w:pPr>
        <w:jc w:val="both"/>
        <w:spacing w:after="0" w:line="252" w:lineRule="auto"/>
        <w:rPr>
          <w:sz w:val="20"/>
          <w:szCs w:val="20"/>
          <w:color w:val="auto"/>
        </w:rPr>
      </w:pPr>
      <w:r>
        <w:rPr>
          <w:rFonts w:ascii="Times New Roman" w:cs="Times New Roman" w:eastAsia="Times New Roman" w:hAnsi="Times New Roman"/>
          <w:sz w:val="20"/>
          <w:szCs w:val="20"/>
          <w:color w:val="auto"/>
        </w:rPr>
        <w:t>response to introduction of new products by us or our competitors, or due to other factors, such as customer pricing pressures. To sustain profitable operations, we must continually reduce costs for our existing products and rapidly develop and introduce new products with enhanced features that can be sold initially at higher ASPs. Failure to do so could cause our net sales and gross margins to decline, which would negatively affect our financial condition and results of operations and could significantly harm our business.</w:t>
      </w:r>
    </w:p>
    <w:p>
      <w:pPr>
        <w:spacing w:after="0" w:line="34"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We may be unable to reduce the cost of our products sufficiently to enable us to compete with others. Our cost reduction efforts may not allow us to keep pace with competitive pricing pressures given the increased cost of certain materials, such as semiconductor wafers, memory chips and raw materials like gold and copper, the increased cost of which adversely affects our gross margins. Additionally, when a product is in high demand, we may have to source a portion of materials from higher-cost providers, which may decrease our overall gross margin. Further, tariffs on imported raw materials and components essential to our manufacturing processes could lead to higher production costs that we may be unable to pass on to customers, thereby negatively affecting our gross margins. We maintain an infrastructure of facilities and human resources in several locations around the world and, as a result, have limited ability to reduce our operating costs. Accordingly, to remain competitive, we must continually reduce the cost of manufacturing our products through design and engineering changes. We cannot assure you we will be successful in redesigning our products and bringing them to market in a timely manner, or that any redesign will result in sufficient cost reductions to allow us to reduce the price of our products to remain competitive or maintain or improve our gross margins. If a product does not meet our gross margin targets, we may be forced to stop design or production of the product, regardless of where it is in the development or sales stage. To the extent we cannot reduce our product prices and remain competitive or are forced to discontinue development or sales of low margin products, our net sales will likely decline, resulting in further pressure on our gross margins, which could have a material adverse effect on our business, financial condition, results of operations and our ability to grow our business.</w:t>
      </w:r>
    </w:p>
    <w:p>
      <w:pPr>
        <w:spacing w:after="0" w:line="5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encounter sustained yield problems or other delays at our third-party wafer fabrication facilities or in the final assembly and test of our products, we may lose sales and damage our customer relationships.</w:t>
      </w:r>
    </w:p>
    <w:p>
      <w:pPr>
        <w:spacing w:after="0" w:line="9"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The manufacture of our products, including the fabrication of semiconductor wafers, and the assembly and testing of our products, are complex and sensitive to many factors, including levels of contaminants in the manufacturing environment, difficulties in the wafer fabrication process or other issues that can cause a substantial portion of the components on a wafer to be nonfunctional. These problems may be difficult to detect at an early stage of the manufacturing process and often are time-consuming and expensive to correct. On occasion, we have experienced problems in achieving acceptable yields at our third-party wafer fabrication partners, resulting in delays in the availability of components. Moreover, an increase in the rejection rate of products during the quality control process before, during or after manufacture and/or shipping of such products, results in lower yields and margins. Further, changes in manufacturing processes required due to changes in product specifications, changing customer needs and the introduction of new product lines have historically materially reduced our manufacturing yields, causing low or negative margins on such products. Poor manufacturing yields over a prolonged period could adversely affect our ability to deliver our products on a timely basis and harm our customer relationships, which could have a material adverse effect on our business, financial condition and results of operations.</w:t>
      </w:r>
    </w:p>
    <w:p>
      <w:pPr>
        <w:spacing w:after="0" w:line="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quarterly net sales and operating results are difficult to predict accurately and may fluctuate significantly from period to period. As a result, we may fail to meet the expectations of investors, which could cause our stock price to decline.</w:t>
      </w:r>
    </w:p>
    <w:p>
      <w:pPr>
        <w:spacing w:after="0" w:line="9"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We operate in a highly dynamic industry, and our future operating results could be subject to significant fluctuations, particularly on a quarterly basis. Our quarterly net sales and operating results have fluctuated significantly in the past and may continue to vary from quarter to quarter due to a number of factors, many of which are not within our control. In addition, investor expectations regarding emerging technology trends, including AI and data centers, and our positioning relative to those trends, may contribute to heightened volatility in our stock price, whether or not such expectations are ultimately realized. Although some of our customers provide us with non-binding forecasts of their future requirements for our products, a significant percentage of our net sales in each fiscal quarter is dependent on sales that are booked and shipped during that fiscal quarter, and are typically attributable to a large number of orders from diverse customers and markets. As a result, accurately forecasting our operating results in any fiscal quarter is difficult. If our operating results do not meet expectations of securities analysts and investors, our stock price may decline. Additional factors that can contribute to fluctuations in our operating results include the timing of customer qualification of our products and commencement of volume sales by our customers of systems that include our products, product rates of return or price concessions in excess of those expected or forecasted, as well as the other risk factors identified in this section of our Annual Report.</w:t>
      </w:r>
    </w:p>
    <w:p>
      <w:pPr>
        <w:spacing w:after="0" w:line="46"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We may experience a delay in generating or recognizing revenues for various reasons. Open orders at the start of each quarter are typically lower than expected net sales for that quarter and are generally cancellable or reschedulable with minimal notice. Thus, we depend on obtaining orders during each quarter for shipment in that quarter to achieve our net sales objectives, and failure to fulfill such orders by the end of a quarter may adversely affect our operating results. Further, our customer agreements typically provide that the customer may delay scheduled delivery dates and cancel orders within specified timeframes without significant penalty. Because we base our operating expenses on anticipated revenue trends and a high percentage of our expenses are fixed in the short term, any delay in generating or recognizing forecasted net sales or changes in levels of our customers’ forecasted demand could adversely impact our business, financial condition and results of operations. Due to our limited ability to reduce expenses, in the event our revenues decline or net sales do not meet our expectations, it is likely that in some future quarters our operating results will decrease from the previous quarter or fall below the expectations of securities analysts and investors. As a result of these factors, our operating results may vary significantly from quarter to quarter. Accordingly, we believe that period-to-period comparisons of our results of</w:t>
      </w:r>
    </w:p>
    <w:p>
      <w:pPr>
        <w:sectPr>
          <w:pgSz w:w="12240" w:h="15840" w:orient="portrait"/>
          <w:cols w:equalWidth="0" w:num="1">
            <w:col w:w="10800"/>
          </w:cols>
          <w:pgMar w:left="720" w:top="930" w:right="720" w:bottom="175"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800"/>
          </w:cols>
          <w:pgMar w:left="720" w:top="930" w:right="720" w:bottom="175" w:gutter="0" w:footer="0" w:header="0"/>
          <w:type w:val="continuous"/>
        </w:sectPr>
      </w:pPr>
    </w:p>
    <w:bookmarkStart w:id="27" w:name="page28"/>
    <w:bookmarkEnd w:id="27"/>
    <w:p>
      <w:pPr>
        <w:jc w:val="both"/>
        <w:spacing w:after="0" w:line="277" w:lineRule="auto"/>
        <w:rPr>
          <w:sz w:val="20"/>
          <w:szCs w:val="20"/>
          <w:color w:val="auto"/>
        </w:rPr>
      </w:pPr>
      <w:r>
        <w:rPr>
          <w:rFonts w:ascii="Times New Roman" w:cs="Times New Roman" w:eastAsia="Times New Roman" w:hAnsi="Times New Roman"/>
          <w:sz w:val="20"/>
          <w:szCs w:val="20"/>
          <w:color w:val="auto"/>
        </w:rPr>
        <w:t>operations should not solely be relied upon as indications of future performance. Any shortfall in net sales or net income compared to a previous quarter or to levels expected by the investment community could cause a decline in the trading price of our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dependence on our manufacturing operations in the Philippines exposes us to certain risks that may harm our business.</w:t>
      </w:r>
    </w:p>
    <w:p>
      <w:pPr>
        <w:spacing w:after="0" w:line="80"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We rely heavily on the manufacturing operations at AMPI, which operates as our primary internal assembly and testing facility. We depend on AMPI for our sensor and power products, and if this facility suspends operations, our ability to assemble and test our products could be materially impaired. Further, any disruption in operations at AMPI could adversely affect our ability to meet customer demand in a timely manner, or at all, which would lead to a reduction in our net sales and may adversely affect our reputation and customer relationships, potentially resulting in longer-term harm to our business. In addition, an earthquake, fire, flood or other natural or man-made disaster, as well as a pandemic, epidemic or other outbreak of infectious disease, strikes, political or civil unrest, energy shortages, or any number of other factors beyond our control could also disable the facility, causing catastrophic losses. Although we supplement the assembly capabilities at AMPI with other external or independent assembly subcontractors throughout Asia, if our manufacturing operations at AMPI are disrupted, it could take additional time and cost for us to resume manufacturing at another location, which could materially harm our manufacturing efficiency and capacity, delay production and shipments and result in costly expenditures to repair or replace this facility. We have established or invested in alternative manufacturing facilities and may in the future be required to establish or invest in additional alternative manufacturing facilities. Such attempts to establish or invest in alternative manufacturing facilities, could increase our costs, reduce our profitability, and limit our ability to maintain competitive prices for our products. Only a few alternative manufacturing facilities have the capability to assemble and test our most advanced and complex products, and if we are forced to engage such alternative manufacturing facilities, we may encounter difficulties and incur additional costs. Thus, we cannot guarantee that we will be able to manage the risks and challenges associated with our dependence on AMPI, and any failure to do so could have a material adverse effect on our business, financial condition and results of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significant portion of our net sales are generated through distributors, which subjects us to certain risks.</w:t>
      </w:r>
    </w:p>
    <w:p>
      <w:pPr>
        <w:spacing w:after="0" w:line="80" w:lineRule="exact"/>
        <w:rPr>
          <w:sz w:val="20"/>
          <w:szCs w:val="20"/>
          <w:color w:val="auto"/>
        </w:rPr>
      </w:pPr>
    </w:p>
    <w:p>
      <w:pPr>
        <w:jc w:val="both"/>
        <w:ind w:firstLine="547"/>
        <w:spacing w:after="0" w:line="241" w:lineRule="auto"/>
        <w:rPr>
          <w:sz w:val="20"/>
          <w:szCs w:val="20"/>
          <w:color w:val="auto"/>
        </w:rPr>
      </w:pPr>
      <w:r>
        <w:rPr>
          <w:rFonts w:ascii="Times New Roman" w:cs="Times New Roman" w:eastAsia="Times New Roman" w:hAnsi="Times New Roman"/>
          <w:sz w:val="20"/>
          <w:szCs w:val="20"/>
          <w:color w:val="auto"/>
        </w:rPr>
        <w:t>We sell our products worldwide through multiple sales channels, including through our direct sales force, distributors and independent sales representatives, which resell our products to numerous end customers. A significant portion of our net sales are made to distributors, which were approximately 55.0%, 50.7% and 52.9% of our net sales in fiscal years 2026, 2025 and 2024. Sales to our largest, non-affiliated distributor accounted for 9.4%, 9.3% and 10.2% of our net sales in fiscal years 2026, 2025 and 2024, respectively. The impairment or termination of our relationships with our distributors, or the failure of these parties to diligently sell our products, could materially and adversely affect our ability to generate revenue and profits. Additionally, if our distributors are unable to accurately forecast end customer demand for our products, we may purchase more or fewer parts than necessary or incur costs for canceling, postponing or expediting delivery of parts. Our purchases or commitments to purchase inventory are based on, among other things, our distributors’ forecasts of end customer demand. We have experienced, and may in the future experience, situations where such demand does not materialize as forecasted, where inventory is rendered obsolete by the rapid pace of technological change, or where customers reduce, delay, or cancel orders. Some of these factors have resulted in, and may in the future result in, excess or obsolete inventory charges. Conversely, if we need to rapidly increase our business and manufacturing capacity to meet increases in our distributors’ forecasted demand, this could strain our manufacturing and supply chain operations and negatively impact our working capital. Because our distributors control the relationships with end customers, if our relationship with any distributor ends, we could also lose our relationships with their customers. In addition, because our distributors do not sell our products exclusively, they may focus their sales efforts and resources on other products that produce better margins or greater commissions for them or are incorporated into a broader strategic relationship with one of their other suppliers. Because we do not control the sales representatives and other employees of our distributors, we cannot guarantee that our sales processes, regulatory compliance and other priorities will be consistently communicated and executed. Further, we may not have staff in one or more of the locations covered by our distributors, which makes it particularly difficult for us to monitor their performance. Our efforts to mitigate risks associated with noncompliance by our distributors may not be successful, and there remains a risk that our distributors will not comply with regulatory requirements or our requirements and policies. Actions by our distributors' sales representatives and other employees could result in flat or declining sales in a given geographic area, reputational harm to us or our products, or legal liability, any of which could have an adverse effect on our business, financial condition and results of operations. Additionally, the operation of local laws and our agreements with our distributors could make it difficult for us to replace a distributor we feel is underperforming.</w:t>
      </w:r>
    </w:p>
    <w:p>
      <w:pPr>
        <w:spacing w:after="0" w:line="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Events beyond our control impacting us, our key suppliers, our manufacturing partners or other third-party suppliers of components, materials or subassemblies incorporated into the same end products as our devices could have an adverse effect on our business, financial condition, results of operations and cash flows.</w:t>
      </w:r>
    </w:p>
    <w:p>
      <w:pPr>
        <w:spacing w:after="0" w:line="28"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Our ability to make, transport and sell products in coordination with our suppliers, customers (including OEMs), distributors and third-party manufacturers or other subcontractors is critical to our success. Damage or disruption to either our or our key suppliers or manufacturing partners’ supply, manufacturing or distribution capabilities resulting from energy shortages, weather, freight carrier availability, climate change, natural disaster, disease, fire, explosion, cyber-attacks, terrorism, pandemics, epidemics or other outbreaks of infectious disease, war, strikes, civil unrest, repairs or enhancements at facilities manufacturing or distributing our products or other reasons could impair our ability to manufacture, sell, and deliver products on a timely basis or at all. Climate change may also increase the frequency or intensity of certain of these risks, as well as contribute to various chronic changes (such as sea-level rise or changes to meteorological and hydrological patterns) that may result in similar risks. In addition to general economic</w:t>
      </w:r>
    </w:p>
    <w:p>
      <w:pPr>
        <w:sectPr>
          <w:pgSz w:w="12240" w:h="15840" w:orient="portrait"/>
          <w:cols w:equalWidth="0" w:num="1">
            <w:col w:w="10800"/>
          </w:cols>
          <w:pgMar w:left="720" w:top="930" w:right="720" w:bottom="175"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800"/>
          </w:cols>
          <w:pgMar w:left="720" w:top="930" w:right="720" w:bottom="175" w:gutter="0" w:footer="0" w:header="0"/>
          <w:type w:val="continuous"/>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20"/>
          <w:szCs w:val="20"/>
          <w:color w:val="auto"/>
        </w:rPr>
        <w:t>conditions, impacts of other macroeconomic events, such as valuation concerns related to AI Technologies, continued inflation and labor market concerns, public health crises, geopolitical tensions or conflicts and risks, and uncertainties in global financial markets, could materially adversely impact our operations or those of our suppliers, third party distributors and sub-contractors.</w:t>
      </w:r>
    </w:p>
    <w:p>
      <w:pPr>
        <w:spacing w:after="0" w:line="28"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Because our products are components that are incorporated into our customers’ end products alongside semiconductors, electronic components, subassemblies, raw materials and other inputs supplied by numerous third parties over whom we have no control, our business is also exposed to disruptions affecting those other suppliers and the broader electronics supply chain, even when our own supply, manufacturing and distribution capabilities are unaffected. Many of the end products into which our sensor, power and motor driver ICs are designed, including automobiles, industrial equipment, data center infrastructure, consumer electronics and clean energy systems, cannot be completed, shipped or sold by our customers unless all required components are available in the necessary quantities and on the required schedule. As a result, a shortage, allocation, quality issue, recall, cyber incident, geopolitical disruption, trade restriction, labor action, insolvency or other disruption affecting any other critical component or input, such as memory or logic semiconductors, microcontrollers, power discretes, passive components, connectors, printed circuit boards, substrates, displays, batteries, wire harnesses, rare-earth elements, minerals or magnets subject to export restrictions, or other specialty raw materials, could cause our customers to delay, reduce, reschedule or cancel orders for our products, draw down inventory of our products in lieu of placing new orders, or suspend or curtail production of the end products into which our devices are incorporated. These dynamics may be magnified by our customers’ just-in-time manufacturing practices, lean inventory strategies, dual-sourcing requirements and contractual commitments to their own customers. We typically have limited visibility into our customers’ full bills of materials and into the supply chains of other component suppliers, which limits our ability to anticipate, plan for or mitigate the impact of such third-party disruptions. The effects of these disruptions on our business may lag the underlying event by one or more quarters as inventory is consumed and orders are rescheduled and may persist for an extended period after the underlying event resolves. For example, export restrictions on rare-earth magnets imposed by China in 2025 caused certain automotive manufacturers to pause or reduce vehicle production, and similar disruptions affecting the supply of critical inputs to our customers’ end products could reduce demand for our products even where our own deliveries continue uninterrupted.</w:t>
      </w:r>
    </w:p>
    <w:p>
      <w:pPr>
        <w:spacing w:after="0" w:line="42"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In particular, the escalation of armed conflict involving the United States, Israel and Iran beginning in early 2026 has heightened risks to our business. Disruption of key Middle East maritime shipping corridors, including the Strait of Hormuz, has increased freight costs and transit times and could delay or interrupt the supply of raw materials, components and packaging materials sourced from or routed through the affected region, including for our fabs, other suppliers and third-party suppliers of components incorporated into the same end products as our devices. Related surges in global energy prices have also affected energy costs in countries where we maintain significant manufacturing operations, including the Philippines, which has declared a state of energy emergency. Increased energy costs or supply constraints at our facilities could reduce production capacity or cause delays. The conflict may prompt expanded sanctions and export control measures that could restrict our ability to transact with counterparties or expose us to regulatory risk. Because our operations are downstream in the global supply chain, the effects of these disruptions, and any further escalation, may lag the underlying events and persist beyond any resolution or de-escalation of the conflict itself.</w:t>
      </w:r>
    </w:p>
    <w:p>
      <w:pPr>
        <w:spacing w:after="0" w:line="42"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Other companies in our industry may be affected differently by natural disasters, climate change or other disruptions depending on the location and concentration of their suppliers, operations and customers. In addition, many of our competitors are larger companies with more substantial financial and other resources and, as a result, may be better able to plan for, withstand or otherwise mitigate the effects of any such disruption. While we may take steps to plan for or address the occurrence of any such event, we cannot guarantee that we will be successful. Our failure to take adequate steps to reduce the likelihood or mitigate the potential impact of such events, or to effectively manage such events if they occur, particularly when a wafer or packaging component is sourced from a limited number of locations or suppliers, could adversely affect our business, financial condition, results of operations and cash flows and/or require additional resources to restore our supply chain.</w:t>
      </w:r>
    </w:p>
    <w:p>
      <w:pPr>
        <w:spacing w:after="0" w:line="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fail in a timely and cost-effective manner to develop new product features or new products that address customer preferences and achieve market acceptance, our operating results could be adversely affected.</w:t>
      </w:r>
    </w:p>
    <w:p>
      <w:pPr>
        <w:spacing w:after="0" w:line="9"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Our customers seek new products with more features and functionality at a lower cost, and our success relies heavily on our ability to continue to develop and market to our customers new and innovative products and improvements of existing products, including those that may incorporate, or are based or developed using, software or AI Technologies. To respond to new and evolving customer demands, achieve strong market share and keep pace with new technological, processing and other developments, we must continually introduce new and innovative products into the market. Although we strive to respond to customer preferences and industry expectations in the development of our products, we may not be successful in developing, introducing or commercializing any new or enhanced products on a timely basis or at all. Further, if initial sales volumes for new or enhanced products do not reach anticipated levels within the time periods we expect, we may be required to engage in additional marketing efforts to promote such products and the costs of developing and commercializing such products may be higher than we predict. Moreover, new and enhanced products may not perform as expected. We may encounter lower manufacturing yields and longer delivery schedules in commencing volume production of new products that we introduce, which could increase costs and disrupt supply of such products.</w:t>
      </w:r>
    </w:p>
    <w:p>
      <w:pPr>
        <w:spacing w:after="0" w:line="49"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A fundamental shift in technologies, particularly one that impacts magnetic or power ICs, the regulatory climate or demand patterns and preferences in our existing product markets or the product markets of our customers or end-users could make our current products obsolete or more expensive relative to alternatives, prevent or delay the introduction of new products or enhancements to our</w:t>
      </w:r>
    </w:p>
    <w:p>
      <w:pPr>
        <w:sectPr>
          <w:pgSz w:w="12240" w:h="15840" w:orient="portrait"/>
          <w:cols w:equalWidth="0" w:num="1">
            <w:col w:w="10800"/>
          </w:cols>
          <w:pgMar w:left="720" w:top="930" w:right="720" w:bottom="175" w:gutter="0" w:footer="0" w:header="0"/>
        </w:sect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800"/>
          </w:cols>
          <w:pgMar w:left="720" w:top="930" w:right="720" w:bottom="175" w:gutter="0" w:footer="0" w:header="0"/>
          <w:type w:val="continuous"/>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20"/>
          <w:szCs w:val="20"/>
          <w:color w:val="auto"/>
        </w:rPr>
        <w:t>existing products or render our products irrelevant to our customers’ needs. If our new product development efforts fail to align with our customers' needs, including due to circumstances outside of our control, such as a fundamental shift in product markets of our customers and end users or regulatory changes, our business, financial condition and results of operations could be adversely affected.</w:t>
      </w:r>
    </w:p>
    <w:p>
      <w:pPr>
        <w:spacing w:after="0" w:line="2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depend on growth in the end markets that use our products. Any slowdown in such growth, including as a result of volatility in demand for emerging technologies or changes in government incentives, could adversely affect our financial results.</w:t>
      </w:r>
    </w:p>
    <w:p>
      <w:pPr>
        <w:spacing w:after="0" w:line="9"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Our continued success will depend in large part on general economic growth and growth within our target markets in the automotive and industrial sectors. Factors affecting these markets, including reductions in sales of our customers’ products, deterioration of our customers’ financial condition, insufficient customer resources dedicated to promoting and commercializing their products, the inability of our customers to adapt to changing technological demands, design flaws in customer products, the effects of catastrophic and other disruptive events, and increased supply chain, manufacturing or production costs could seriously harm our customers and, as a result, harm us. Additionally, our products may be used in AI infrastructure, including data centers, robotics and factory automation, and our ability to capitalize on this trend is subject to significant risks and uncertainties. The market for AI applications is still developing, and demand for products that support AI Technologies may be unpredictable and vary significantly. If the growth of AI infrastructure is constrained by factors such as power availability, utility limitations, shifts in customer budgets or a collapse in AI demand, demand for our offerings could be lower than we currently expect. Further, our failure to develop and offer the solutions that our AI-focused customers demand in a timely manner, commercialize new technologies used in AI data centers, or adapt to a shift in data center design could result in a loss of market share, unanticipated costs and inventory obsolescence. Moreover, expectations and front-loaded investment related to AI Technologies may increase the magnitude and volatility of semiconductor industry cycles, making downturns more abrupt, and if customer spending on AI Technologies moderates, is delayed, or declines more rapidly than anticipated, we could face a more pronounced downturn.</w:t>
      </w:r>
    </w:p>
    <w:p>
      <w:pPr>
        <w:spacing w:after="0" w:line="52"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In addition, end-user demand for certain HEVs, BEVs and green energy products often depends on the availability of rebates, tax credits and other financial incentives. The reduction, modification, expiration or elimination of such incentives across various global jurisdictions could reduce end-user demand and thus affect our customers’ demand for our products. For example, the adoption rate of xEVs is sensitive to the total cost of ownership relative to ICE vehicles, which can be significantly impacted by fluctuations in global fuel prices and the varying availability or sunsetting of government subsidies in key markets. If gas prices are low or if governmental financial incentives for new and used xEVs are reduced or eliminated more rapidly than anticipated, end-user demand for our products could slow, which could adversely affect our business, financial condition and results of operations. If anticipated demand in the end market for automobiles with higher sensor and power product content, industrial data center, robotics and the other growth markets in which we compete does not materialize or match our projections, it would adversely affect demand for our products from customers and impact our ability to execute our growth strategy.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loss of one or more significant customers could have a material adverse effect on our business and results of operations.</w:t>
      </w:r>
    </w:p>
    <w:p>
      <w:pPr>
        <w:spacing w:after="0" w:line="8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loss of or a significant reduction in business with one or more significant customers, particularly in the automotive market, could have a material adverse effect on our net sales and, in turn, on our overall business, financial condition and results of operations.</w:t>
      </w:r>
    </w:p>
    <w:p>
      <w:pPr>
        <w:spacing w:after="0" w:line="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ability to identify, enter and expand in new markets may be unsuccessful, and our investments in these opportunities may not generate expected returns, which could adversely affect our business and financial results.</w:t>
      </w:r>
    </w:p>
    <w:p>
      <w:pPr>
        <w:spacing w:after="0" w:line="9"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As part of our growth strategy, we seek to expand our addressable markets by identifying and entering both new geographic markets and increasing the number and types of applications our products can be used in. For example, we are increasing investment in and pursuing opportunities in applications such as AI, medical devices and robotics, and in geographic markets where we have not historically had a strong presence. Our future success depends in part on our ability to successfully identify these opportunities, make the necessary investments to pursue them, overcome marketing and technological challenges, and ultimately generate and expand revenue and achieve appropriate margins from these efforts. Our ability to generate significant revenue from new markets and product applications will depend on various factors, including: the development and growth rate of these markets; the ability of our technologies and product solutions to address the specific needs, price and performance requirements of customers and end users in these markets; our ability to provide solutions that offer advantages in terms of performance, quality, reliability, and value-added features compared with alternative solutions and competitive offerings; the ability to adapt to market conditions, distribution channels, and customer relationships that may be unfamiliar to us; the timely and efficient completion of product development, manufacturing, assembly, and test processes suitable for these markets; and the effectiveness of our marketing, sales, and support efforts in these new areas. Many potential customers in these markets may have well-established relationships with competitive suppliers. Our ongoing success will require us to offer compelling alternatives at competitive costs. The markets for certain of these products may develop slower than anticipated, or not at all, or could utilize competing technologies. If we are unable to adapt rapidly to such conditions, or if we fail to timely introduce new products or penetrate these markets successfully, our investments may not generate expected returns, our sales growth could be impeded, and our business, financial condition, and results of operations could be adversely affected.</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nature of the design win process requires us to incur expenses without any guarantee that research and development efforts will generate net sales, and even if design wins are secured, such design wins may not generate timely or sufficient net sales or margins, which could adversely affect our financial results.</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focus on winning competitive bid selection processes, called “design wins,” to develop products for use in our customers’</w:t>
      </w:r>
    </w:p>
    <w:p>
      <w:pPr>
        <w:sectPr>
          <w:pgSz w:w="12240" w:h="15840" w:orient="portrait"/>
          <w:cols w:equalWidth="0" w:num="1">
            <w:col w:w="10800"/>
          </w:cols>
          <w:pgMar w:left="720" w:top="930" w:right="720" w:bottom="175" w:gutter="0" w:footer="0" w:header="0"/>
        </w:sect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930" w:right="720" w:bottom="175" w:gutter="0" w:footer="0" w:header="0"/>
          <w:type w:val="continuous"/>
        </w:sectPr>
      </w:pPr>
    </w:p>
    <w:bookmarkStart w:id="30" w:name="page31"/>
    <w:bookmarkEnd w:id="30"/>
    <w:p>
      <w:pPr>
        <w:jc w:val="both"/>
        <w:spacing w:after="0" w:line="245" w:lineRule="auto"/>
        <w:rPr>
          <w:sz w:val="20"/>
          <w:szCs w:val="20"/>
          <w:color w:val="auto"/>
        </w:rPr>
      </w:pPr>
      <w:r>
        <w:rPr>
          <w:rFonts w:ascii="Times New Roman" w:cs="Times New Roman" w:eastAsia="Times New Roman" w:hAnsi="Times New Roman"/>
          <w:sz w:val="20"/>
          <w:szCs w:val="20"/>
          <w:color w:val="auto"/>
        </w:rPr>
        <w:t>products. Our future sales are highly dependent on our continued success at winning design mandates. These lengthy selection processes may require us to incur significant expenditures and dedicate valued engineering resources to the development of new products without any assurance that we will achieve design wins. If we incur such expenditures and fail to be selected in the bid selection process, our operating results may be adversely affected. Further, because of the significant costs associated with qualifying new suppliers, customers are likely to use the same or enhanced versions of semiconductor products from existing suppliers across a number of similar and successor products for a lengthy period of time. As a result, if we fail to secure initial design wins, we may lose the opportunity to make future sales of those products to that customer. Failure to achieve initial design wins may weaken our position in future competitive selection processes because we may not be perceived as an industry leader.</w:t>
      </w:r>
    </w:p>
    <w:p>
      <w:pPr>
        <w:spacing w:after="0" w:line="42"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Even if we succeed in securing design wins, we may not generate timely or sufficient net sales or margins from those wins, as a substantial period of time generally elapses before we generate meaningful net sales relating to such products for which we secure design wins, if such sales are realized at all. The reasons for this delay may include: changing customer requirements, resulting in an extended development cycle for the product; delay in the volume production ramp up of customer products into which we design solutions; delay or cancellation of customers’ product development plans; competitive pressures to reduce our product selling price; the discovery of product design flaws, defects, errors or bugs; lower than expected customer acceptance of solutions designed for customers’ products; lower than expected market acceptance of customers’ products; and higher manufacturing costs than anticipated. If we do not continue to achieve design wins in the short term, we may not be able to achieve expected net sales levels associated with these design wins. If we experience delays in achieving such sales levels, our operating results could be adversely affected. Moreover, even if a customer selects our product, we cannot guarantee that this will result in any sales of our products, as the customer may ultimately change or cancel its product plans, or our customers’ efforts to market and sell its product may not be successful.</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Changes in government trade policies, including the imposition of export restrictions and tariffs or retaliatory measures in response to such actions, could limit our ability to sell products to certain customers or limit demand from certain customers, which may materially and adversely affect our sales and results of operations.</w:t>
      </w:r>
    </w:p>
    <w:p>
      <w:pPr>
        <w:spacing w:after="0" w:line="28"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The U.S. or foreign governments may take or threaten to take administrative, legislative or regulatory action that could materially interfere with our ability to sell products in certain countries and/or to certain customers. For example, the United States and China have imposed export restrictions related to certain semiconductors, and a number of tariffs and other restrictions on items imported or exported between the United States and China and may propose or threaten to impose additional tariffs in the future. While a recent U.S. Supreme Court decision limited the President’s authority to impose certain broad-based tariffs under the International Emergency Economic Powers Act (IEEPA), the risk of tariffs and other trade restrictions remains, as this ruling does not affect other legal authorities, such as those permitting tariffs on national security grounds. We cannot predict what actions may ultimately be taken with respect to export restrictions, tariffs or trade relations between the United States and China or other countries, what products may be subject to such actions, or what actions may be taken by other countries in retaliation.</w:t>
      </w:r>
    </w:p>
    <w:p>
      <w:pPr>
        <w:spacing w:after="0" w:line="46"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Further, since we manufacture products outside the United States, new or increased tariffs on certain goods imported into the United States, if adopted or reinstated, could have a disproportionate impact on our business and make our products more expensive and less competitive in domestic markets. The U.S. Department of Commerce is conducting an ongoing investigation into whether imports of semiconductors, semiconductor manufacturing equipment and their derivative products threaten to impair U.S. national security. Following completion of the investigation, the President may decide to impose additional tariffs on these or other products under Section 232 of the Trade Expansion Act of 1962 or other legal authorities, the scope, timing and magnitude of which are highly uncertain and not within our control. Further, changes in U.S. trade policy could trigger retaliatory actions by affected countries, which could impose restrictions on our ability to do business in or with affected countries or prohibit, reduce or discourage purchases of our products by foreign customers, leading to increased costs of components contained in our products, increased costs of manufacturing our products, and higher prices for our products in foreign markets. For example, there are risks that foreign governments may require the use of local suppliers, mandate local partnerships, or provide incentives favoring domestic suppliers in their respective markets. Moreover, changes in tariffs and trade restrictions can be announced with little or no advance notice. The adoption and expansion of tariffs or other trade restrictions, increasing trade tensions, or other changes in governmental policies related to taxes, tariffs, trade agreements or policies, are difficult to predict, which makes attendant risks difficult to anticipate and mitigate. Further, changes in U.S. foreign policy or trade agreements may impact our supply chain, manufacturing and distribution of our products, as suppliers face increased costs and logistical challenges, which could result in delays in product delivery and increased inventory costs. Changes in, and responses to, U.S. trade policy could reduce the competitiveness of our products and cause our sales to decline, which could materially and adversely impact our business, financial condition and results of operations.</w:t>
      </w:r>
    </w:p>
    <w:p>
      <w:pPr>
        <w:spacing w:after="0" w:line="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Warranty claims, customer quality claims, product liability claims and product recalls could harm our business, results of operations and financial condition.</w:t>
      </w:r>
    </w:p>
    <w:p>
      <w:pPr>
        <w:spacing w:after="0" w:line="9"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We face an inherent business risk of exposure to warranty and product liability claims if products fail to perform as expected or any such failure is alleged to result in bodily injury, death, and/or property damage. Further, if any of our designed products are alleged to be defective, we may be required to participate in their recalls. In addition, our customers, particularly automotive and industrial OEMs and their tier-one suppliers, increasingly assert quality-related claims against us seeking recovery of costs incurred as a result of actual or alleged non-conformance of our products. Customers frequently seek to recover these claimed amounts through charge-backs, set-offs against amounts otherwise owed to us, or contractual indemnification, cost-sharing or quality-incentive</w:t>
      </w:r>
    </w:p>
    <w:p>
      <w:pPr>
        <w:sectPr>
          <w:pgSz w:w="12240" w:h="15840" w:orient="portrait"/>
          <w:cols w:equalWidth="0" w:num="1">
            <w:col w:w="10800"/>
          </w:cols>
          <w:pgMar w:left="720" w:top="930" w:right="720" w:bottom="175"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800"/>
          </w:cols>
          <w:pgMar w:left="720" w:top="930" w:right="720" w:bottom="175" w:gutter="0" w:footer="0" w:header="0"/>
          <w:type w:val="continuous"/>
        </w:sectPr>
      </w:pPr>
    </w:p>
    <w:bookmarkStart w:id="31" w:name="page32"/>
    <w:bookmarkEnd w:id="31"/>
    <w:p>
      <w:pPr>
        <w:jc w:val="both"/>
        <w:spacing w:after="0" w:line="243" w:lineRule="auto"/>
        <w:rPr>
          <w:sz w:val="20"/>
          <w:szCs w:val="20"/>
          <w:color w:val="auto"/>
        </w:rPr>
      </w:pPr>
      <w:r>
        <w:rPr>
          <w:rFonts w:ascii="Times New Roman" w:cs="Times New Roman" w:eastAsia="Times New Roman" w:hAnsi="Times New Roman"/>
          <w:sz w:val="20"/>
          <w:szCs w:val="20"/>
          <w:color w:val="auto"/>
        </w:rPr>
        <w:t>provisions. The amounts sought in connection with such claims may substantially exceed the purchase price of the affected products, and resolution of such claims often requires investigation, the outcome of which is inherently uncertain and may be costly. Some OEMs expect suppliers to warrant their products for longer periods of time and are increasingly looking to them for contribution when faced with product liability claims or recalls. For example, some of our products are used in automotive safety systems, the failure of which could lead to injury or death. We carry various commercial liability policies, including umbrella/excess policies which provide some protection against product liability exposure. However, a successful warranty or product liability claim against us in excess of our available insurance coverage and established reserves, or a requirement that we participate in a product recall, could have adverse effects on our business results. In the future, it is possible we will not be able to obtain insurance coverage in the amounts and for the risks we seek at policy costs and terms we desire. Further, if our products fail to perform as expected or a failure of our products results in a recall or in significant customer quality claims, our reputation may be damaged, we may lose existing or future design wins and customers may reduce their allocation of business to us, which could make it more difficult for us to sell our products to existing and prospective customers and could materially and adversely affect our business, results of operations and financial condition.</w:t>
      </w:r>
    </w:p>
    <w:p>
      <w:pPr>
        <w:spacing w:after="0" w:line="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dependence on international customers and operations also subjects us to a range of other additional regulatory, operational, financial and political risks that could adversely affect our financial results.</w:t>
      </w:r>
    </w:p>
    <w:p>
      <w:pPr>
        <w:spacing w:after="0" w:line="9" w:lineRule="exact"/>
        <w:rPr>
          <w:sz w:val="20"/>
          <w:szCs w:val="20"/>
          <w:color w:val="auto"/>
        </w:rPr>
      </w:pPr>
    </w:p>
    <w:p>
      <w:pPr>
        <w:ind w:firstLine="547"/>
        <w:spacing w:after="0" w:line="249" w:lineRule="auto"/>
        <w:rPr>
          <w:sz w:val="20"/>
          <w:szCs w:val="20"/>
          <w:color w:val="auto"/>
        </w:rPr>
      </w:pPr>
      <w:r>
        <w:rPr>
          <w:rFonts w:ascii="Times New Roman" w:cs="Times New Roman" w:eastAsia="Times New Roman" w:hAnsi="Times New Roman"/>
          <w:sz w:val="20"/>
          <w:szCs w:val="20"/>
          <w:color w:val="auto"/>
        </w:rPr>
        <w:t>For fiscal years 2026, 2025 and 2024, approximately 89.7%, 87.2% and 85.8%, respectively, of our net sales were to customers outside of the United States. In addition, a substantial majority of our products are assembled and tested at facilities outside of the United States. Our principal assembly and test facility is located in the Philippines at AMPI. We also rely on several other wafer fabrication manufacturing partners located throughout Asia. Any conflict or uncertainty in this region, including public health or safety concerns, climate change or natural disasters, could have a material adverse effect on our business, financial condition and results of operations. Further, conducting business outside the United States subjects us to numerous risks and challenges, including: changes in a specific country’s or region’s political, regulatory or economic conditions;</w:t>
      </w:r>
    </w:p>
    <w:p>
      <w:pPr>
        <w:spacing w:after="0" w:line="14" w:lineRule="exact"/>
        <w:rPr>
          <w:sz w:val="20"/>
          <w:szCs w:val="20"/>
          <w:color w:val="auto"/>
        </w:rPr>
      </w:pPr>
    </w:p>
    <w:p>
      <w:pPr>
        <w:ind w:left="980" w:hanging="490"/>
        <w:spacing w:after="0" w:line="258"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 pandemic, epidemic or other outbreak of an infectious disease, which may cause us or our distributors, vendors and/or customers to temporarily suspend operations in the affected city or country;</w:t>
      </w:r>
    </w:p>
    <w:p>
      <w:pPr>
        <w:jc w:val="both"/>
        <w:ind w:left="980" w:hanging="490"/>
        <w:spacing w:after="0" w:line="248"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a wide variety of domestic and foreign laws, regulations and policies (including those of municipalities or provinces where we have operations) and unexpected changes in those laws and regulatory requirements, including uncertainties regarding taxes, social insurance contributions and other payroll taxes and fees to governmental entities, climate-related disclosures, tariffs, quotas, export controls, export licenses and other trade barriers or restrictions;</w:t>
      </w:r>
    </w:p>
    <w:p>
      <w:pPr>
        <w:spacing w:after="0" w:line="2" w:lineRule="exact"/>
        <w:rPr>
          <w:rFonts w:ascii="Arial" w:cs="Arial" w:eastAsia="Arial" w:hAnsi="Arial"/>
          <w:sz w:val="20"/>
          <w:szCs w:val="20"/>
          <w:color w:val="auto"/>
        </w:rPr>
      </w:pPr>
    </w:p>
    <w:p>
      <w:pPr>
        <w:jc w:val="both"/>
        <w:ind w:left="980" w:hanging="490"/>
        <w:spacing w:after="0" w:line="251"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unanticipated restrictions on our ability to sell to foreign customers where sale of products and provision of services may require export licenses or are prohibited by government action, unfavorable foreign exchange controls and currency exchange rates;</w:t>
      </w:r>
    </w:p>
    <w:p>
      <w:pPr>
        <w:spacing w:after="0" w:line="1" w:lineRule="exact"/>
        <w:rPr>
          <w:rFonts w:ascii="Arial" w:cs="Arial" w:eastAsia="Arial" w:hAnsi="Arial"/>
          <w:sz w:val="20"/>
          <w:szCs w:val="20"/>
          <w:color w:val="auto"/>
        </w:rPr>
      </w:pPr>
    </w:p>
    <w:p>
      <w:pPr>
        <w:ind w:left="980" w:hanging="490"/>
        <w:spacing w:after="0" w:line="257"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risk of substantial penalties and litigation related to violations of a wide variety of laws, treaties and regulations, including labor regulations and anti-corruption regulations;</w:t>
      </w:r>
    </w:p>
    <w:p>
      <w:pPr>
        <w:ind w:left="980" w:hanging="490"/>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and costs of staffing and managing international operations across different geographic areas and cultures;</w:t>
      </w:r>
    </w:p>
    <w:p>
      <w:pPr>
        <w:spacing w:after="0" w:line="33" w:lineRule="exact"/>
        <w:rPr>
          <w:rFonts w:ascii="Arial" w:cs="Arial" w:eastAsia="Arial" w:hAnsi="Arial"/>
          <w:sz w:val="20"/>
          <w:szCs w:val="20"/>
          <w:color w:val="auto"/>
        </w:rPr>
      </w:pPr>
    </w:p>
    <w:p>
      <w:pPr>
        <w:jc w:val="both"/>
        <w:ind w:left="980" w:hanging="490"/>
        <w:spacing w:after="0" w:line="248"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political, legal and economic instability, armed conflict, and civil unrest in the countries in which we and our customers, suppliers and contract manufacturers are located, such as macroeconomic weakness related to trade and political disputes between the United States and China, tensions across the Taiwan Strait, the current conflict between Russia and Ukraine and the ongoing conflict involving the United States, Israel, Iran and other nations in the Middle East;</w:t>
      </w:r>
    </w:p>
    <w:p>
      <w:pPr>
        <w:spacing w:after="0" w:line="2" w:lineRule="exact"/>
        <w:rPr>
          <w:rFonts w:ascii="Arial" w:cs="Arial" w:eastAsia="Arial" w:hAnsi="Arial"/>
          <w:sz w:val="20"/>
          <w:szCs w:val="20"/>
          <w:color w:val="auto"/>
        </w:rPr>
      </w:pPr>
    </w:p>
    <w:p>
      <w:pPr>
        <w:ind w:left="980" w:hanging="490"/>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and costs of maintaining effective data security;</w:t>
      </w:r>
    </w:p>
    <w:p>
      <w:pPr>
        <w:spacing w:after="0" w:line="33" w:lineRule="exact"/>
        <w:rPr>
          <w:rFonts w:ascii="Arial" w:cs="Arial" w:eastAsia="Arial" w:hAnsi="Arial"/>
          <w:sz w:val="20"/>
          <w:szCs w:val="20"/>
          <w:color w:val="auto"/>
        </w:rPr>
      </w:pPr>
    </w:p>
    <w:p>
      <w:pPr>
        <w:ind w:left="980" w:hanging="490"/>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inadequate protection of intellectual property;</w:t>
      </w:r>
    </w:p>
    <w:p>
      <w:pPr>
        <w:spacing w:after="0" w:line="33" w:lineRule="exact"/>
        <w:rPr>
          <w:rFonts w:ascii="Arial" w:cs="Arial" w:eastAsia="Arial" w:hAnsi="Arial"/>
          <w:sz w:val="20"/>
          <w:szCs w:val="20"/>
          <w:color w:val="auto"/>
        </w:rPr>
      </w:pPr>
    </w:p>
    <w:p>
      <w:pPr>
        <w:ind w:left="980" w:hanging="490"/>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transportation and other supply chain delays and disruptions;</w:t>
      </w:r>
    </w:p>
    <w:p>
      <w:pPr>
        <w:spacing w:after="0" w:line="33" w:lineRule="exact"/>
        <w:rPr>
          <w:rFonts w:ascii="Arial" w:cs="Arial" w:eastAsia="Arial" w:hAnsi="Arial"/>
          <w:sz w:val="20"/>
          <w:szCs w:val="20"/>
          <w:color w:val="auto"/>
        </w:rPr>
      </w:pPr>
    </w:p>
    <w:p>
      <w:pPr>
        <w:ind w:left="980" w:hanging="490"/>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nationalization and expropriation;</w:t>
      </w:r>
    </w:p>
    <w:p>
      <w:pPr>
        <w:spacing w:after="0" w:line="33" w:lineRule="exact"/>
        <w:rPr>
          <w:rFonts w:ascii="Arial" w:cs="Arial" w:eastAsia="Arial" w:hAnsi="Arial"/>
          <w:sz w:val="20"/>
          <w:szCs w:val="20"/>
          <w:color w:val="auto"/>
        </w:rPr>
      </w:pPr>
    </w:p>
    <w:p>
      <w:pPr>
        <w:ind w:left="980" w:hanging="490"/>
        <w:spacing w:after="0" w:line="257"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transfer of funds to and from foreign countries, including withholding taxes and other potentially negative tax consequences;</w:t>
      </w:r>
    </w:p>
    <w:p>
      <w:pPr>
        <w:ind w:left="980" w:hanging="490"/>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unfavorable and/or changing foreign tax treaties and policies; and</w:t>
      </w:r>
    </w:p>
    <w:p>
      <w:pPr>
        <w:spacing w:after="0" w:line="33" w:lineRule="exact"/>
        <w:rPr>
          <w:rFonts w:ascii="Arial" w:cs="Arial" w:eastAsia="Arial" w:hAnsi="Arial"/>
          <w:sz w:val="20"/>
          <w:szCs w:val="20"/>
          <w:color w:val="auto"/>
        </w:rPr>
      </w:pPr>
    </w:p>
    <w:p>
      <w:pPr>
        <w:ind w:left="980" w:hanging="490"/>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exposure to general market and economic conditions outside of the U.S.</w:t>
      </w:r>
    </w:p>
    <w:p>
      <w:pPr>
        <w:spacing w:after="0" w:line="77"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These factors, individually or in combination, could impair our ability to effectively operate one or more of our foreign facilities or deliver our products, result in unexpected and material expenses, or cause an unexpected decline in the demand for our products in certain countries or regions. Our failure to manage the risks and challenges associated with our international business and operations could have a material adverse effect on our business.</w:t>
      </w:r>
    </w:p>
    <w:p>
      <w:pPr>
        <w:spacing w:after="0" w:line="3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lose sales if we are unable to obtain government authorization to export certain technology for our products, and we will be subject to legal and regulatory consequences if we do not comply with applicable export control laws and regulations.</w:t>
      </w:r>
    </w:p>
    <w:p>
      <w:pPr>
        <w:spacing w:after="0" w:line="9"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Exports to certain manufacturers of technology relating to our products are subject, or could be subject in the future, to export controls imposed by the U.S. government and administered by the U.S. Departments of State and Commerce. In certain instances, these regulations may require pre-shipment authorization from the administering department. For products subject to the Export Administration Regulations, administered by the Department of Commerce’s Bureau of Industry and Security, the requirement for a</w:t>
      </w:r>
    </w:p>
    <w:p>
      <w:pPr>
        <w:sectPr>
          <w:pgSz w:w="12240" w:h="15840" w:orient="portrait"/>
          <w:cols w:equalWidth="0" w:num="1">
            <w:col w:w="10800"/>
          </w:cols>
          <w:pgMar w:left="720" w:top="930" w:right="720" w:bottom="175"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800"/>
          </w:cols>
          <w:pgMar w:left="720" w:top="930" w:right="720" w:bottom="175" w:gutter="0" w:footer="0" w:header="0"/>
          <w:type w:val="continuous"/>
        </w:sectPr>
      </w:pPr>
    </w:p>
    <w:bookmarkStart w:id="32" w:name="page33"/>
    <w:bookmarkEnd w:id="32"/>
    <w:p>
      <w:pPr>
        <w:jc w:val="both"/>
        <w:spacing w:after="0" w:line="242" w:lineRule="auto"/>
        <w:rPr>
          <w:sz w:val="20"/>
          <w:szCs w:val="20"/>
          <w:color w:val="auto"/>
        </w:rPr>
      </w:pPr>
      <w:r>
        <w:rPr>
          <w:rFonts w:ascii="Times New Roman" w:cs="Times New Roman" w:eastAsia="Times New Roman" w:hAnsi="Times New Roman"/>
          <w:sz w:val="20"/>
          <w:szCs w:val="20"/>
          <w:color w:val="auto"/>
        </w:rPr>
        <w:t>license is dependent on the type and end use of the product, the final destination, the identity of the end user and whether a license exception might apply. In recent years, the Bureau of Industry and Security has announced export control regulations applicable to the sale of U.S. semiconductor technology in China (collectively, the “BIS Regulations”). The BIS Regulations place limitations on the ability of companies to export certain semiconductor chips, as well as chipmaking equipment, by requiring companies to obtain licenses to export such products and equipment into China or other designated countries. Certain of our competitors may be exempt from the BIS Regulations by virtue of being non-U.S. manufacturers. Any expansion of the scope of the BIS Regulations, including an increase in the number of companies subject to such regulations or the addition of one or more of our significant customers, could have a material impact on our net sales. We have evaluated and selectively pursued export licenses and authorizations, but there can be no assurances that we will obtain such licenses or authorizations on a timely or cost-effective basis or at all. Products developed and manufactured in our foreign locations are subject to export controls of the applicable foreign nation. Obtaining export licenses can be difficult, costly and time-consuming, and we may not always be successful in obtaining necessary export licenses. Our failure to obtain required import or export approval for our products or limitations on our ability to manufacture or sell our products imposed by these laws may harm our international and domestic revenues. Noncompliance with these laws could have negative consequences, including government investigations, penalties and reputational harm. The absence of comparable restrictions on competitors in other countries may adversely affect our competitive position. Failure to obtain export licenses for technology relating to our products or having one or more of our customers be restricted from receiving exports from us could significantly reduce our net sales and materially and adversely affect our business, financial condition and results of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Changing currency exchange rates may adversely affect our business, financial condition, results of operations and cash flows.</w:t>
      </w:r>
    </w:p>
    <w:p>
      <w:pPr>
        <w:spacing w:after="0" w:line="80"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We have operations and assets in the U.S. as well as foreign jurisdictions and prepare our consolidated financial statements in U.S. dollars, but a portion of our earnings and expenditures are denominated in other currencies. Therefore, we must translate our foreign assets, liabilities, revenue and expenses into U.S. dollars at applicable exchange rates. Consequently, fluctuations in the value of foreign currencies relative to the U.S. dollar may negatively affect the value of these items in our financial statements. In addition, since many of our sales in foreign jurisdictions are denominated in U.S. dollars, a decrease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 currency exchange rates can be volatile, and such currency fluctuations may make it difficult for us to predict our results of operations. It is possible that government policy changes and uncertainty about such changes could increase currency exchange rate fluctuations. If we fail to manage our foreign currency exposure adequately, we may suffer losses in the value of our net foreign currency investment, and our business, financial condition, results of operations and cash flows may be negatively affected.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raise capital in the future may be limited and could prevent us from executing our growth strategy.</w:t>
      </w:r>
    </w:p>
    <w:p>
      <w:pPr>
        <w:spacing w:after="0" w:line="80"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Our ability to operate and expand our business depends on the availability of adequate capital, which in turn depends on cash flow generated by our business and the availability of borrowings under our credit facilities and other debt, equity or other applicable financing arrangements. We believe that our existing cash resources and our access to the capital markets will be sufficient to finance our continued operations, growth strategy, and planned capital expenditures for at least the next 12 months. However, we have based this estimate on our current operating plans and expectations, which are subject to change, and cannot assure you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 market acceptance of our products; the need to adapt to changing technologies and technical requirements; the existence of opportunities for expansion; and access to and availability of sufficient management, technical, marketing and financial personnel. In addition, it is possible that government policy changes and uncertainty about such changes could increase market volatility, which may lead to adverse changes in the availability, terms and cost of capital.</w:t>
      </w:r>
    </w:p>
    <w:p>
      <w:pPr>
        <w:spacing w:after="0" w:line="46"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If our capital resources are insufficient to satisfy our liquidity requirements, we may seek to sell additional equity securities or debt securities or obtain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Interest rates may remain elevated or rise, making the cost of incurring new debt obligations more expensive to the Company.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indebtedness may limit our flexibility to operate our business and adversely affect our financial health and competitive position.</w:t>
      </w:r>
    </w:p>
    <w:p>
      <w:pPr>
        <w:spacing w:after="0" w:line="9"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As of March 27, 2026, we had $285.0 million in aggregate principal amount of debt outstanding under our 2026 Refinanced Loans (as defined herein), no debt outstanding under our revolving credit facility and $256.0 million of additional borrowings available thereunder. To service this indebtedness, and any additional indebtedness or other long-term obligations we may incur in the future, we need to generate sufficient levels of cash from our operating activities. Our ability to generate cash is subject, in part, to our ability to successfully execute our business strategy, as well as general economic, financial, competitive, regulatory and other factors</w:t>
      </w:r>
    </w:p>
    <w:p>
      <w:pPr>
        <w:sectPr>
          <w:pgSz w:w="12240" w:h="15840" w:orient="portrait"/>
          <w:cols w:equalWidth="0" w:num="1">
            <w:col w:w="10800"/>
          </w:cols>
          <w:pgMar w:left="720" w:top="930" w:right="720" w:bottom="175"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800"/>
          </w:cols>
          <w:pgMar w:left="720" w:top="930" w:right="720" w:bottom="175" w:gutter="0" w:footer="0" w:header="0"/>
          <w:type w:val="continuous"/>
        </w:sectPr>
      </w:pPr>
    </w:p>
    <w:bookmarkStart w:id="33" w:name="page34"/>
    <w:bookmarkEnd w:id="33"/>
    <w:p>
      <w:pPr>
        <w:jc w:val="both"/>
        <w:spacing w:after="0" w:line="247" w:lineRule="auto"/>
        <w:rPr>
          <w:sz w:val="20"/>
          <w:szCs w:val="20"/>
          <w:color w:val="auto"/>
        </w:rPr>
      </w:pPr>
      <w:r>
        <w:rPr>
          <w:rFonts w:ascii="Times New Roman" w:cs="Times New Roman" w:eastAsia="Times New Roman" w:hAnsi="Times New Roman"/>
          <w:sz w:val="20"/>
          <w:szCs w:val="20"/>
          <w:color w:val="auto"/>
        </w:rPr>
        <w:t>beyond our control. We cannot assure you that our business will be able to generate sufficient levels of cash from operations or that future borrowing or financing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will place us at a competitive disadvantage compared to our competitors that have less indebtedness.</w:t>
      </w:r>
    </w:p>
    <w:p>
      <w:pPr>
        <w:spacing w:after="0" w:line="40"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In addition, the 2023 Revolving Credit Agreement contains, and any agreements evidencing or governing other future indebtedness may also contain, certain covenants that limit our and our restricted subsidiaries’ ability to engage in certain transactions that may be in our long-term best interests. Subject to certain limited exceptions, these covenants include limitations on additional indebtedness, liens, various fundamental changes, dividends and distributions, investments (including acquisitions), transactions with affiliates, asset sales, prepayment of junior financing, changes in business and other limitations customary in senior secured credit facilities. Further, we are required to maintain a Total Net Leverage Ratio (as defined in the 2023 Revolving Credit Agreement) of no more than 4.00 to 1.00 at the end of each fiscal quarter, which may, subject to certain limitations, be increased to 4.50 to 1.00 for any quarter in which an acquisition in excess of $500.0 million is conducted and for the three subsequent quarters. Our ability to comply with these covenants may be affected by events and factors beyond our control. If we were to breach one or more covenants, the administrative agent with the consent of, or at the request of, the holders of more than 50% in principal amounts of the loans and commitments, may terminate the commitments and accelerate the maturity of the loans and enforce certain other remedies. The occurrence of any of these events could have a material adverse effect on our business, financial condition and results of operations.</w:t>
      </w:r>
    </w:p>
    <w:p>
      <w:pPr>
        <w:spacing w:after="0" w:line="46"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In addition, we may be able to incur significant additional indebtedness in the future. While the 2023 Revolving Credit Agreement generally restricts our and our restricted subsidiaries’ ability to incur additional indebtedness, these restrictions are subject to important and significant exceptions and limitations. Also, these agreements generally do not prohibit us from incurring obligations that do not constitute indebtedness as defined therein. To the extent that we incur additional indebtedness or such other obligations, the risks associated with our indebtedness described above could increase.</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depend on key and highly skilled personnel to operate our business, and if we are unable to retain our current personnel and hire additional personnel, our ability to achieve our long-term strategic business and financial objectives and execute our business plan could be harmed, which in turn could adversely affect our financial results.</w:t>
      </w:r>
    </w:p>
    <w:p>
      <w:pPr>
        <w:spacing w:after="0" w:line="28"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Our success depends upon the continued services of our executive officers, managers and skilled personnel, including our development engineers. From time to time, including over the past year, we have experienced changes in our executive management team and other key personnel, which is disruptive to our business. Generally, our employees, including executive management are not bound by obligations that require them to continue to work for us for any specified period and, therefore, they could terminate their employment with us at any time. Moreover, our employees, including executive management, are generally not subject to non-competition agreements. Given these limitations, we may not be able to continue to attract, retain and motivate the qualified personnel necessary for our business. In addition, we recruit from a limited pool of engineers with expertise in analog mixed-signal semiconductor design, and the competition for such personnel can be intense. As we expand into markets that we have not traditionally served, our future growth and success will depend on hiring key employees with expertise in these industries. Our future performance depends on the continued services and continuing contributions of our executive management to execute our business plan and to identify and pursue new opportunities and product innovations. The loss of one or more of our executive officers or other key personnel or our inability to locate suitable or qualified replacements could be significantly detrimental to our operations or product development efforts and could have a material adverse effect on our business, financial condition and results of operations. We also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regulations, policies, procedures and enforcement practices of various government agencies. Changes in immigration laws, regulations, policies or procedures may adversely affect our ability to hire or retain such workers, increase our operating expenses and negatively impact our ability to deliver our products and services, any of which would adversely affect our business, financial condition and results of operations.</w:t>
      </w:r>
    </w:p>
    <w:p>
      <w:pPr>
        <w:spacing w:after="0" w:line="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Future sales of our common stock by large stockholders, or the possibility of such sales, may cause the trading price of our common stock to decline.</w:t>
      </w:r>
    </w:p>
    <w:p>
      <w:pPr>
        <w:spacing w:after="0" w:line="9"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Future sales of substantial amounts of our common stock in the public market by our largest stockholders, or the perception that these sales could occur, could cause the market price of our common stock to decline and impair our ability to raise capital through the sale of additional shares.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and operating results could be harmed as the result of undertaking restructuring activities.</w:t>
      </w:r>
    </w:p>
    <w:p>
      <w:pPr>
        <w:spacing w:after="0" w:line="80"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We have initiated and implemented strategies to reduce costs, including workforce reductions and office closures, and incurred related restructuring costs in anticipation of realizing cost savings in the future. We may not realize, in full or in part, the anticipated benefits, savings and improvements from the reductions of our workforce and other restructuring activities if our revenue and profits decline beyond our current projections. Any future restructuring would require substantial management time and attention and may</w:t>
      </w:r>
    </w:p>
    <w:p>
      <w:pPr>
        <w:sectPr>
          <w:pgSz w:w="12240" w:h="15840" w:orient="portrait"/>
          <w:cols w:equalWidth="0" w:num="1">
            <w:col w:w="10800"/>
          </w:cols>
          <w:pgMar w:left="720" w:top="930" w:right="720" w:bottom="175"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800"/>
          </w:cols>
          <w:pgMar w:left="720" w:top="930" w:right="720" w:bottom="175" w:gutter="0" w:footer="0" w:header="0"/>
          <w:type w:val="continuous"/>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20"/>
          <w:szCs w:val="20"/>
          <w:color w:val="auto"/>
        </w:rPr>
        <w:t>divert management from other important work. If we are unable to effectively manage or efficiently implement these strategies and/or restructuring initiatives, we may not realize the expected operational efficiencies and cost savings of such strategies and initiatives, and our operating results and financial condition would be adversely affected as a result.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Information Technology, Intellectual Property (“IP”), AI Technologies, and Data Security and Privacy</w:t>
      </w:r>
    </w:p>
    <w:p>
      <w:pPr>
        <w:spacing w:after="0" w:line="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our proprietary technology and inventions, our ability to compete successfully and our financial results could be adversely impacted.</w:t>
      </w:r>
    </w:p>
    <w:p>
      <w:pPr>
        <w:spacing w:after="0" w:line="9"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We seek to protect our proprietary technology and inventions, particularly those relating to the design of our products, through the use of patents. As of March 27, 2026, we owned approximately 1,860 active patents, including 1,005 U.S. patents (with expiration dates between 2026 and 2044), with approximately 440 pending patent applications, including 250 U.S. patent applications. Maintenance of patent portfolios, particularly outside of the U.S., is expensive, and the process of seeking patent protection is lengthy and costly. While we intend to maintain our patents supporting our products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 Additionally, it is difficult and costly to monitor the use of our IP. It may be the case that our IP is already being infringed, and infringement may occur in the future without our knowledge. The difficulty and failure to identify any violations of our IP rights could materially and adversely affect our business, financial condition and result of operations and hurt our competitive advantage.</w:t>
      </w:r>
    </w:p>
    <w:p>
      <w:pPr>
        <w:spacing w:after="0" w:line="53"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Our use of AI Technologies in product development and software coding presents additional IP risks, including uncertainty regarding the protectability of AI-generated inventions and code, potential infringement claims arising from AI-generated outputs substantially similar to third-party or open-source materials, and possible third-party provider rights in code generated using their tools. See “Risk Factors—We are exposed to risks related to the use of AI Technologies by us and others.” We also seek to protect our proprietary technology and inventions, particularly those relating to our manufacturing processes, as trade secrets. Under the trade secret laws of both the United States and applicable non-U.S. countries, protection of our proprietary information as trade secrets requires us to take steps to prevent unauthorized disclosure to third parties or misappropriation by third parties. While we require our officers, employees, consultants, distributors, and existing and prospective customers to sign confidentiality agreements and take security measures to protect unauthorized disclosure and misappropriation of our trade secrets, we cannot assure or predict that these measures will be sufficient. The semiconductor industry is generally subject to high employee turnover,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ability to compete successfully depends in part on our ability to commercialize our products without infringing the patent, trade secret or other IP rights of others.</w:t>
      </w:r>
    </w:p>
    <w:p>
      <w:pPr>
        <w:spacing w:after="0" w:line="9"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Our competitors and other third parties actively seek to protect their technology and inventions with patents and trade secrets. We have no means of knowing the content of patent applications filed by third parties until they are published. It is also difficult and costly to continuously monitor the IP portfolios of our competitors to ensure our technologies do not violate the IP rights of any third parties. Patent assertion entities are common in the semiconductor industry, which is characterized by frequent litigation regarding patent and other IP rights. From time to time, we receive communications from third parties that allege that our products or technologies infringe their patent or other IP rights, and we may receive more or similar communications in the future. Lawsuits or other proceedings resulting from allegations of infringement, including claims arising from our use of AI Technologies in our development process, could subject us to significant liability for damages, invalidate our proprietary rights and adversely affect our business. If a third party succeeds in asserting a valid claim against us or our customers, we could be forced to do one or more of the following: discontinue selling, importing or using certain technologies that contain the allegedly infringing IP, which could cause us to stop manufacturing certain products; seek to develop non-infringing technologies, which may be infeasible; incur significant legal expenses; pay substantial monetary damages to the party whose IP rights we may be found to be infringing; or seek licenses for the infringed technology that may not be available on commercially reasonable terms, if at all. If a third party causes us to discontinue the use of any of our technologies, we could be required to design around those technologies, which could be costly and time-consuming and have an adverse effect on our financial results. Any significant impairments of our IP rights from any litigation we face could materially and adversely impact our business, financial condition, results of operations and our ability to compete in our industry.</w:t>
      </w:r>
    </w:p>
    <w:p>
      <w:pPr>
        <w:spacing w:after="0" w:line="5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Cybersecurity incidents that we or our critical third-party service providers experience could irreparably damage our reputation and business and materially affect our operating results and financial condition.</w:t>
      </w:r>
    </w:p>
    <w:p>
      <w:pPr>
        <w:spacing w:after="0" w:line="9"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We rely on computer systems, hardware, software, technology infrastructure and online sites and networks for both internal and external operations (collectively, “IT Systems”) that are critical to our business. We own and manage some of these IT systems but also rely on third parties for a range of IT Systems and other products and services. In conducting our business, we routinely collect and store sensitive data, including proprietary technology and information and personal information related to our business and our</w:t>
      </w:r>
    </w:p>
    <w:p>
      <w:pPr>
        <w:sectPr>
          <w:pgSz w:w="12240" w:h="15840" w:orient="portrait"/>
          <w:cols w:equalWidth="0" w:num="1">
            <w:col w:w="10800"/>
          </w:cols>
          <w:pgMar w:left="720" w:top="930" w:right="720" w:bottom="175"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800"/>
          </w:cols>
          <w:pgMar w:left="720" w:top="930" w:right="720" w:bottom="175" w:gutter="0" w:footer="0" w:header="0"/>
          <w:type w:val="continuous"/>
        </w:sectPr>
      </w:pPr>
    </w:p>
    <w:bookmarkStart w:id="35" w:name="page36"/>
    <w:bookmarkEnd w:id="35"/>
    <w:p>
      <w:pPr>
        <w:jc w:val="both"/>
        <w:spacing w:after="0" w:line="242" w:lineRule="auto"/>
        <w:rPr>
          <w:sz w:val="20"/>
          <w:szCs w:val="20"/>
          <w:color w:val="auto"/>
        </w:rPr>
      </w:pPr>
      <w:r>
        <w:rPr>
          <w:rFonts w:ascii="Times New Roman" w:cs="Times New Roman" w:eastAsia="Times New Roman" w:hAnsi="Times New Roman"/>
          <w:sz w:val="20"/>
          <w:szCs w:val="20"/>
          <w:color w:val="auto"/>
        </w:rPr>
        <w:t>customers, suppliers and business partners, as well as proprietary technology and information owned by our customers (collectively, “Confidential Information”). The secure processing, maintenance and transmission of Confidential Information is critical to our operations and business strategy. We face numerous, evolving cybersecurity risks that threaten the confidentiality, integrity and availability of our IT Systems and Confidential Information. We and our third-party service providers are exposed to a range of cyberattack vectors, including computer viruses, malware (including ransomware), illegal hacking, criminal fraud or impersonation, acts of vandalism or terrorism, employee or contractor error or malfeasance, social engineering or phishing, or software-related errors, bugs or other vulnerabilities. We and certain of our service providers have experienced and will continue to experience cyberattacks and other incidents to varying degrees. While to date no incidents have materially impacted our operations or results, there is no guarantee that material incidents will not occur in the future. Security measures that we, our third-party service providers and our customers have implemented cannot detect or prevent all cybersecurity attacks, disruptions or security breaches. Our scanning tools regularly identify vulnerabilities in our and third-party software used in our IT environment, but we cannot comprehensively apply patches or mitigate all vulnerabilities before a threat actor exploits them. There can also be no assurance that our cybersecurity risk management program, including our policies, controls or procedures, will be fully implemented, complied with or effective in protecting our IT Systems and Confidential Information.</w:t>
      </w:r>
    </w:p>
    <w:p>
      <w:pPr>
        <w:spacing w:after="0" w:line="53"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Threat actors are increasingly sophisticated and using techniques and tools that circumvent controls, evade detection and remove forensic evidence, including the use of AI and machine learning to launch more automated, convincing, targeted and coordinated attacks, which means that effectively anticipating, containing and recovering from attacks and incidents in a timely manner is and will continue to be challenging, and may require us to incur material costs. Any attack, breach or misuse of Confidential Information, whether experienced by us or a third-party service provider or in our supply chain, could materially harm our reputation by deterring existing or prospective customers from using our products and applications, increasing our operating expenses in order to contain and remediate the incident, exposing us to unbudgeted or uninsured liability, disrupting our operations, diverting management focus away from other priorities, increasing our regulatory and litigation (including class action) exposure, and/or resulting in the imposition of material penalties and fines under state, federal and foreign laws. Any such incidents could irreparably damage our reputation and business, which could have a material adverse effect on our results of operations. While we maintain various insurance policies, we cannot be certain that any or all cybersecurity or privacy-related losses or costs will be covered in whole or in part by our policies. Risks associated with our and our employees’ use of AI Technologies are further described under ‘Risk Factors—We are exposed to risks related to the use of AI Technologies by us and others.’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exposed to risks related to the use of AI Technologies by us and others.</w:t>
      </w:r>
    </w:p>
    <w:p>
      <w:pPr>
        <w:spacing w:after="0" w:line="80"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We are increasingly incorporating AI tools and capabilities into our business operations, including our chip design lifecycle, manufacturing operations, and administrative functions, which subjects us to significant competitive, legal, regulatory, and other risks. Our competitors may be more successful in their development of AI Technologies, including by developing superior products or improving their operations. Our use of AI Technologies may also expose us to risks related to the loss of confidential information or IP rights, IP infringement or misappropriation, data privacy, cybersecurity, and the unauthorized use of Company data. In particular, if the models underlying the AI Technologies we use are poorly designed, trained on inadequate, biased or improperly licensed data, deployed without sufficient governance, or affected by defects or cybersecurity threats, the performance of our products and services and our reputation could suffer, and we could incur liability under applicable law or contract.</w:t>
      </w:r>
    </w:p>
    <w:p>
      <w:pPr>
        <w:spacing w:after="0" w:line="42" w:lineRule="exact"/>
        <w:rPr>
          <w:sz w:val="20"/>
          <w:szCs w:val="20"/>
          <w:color w:val="auto"/>
        </w:rPr>
      </w:pPr>
    </w:p>
    <w:p>
      <w:pPr>
        <w:jc w:val="both"/>
        <w:ind w:firstLine="547"/>
        <w:spacing w:after="0" w:line="246" w:lineRule="auto"/>
        <w:rPr>
          <w:sz w:val="20"/>
          <w:szCs w:val="20"/>
          <w:color w:val="auto"/>
        </w:rPr>
      </w:pPr>
      <w:r>
        <w:rPr>
          <w:rFonts w:ascii="Times New Roman" w:cs="Times New Roman" w:eastAsia="Times New Roman" w:hAnsi="Times New Roman"/>
          <w:sz w:val="20"/>
          <w:szCs w:val="20"/>
          <w:color w:val="auto"/>
        </w:rPr>
        <w:t>We use third-party AI Technologies in our operations, and our ability to continue to use such technologies at the scale we need may depend on access to specific third-party software and infrastructure. If any such third-party AI Technologies become incompatible with the other technologies we use in our business or unavailable for use (including due to service disruptions or outages beyond our control), or if the providers of such models unfavorably change their terms or terminate their relationship with us, our operations could be materially adversely affected. Additionally, the jurisdictions in which we operate have adopted and may adopt laws and regulations related to AI, which could cause us to incur greater compliance costs, limit our use of AI Technologies, or subject us to legal liabilities. See “Risk Factors—Risks Related to Regulatory Compliance.”</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governmental regulation and other legal obligations, particularly related to privacy, data protection and information security, and consumer protection laws across different markets where we conduct our business. Our actual or perceived failure to comply with such obligations could harm our business.</w:t>
      </w:r>
    </w:p>
    <w:p>
      <w:pPr>
        <w:spacing w:after="0" w:line="28"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In the United States and other jurisdictions in which we operate, we are subject to various consumer protection, data privacy and information security laws and related regulations. These laws and regulations impose significant compliance requirements in relation to our IT Systems and Confidential Information, and in some instances, expose us to private rights of action and statutory damages for certain types of events. A serious breach of such laws or regulations may expose us to material litigation, fines, civil and/or criminal penalties, adverse publicity resulting in significant customer loss, and/or require us to change our business practices in a manner that materially impacts our financial condition. As a U.S.-based company operating in many countries around the world, we are subject not only to U.S. federal and varying U.S. state privacy, data protection, information security, and consumer protection laws and regulations, but also to numerous foreign laws and regulations, including the EU General Data Protection Regulation and the Data Security Law of the People’s Republic of China. Complying with these laws and regulations is costly and time-consuming, and as these laws and regulations are being interpreted broadly and in potentially conflicting ways by global regulators, we are subject to increased compliance obligations and regulatory scrutiny, litigation and reputational risks, which could have a material adverse impact</w:t>
      </w:r>
    </w:p>
    <w:p>
      <w:pPr>
        <w:sectPr>
          <w:pgSz w:w="12240" w:h="15840" w:orient="portrait"/>
          <w:cols w:equalWidth="0" w:num="1">
            <w:col w:w="10800"/>
          </w:cols>
          <w:pgMar w:left="720" w:top="930" w:right="720" w:bottom="175"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800"/>
          </w:cols>
          <w:pgMar w:left="720" w:top="930" w:right="720" w:bottom="175" w:gutter="0" w:footer="0" w:header="0"/>
          <w:type w:val="continuous"/>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20"/>
          <w:szCs w:val="20"/>
          <w:color w:val="auto"/>
        </w:rPr>
        <w:t>on our operations and financial results. Additionally, restrictions on the collection, use, sharing or disclosure of personal information or additional requirements and liability for security and data integrity could require us to modify our solutions and features, possibly in a material manner, and limit our ability to develop new products and features.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Compliance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Failure to comply with the large body of laws and regulations to which we are subject could adversely impact our business.</w:t>
      </w:r>
    </w:p>
    <w:p>
      <w:pPr>
        <w:spacing w:after="0" w:line="80"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We are subject to regulation by various governmental agencies in the United States and other jurisdictions in which we operate. These laws and regulations include: antitrust regulatory activities; consumer protection laws; AI, data privacy and cybersecurity laws; import/export regulatory activities; product safety regulatory activities; worker health and safety; environmental protection; employment matters; and tax and other regulations in each of the areas in which we conduct business. In certain jurisdictions, regulatory requirements in one or more of these areas may be more stringent than or inconsistent with those of the United States, which could force us to incur greater compliance costs, while also exposing us to increased litigation or other risks. Any material increase in our costs as a result could have a material adverse effect on our business, financial condition, results of operations and liquidity. In the area of employment matters, noncompliance with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Such enforcement actions could have a materially adverse effect on our business. If any governmental sanctions are imposed, or if we do not prevail in any possible civil or criminal litigation, our business, financial condition and results of operations could be materially and adversely affected. In addition, responding to any action will likely result in a significant diversion of management’s attention and resources and an increase in professional fees.</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use of AI subjects us to a legal framework that is rapidly evolving and our failure to monitor and comply with the laws and regulations to which we are or may become subject could have a material adverse effect on our business and operations.</w:t>
      </w:r>
    </w:p>
    <w:p>
      <w:pPr>
        <w:spacing w:after="0" w:line="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legal and regulatory framework governing AI Technologies is rapidly evolving in the United States, the European Union and other jurisdictions in which we conduct business, with certain existing regimes (such as data privacy laws) already regulating aspects of AI and additional AI-specific laws and regulations enacted or under consideration. These laws and regulations, as well as related enforcement practices and judicial interpretations, may be amended, rescinded, enjoined or applied in ways we cannot predict, which could increase our compliance costs, limit our use of AI Technologies or expose us to legal liability.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failure to comply with anti-corruption and anti-bribery laws could subject us to penalties and other adverse consequences.</w:t>
      </w:r>
    </w:p>
    <w:p>
      <w:pPr>
        <w:spacing w:after="0" w:line="80"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Anti-bribery and anti-corruption laws in jurisdictions in which we do business generally prohibit companies and their intermediaries from making improper payments to government officials for the purpose of obtaining or retaining business. These laws and regulations can be subject to varying interpretations and enforcement practices, increasing the risk of unintentional non-compliance. Our policies mandate compliance with these anti-bribery laws, and we train our staff on anti-bribery laws and have established procedures and controls to monitor internal and external compliance. However, there can be no assurance that our internal controls and procedures will protect us from reckless or criminal acts committed by our employees or agents, nor do we have third-party attestation to the effectiveness of our internal controls related to fraud and corruption. There can be no guarantee that our efforts will prevent violations or allegations of violations, which could result in costly investigations, civil or criminal penalties, and reputational damage and which could have a material adverse effect on our business and operating results.</w:t>
      </w:r>
    </w:p>
    <w:p>
      <w:pPr>
        <w:spacing w:after="0" w:line="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In order to comply with environmental and occupational health and safety laws and regulations, we may need to modify our activities or incur substantial costs, and such laws and regulations, including any failure to comply with such laws and regulations, could subject us to substantial costs, liabilities, obligations and fines, or require our suppliers to alter their processes.</w:t>
      </w:r>
    </w:p>
    <w:p>
      <w:pPr>
        <w:spacing w:after="0" w:line="28"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The semiconductor industry is subject to a variety of international, federal, state, local and non-U.S. laws and regulations governing pollution, environmental protection and occupational health and safety, including those relating to hazardous and toxic materials, product composition, and the investigation and cleanup of contaminated sites, including sites we currently or formerly owned or operated, due to the release of hazardous materials, regardless of whether we caused such release. In addition, we may be strictly liable for joint and several costs associated with investigation and remediation of sites at which we have arranged for the disposal of hazardous wastes if such sites become contaminated, even if we fully comply with applicable environmental laws and regulations. Failure to comply with such laws and regulations could subject us to significant fines or other civil or criminal costs, obligations, sanctions or property damage or personal injury claims, or suspension of our facilities’ operating permits. Compliance with current or future environmental and occupational health and safety laws and regulations could restrict our ability to expand our business or require us to modify processes or incur other substantial expenses which could harm our business. In the event of an incident involving hazardous materials, we could be liable for damages, and such liability could exceed the amount of any liability insurance coverage and the resources of our business. In addition, in the event of the discovery of contaminants or the imposition of clean up obligations for which we are responsible, we may be required to take remedial or other measures which could have a material adverse effect on our business, financial condition and results of operations. In response to environmental concerns, some customers and government agencies impose requirements for the elimination and/or labeling of hazardous substances, such as lead (which is widely used in soldering connections in the process of semiconductor packaging and assembly), in electronic equipment, as well as requirements related to the take-back of products discarded by customers. For example, the EU adopted its RoHS, which prohibits,</w:t>
      </w:r>
    </w:p>
    <w:p>
      <w:pPr>
        <w:sectPr>
          <w:pgSz w:w="12240" w:h="15840" w:orient="portrait"/>
          <w:cols w:equalWidth="0" w:num="1">
            <w:col w:w="10800"/>
          </w:cols>
          <w:pgMar w:left="720" w:top="930" w:right="720" w:bottom="175"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800"/>
          </w:cols>
          <w:pgMar w:left="720" w:top="930" w:right="720" w:bottom="175" w:gutter="0" w:footer="0" w:header="0"/>
          <w:type w:val="continuous"/>
        </w:sectPr>
      </w:pPr>
    </w:p>
    <w:bookmarkStart w:id="37" w:name="page38"/>
    <w:bookmarkEnd w:id="37"/>
    <w:p>
      <w:pPr>
        <w:jc w:val="both"/>
        <w:spacing w:after="0" w:line="252" w:lineRule="auto"/>
        <w:rPr>
          <w:sz w:val="20"/>
          <w:szCs w:val="20"/>
          <w:color w:val="auto"/>
        </w:rPr>
      </w:pPr>
      <w:r>
        <w:rPr>
          <w:rFonts w:ascii="Times New Roman" w:cs="Times New Roman" w:eastAsia="Times New Roman" w:hAnsi="Times New Roman"/>
          <w:sz w:val="20"/>
          <w:szCs w:val="20"/>
          <w:color w:val="auto"/>
        </w:rPr>
        <w:t>with specified exceptions, the sale in the EU market of electrical and electronic equipment containing more than agreed levels of lead or other hazardous materials, and China has enacted similar regulations. Globally, environmental and occupational health and safety laws and regulations have tended to become more stringent over time, causing a need to redesign technologies, imposing greater compliance costs and increasing risks and penalties associated with violations, which could seriously harm our business.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could be subject to changes in tax rates or the adoption of new tax legislation, whether in or out of the United States, or could otherwise have exposure to additional tax liabilities, which could adversely affect our results of operations or financial condition.</w:t>
      </w:r>
    </w:p>
    <w:p>
      <w:pPr>
        <w:spacing w:after="0" w:line="9" w:lineRule="exact"/>
        <w:rPr>
          <w:sz w:val="20"/>
          <w:szCs w:val="20"/>
          <w:color w:val="auto"/>
        </w:rPr>
      </w:pPr>
    </w:p>
    <w:p>
      <w:pPr>
        <w:jc w:val="both"/>
        <w:ind w:firstLine="547"/>
        <w:spacing w:after="0" w:line="241" w:lineRule="auto"/>
        <w:rPr>
          <w:sz w:val="20"/>
          <w:szCs w:val="20"/>
          <w:color w:val="auto"/>
        </w:rPr>
      </w:pPr>
      <w:r>
        <w:rPr>
          <w:rFonts w:ascii="Times New Roman" w:cs="Times New Roman" w:eastAsia="Times New Roman" w:hAnsi="Times New Roman"/>
          <w:sz w:val="20"/>
          <w:szCs w:val="20"/>
          <w:color w:val="auto"/>
        </w:rPr>
        <w:t>As a multinational business, we are subject to income and other taxes in both the U.S. and various foreign jurisdictions. Changes to tax laws or regulations in such jurisdictions, or in the interpretation of such laws or regulations, could significantly increase our effective tax rate and reduce our cash flow from operating activities, and otherwise adversely affect our financial condition. For example, in October 2021, a global consortium of countries agreed to establish a new framework for international tax reform, including a new global minimum tax of 15% (“Pillar Two Minimum Tax”). In December 2022, European Union member states voted unanimously to implement rules for the Pillar Two Minimum Tax. Since implementation, many member states have enacted minimum tax legislation and others, including non-EU members, are considering similar law changes. In general, if a jurisdiction has an effective income tax rate (“ETR”) below 15%, the Pillar Two Minimum Tax may impute an additional alternative minimum “top-up tax.” The Company is subject to the Pillar Two Minimum Tax rules. If Pillar Two proposals are enacted into law in the U.S. or other countries in which we operate, it is possible that such proposals could increase our tax uncertainty and may adversely affect our provision for income taxes in the future. The Financial Accounting Standards Board considers the Pillar Two Minimum Tax an alternative minimum tax; therefore, deferred tax assets and liabilities are not recognized or adjusted for any estimated future effects. In addition, recently enacted U.S. federal tax legislation, such as the One Big Beautiful Bill Act (the “OBBB”), has modified U.S. corporate income tax, including provisions related to the Corporate Alternative Minimum Tax (“CAMT”). Future changes in our financial results, business operations or in the interpretation and implementation of the OBBB could result in a CAMT liability in subsequent periods. Moreover, the U.S. or other jurisdictions may consider novel tax proposals in the future, such as the imposition of value-based fees or taxes on patents or other IP that could increase our operating costs and have a material and adverse impact on our business.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ETR and/or valuation of our deferred tax assets and liabilities.</w:t>
      </w:r>
    </w:p>
    <w:p>
      <w:pPr>
        <w:spacing w:after="0" w:line="59" w:lineRule="exact"/>
        <w:rPr>
          <w:sz w:val="20"/>
          <w:szCs w:val="20"/>
          <w:color w:val="auto"/>
        </w:rPr>
      </w:pPr>
    </w:p>
    <w:p>
      <w:pPr>
        <w:jc w:val="both"/>
        <w:ind w:firstLine="547"/>
        <w:spacing w:after="0" w:line="246" w:lineRule="auto"/>
        <w:rPr>
          <w:sz w:val="20"/>
          <w:szCs w:val="20"/>
          <w:color w:val="auto"/>
        </w:rPr>
      </w:pPr>
      <w:r>
        <w:rPr>
          <w:rFonts w:ascii="Times New Roman" w:cs="Times New Roman" w:eastAsia="Times New Roman" w:hAnsi="Times New Roman"/>
          <w:sz w:val="20"/>
          <w:szCs w:val="20"/>
          <w:color w:val="auto"/>
        </w:rPr>
        <w:t>Our tax filings are subject to review or audit by the U.S. Internal Revenue Service (the “IRS”) and state, local and foreign taxing authorities. We exercise significant judgment in determining our worldwide provision for taxes and, in the ordinary course of our business, there may be transactions and calculations where the proper tax treatment is uncertain.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have a material adverse effect on our business, financial condition, results of operations and cash flows.</w:t>
      </w:r>
    </w:p>
    <w:p>
      <w:pPr>
        <w:spacing w:after="0" w:line="4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requirements to maintain effective internal control over financial reporting could have a material adverse effect on our business and stock price.</w:t>
      </w:r>
    </w:p>
    <w:p>
      <w:pPr>
        <w:spacing w:after="0" w:line="9"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We have significant requirements for financial reporting and internal controls. If we are unable to maintain appropriate internal financial reporting controls and procedures, it could cause us to fail to meet our reporting obligations on a timely basis, result in material misstatements in our consolidated financial statements and adversely affect our operating results. In addition, we are required, pursuant to Section 404 of the Sarbanes-Oxley Act of 2002 (“Section 404”), to furnish a report by our management on, among other things, the effectiveness of our internal control over financial reporting. This assessment needs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and testing. Testing and maintaining internal controls may divert our management’s attention from other matters that are important to our business. In addition, pursuant to Section 404, we are required to include in the annual reports that we file with the SEC an attestation report on our internal control over financial reporting issued by our independent registered public accounting firm, and the costs and burdens of complying with Section 404 could be significant.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Sustained inflation could have a material adverse effect on our business, financial condition, results of operations and liquidity.</w:t>
      </w:r>
    </w:p>
    <w:p>
      <w:pPr>
        <w:spacing w:after="0" w:line="80"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Inflation rates in the markets in which we operate have remained elevated, and this may continue in the future or inflation rates may increase. Inflation has caused and may continue to cause us to experience higher costs, including higher labor costs, cost of raw materials such as gold, wafer and other costs for supplier materials, and transportation and energy costs. Due to inflation, our suppliers have raised prices and may continue to do so, and in the competitive markets in which we operate, we may not be able to make corresponding price increases to preserve our gross margins and profitability. If inflation rates remain elevated or rise for a sustained period of time, they could have a material adverse effect on our business, financial condition, results of operations and liquidity.</w:t>
      </w:r>
    </w:p>
    <w:p>
      <w:pPr>
        <w:sectPr>
          <w:pgSz w:w="12240" w:h="15840" w:orient="portrait"/>
          <w:cols w:equalWidth="0" w:num="1">
            <w:col w:w="10800"/>
          </w:cols>
          <w:pgMar w:left="720" w:top="930" w:right="720" w:bottom="175"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800"/>
          </w:cols>
          <w:pgMar w:left="720" w:top="930" w:right="720" w:bottom="175" w:gutter="0" w:footer="0" w:header="0"/>
          <w:type w:val="continuous"/>
        </w:sectPr>
      </w:pPr>
    </w:p>
    <w:bookmarkStart w:id="38" w:name="page39"/>
    <w:bookmarkEnd w:id="38"/>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pacing w:after="0" w:line="124"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We have developed and implemented a cybersecurity risk management program informed by the National Institute of Standards and Technology Cybersecurity Framework and other applicable industry standards and intended to protect the confidentiality, integrity, and availability of our critical systems and information.</w:t>
      </w:r>
    </w:p>
    <w:p>
      <w:pPr>
        <w:spacing w:after="0" w:line="68"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Key elements of our cybersecurity risk management program include:</w:t>
      </w:r>
    </w:p>
    <w:p>
      <w:pPr>
        <w:spacing w:after="0" w:line="74" w:lineRule="exact"/>
        <w:rPr>
          <w:sz w:val="20"/>
          <w:szCs w:val="20"/>
          <w:color w:val="auto"/>
        </w:rPr>
      </w:pPr>
    </w:p>
    <w:p>
      <w:pPr>
        <w:ind w:left="720" w:hanging="360"/>
        <w:spacing w:after="0"/>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risk assessments designed to help identify material cybersecurity risks to our critical systems and information;</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a formal IT risk register documenting and mitigating identified risks, reviewed by management on a quarterly basis;</w:t>
      </w:r>
    </w:p>
    <w:p>
      <w:pPr>
        <w:spacing w:after="0" w:line="73" w:lineRule="exact"/>
        <w:rPr>
          <w:rFonts w:ascii="Arial" w:cs="Arial" w:eastAsia="Arial" w:hAnsi="Arial"/>
          <w:sz w:val="20"/>
          <w:szCs w:val="20"/>
          <w:color w:val="auto"/>
        </w:rPr>
      </w:pPr>
    </w:p>
    <w:p>
      <w:pPr>
        <w:ind w:left="720" w:hanging="360"/>
        <w:spacing w:after="0" w:line="276"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a security team principally responsible for managing (1) our cybersecurity risk assessment processes, (2) our security controls, and (3) our response to cybersecurity incidents;</w:t>
      </w:r>
    </w:p>
    <w:p>
      <w:pPr>
        <w:spacing w:after="0" w:line="4" w:lineRule="exact"/>
        <w:rPr>
          <w:rFonts w:ascii="Arial" w:cs="Arial" w:eastAsia="Arial" w:hAnsi="Arial"/>
          <w:sz w:val="20"/>
          <w:szCs w:val="20"/>
          <w:color w:val="auto"/>
        </w:rPr>
      </w:pPr>
    </w:p>
    <w:p>
      <w:pPr>
        <w:ind w:left="720" w:hanging="360"/>
        <w:spacing w:after="0" w:line="276"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regular use of external service providers to independently assess and test security posture, as well as to otherwise assist with aspects of our security processes on an as needed basis;</w:t>
      </w:r>
    </w:p>
    <w:p>
      <w:pPr>
        <w:spacing w:after="0" w:line="4" w:lineRule="exact"/>
        <w:rPr>
          <w:rFonts w:ascii="Arial" w:cs="Arial" w:eastAsia="Arial" w:hAnsi="Arial"/>
          <w:sz w:val="20"/>
          <w:szCs w:val="20"/>
          <w:color w:val="auto"/>
        </w:rPr>
      </w:pPr>
    </w:p>
    <w:p>
      <w:pPr>
        <w:ind w:left="720" w:hanging="360"/>
        <w:spacing w:after="0"/>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cybersecurity awareness training of our employees, including incident response personnel and senior management;</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a written cybersecurity incident response plan that includes procedures for responding to cybersecurity incidents;</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periodic tabletop exercises conducted by outside firms to evaluate our incident response plan and response capabilities; and</w:t>
      </w:r>
    </w:p>
    <w:p>
      <w:pPr>
        <w:spacing w:after="0" w:line="73" w:lineRule="exact"/>
        <w:rPr>
          <w:rFonts w:ascii="Arial" w:cs="Arial" w:eastAsia="Arial" w:hAnsi="Arial"/>
          <w:sz w:val="20"/>
          <w:szCs w:val="20"/>
          <w:color w:val="auto"/>
        </w:rPr>
      </w:pPr>
    </w:p>
    <w:p>
      <w:pPr>
        <w:ind w:left="720" w:hanging="360"/>
        <w:spacing w:after="0" w:line="276"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a third-party risk management process for key service providers based on our assessment of their criticality to our operations and respective risk profile.</w:t>
      </w:r>
    </w:p>
    <w:p>
      <w:pPr>
        <w:spacing w:after="0" w:line="50" w:lineRule="exact"/>
        <w:rPr>
          <w:sz w:val="20"/>
          <w:szCs w:val="20"/>
          <w:color w:val="auto"/>
        </w:rPr>
      </w:pPr>
    </w:p>
    <w:p>
      <w:pPr>
        <w:jc w:val="both"/>
        <w:ind w:firstLine="547"/>
        <w:spacing w:after="0" w:line="285" w:lineRule="auto"/>
        <w:rPr>
          <w:sz w:val="20"/>
          <w:szCs w:val="20"/>
          <w:color w:val="auto"/>
        </w:rPr>
      </w:pPr>
      <w:r>
        <w:rPr>
          <w:rFonts w:ascii="Times New Roman" w:cs="Times New Roman" w:eastAsia="Times New Roman" w:hAnsi="Times New Roman"/>
          <w:sz w:val="20"/>
          <w:szCs w:val="20"/>
          <w:color w:val="auto"/>
        </w:rPr>
        <w:t>We have not identified risks from known cybersecurity threats, including as a result of any prior cybersecurity incidents, which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Factors—Risks Related to our Information Technology, Intellectual Property, AI Technologies, and Data Security and Privacy.”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Governance</w:t>
      </w:r>
    </w:p>
    <w:p>
      <w:pPr>
        <w:spacing w:after="0" w:line="159"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Our Board considers cybersecurity risk as part of its risk oversight function and has delegated to the Audit Committee (the “Committee”) oversight of risk assessment and risk management, including cybersecurity and other information technology risks. The Committee oversees management’s implementation of our cybersecurity risk management program.</w:t>
      </w:r>
    </w:p>
    <w:p>
      <w:pPr>
        <w:spacing w:after="0" w:line="68"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Committee receives periodic reports from management on our cybersecurity risks. These presentations may cover a range of topics, including:</w:t>
      </w:r>
    </w:p>
    <w:p>
      <w:pPr>
        <w:spacing w:after="0" w:line="64" w:lineRule="exact"/>
        <w:rPr>
          <w:sz w:val="20"/>
          <w:szCs w:val="20"/>
          <w:color w:val="auto"/>
        </w:rPr>
      </w:pPr>
    </w:p>
    <w:p>
      <w:pPr>
        <w:ind w:left="720" w:hanging="360"/>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current cybersecurity landscape and emerging threats;</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progress on cybersecurity projects;</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reports about cybersecurity incidents it considers significant or potentially significant;</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lessons learned from past events; and</w:t>
      </w:r>
    </w:p>
    <w:p>
      <w:pPr>
        <w:spacing w:after="0" w:line="73" w:lineRule="exact"/>
        <w:rPr>
          <w:rFonts w:ascii="Arial" w:cs="Arial" w:eastAsia="Arial" w:hAnsi="Arial"/>
          <w:sz w:val="20"/>
          <w:szCs w:val="20"/>
          <w:color w:val="auto"/>
        </w:rPr>
      </w:pPr>
    </w:p>
    <w:p>
      <w:pPr>
        <w:ind w:left="720" w:hanging="360"/>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adherence to regulatory requirements and/or industry standards, as appropriate.</w:t>
      </w:r>
    </w:p>
    <w:p>
      <w:pPr>
        <w:spacing w:after="0" w:line="119"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The Committee reports to the full Board regarding its activities, including those related to cybersecurity. The full Board also periodically receives briefings from management on our cyber risk management program. Board members receive presentations on cybersecurity topics from our Chief Digital and Information Officer.</w:t>
      </w:r>
    </w:p>
    <w:p>
      <w:pPr>
        <w:sectPr>
          <w:pgSz w:w="12240" w:h="15840" w:orient="portrait"/>
          <w:cols w:equalWidth="0" w:num="1">
            <w:col w:w="10800"/>
          </w:cols>
          <w:pgMar w:left="720" w:top="144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800"/>
          </w:cols>
          <w:pgMar w:left="720" w:top="1440" w:right="720" w:bottom="175" w:gutter="0" w:footer="0" w:header="0"/>
          <w:type w:val="continuous"/>
        </w:sectPr>
      </w:pPr>
    </w:p>
    <w:bookmarkStart w:id="39" w:name="page40"/>
    <w:bookmarkEnd w:id="39"/>
    <w:p>
      <w:pPr>
        <w:jc w:val="both"/>
        <w:ind w:firstLine="547"/>
        <w:spacing w:after="0" w:line="246" w:lineRule="auto"/>
        <w:rPr>
          <w:sz w:val="20"/>
          <w:szCs w:val="20"/>
          <w:color w:val="auto"/>
        </w:rPr>
      </w:pPr>
      <w:r>
        <w:rPr>
          <w:rFonts w:ascii="Times New Roman" w:cs="Times New Roman" w:eastAsia="Times New Roman" w:hAnsi="Times New Roman"/>
          <w:sz w:val="20"/>
          <w:szCs w:val="20"/>
          <w:color w:val="auto"/>
        </w:rPr>
        <w:t>Our Chief Digital and Information Officer is primarily responsible for assessing and managing material risks from cybersecurity threats. Our Chief Digital and Information Officer also has primary responsibility for our overall cybersecurity risk management program and supervises both our internal cybersecurity personnel and our retained external cybersecurity consultants. Our Chief Digital and Information Officer has more than 30 years of experience in information technology, including prior experience in cybersecurity architecture. We have an operational information security team with a broad range of backgrounds, years of experience and levels of information security certifications, including Certified Information Systems Security Professional and ISO27001 certified lead auditor.</w:t>
      </w:r>
    </w:p>
    <w:p>
      <w:pPr>
        <w:spacing w:after="0" w:line="80"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Our management team works closely with our Chief Digital and Information Officer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800"/>
          </w:cols>
          <w:pgMar w:left="720" w:top="930" w:right="720" w:bottom="175"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Operations and Facilities</w:t>
      </w:r>
    </w:p>
    <w:p>
      <w:pPr>
        <w:spacing w:after="0" w:line="124"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Our corporate headquarters is located in Manchester, New Hampshire, and we have a global footprint with 27 locations across four continents. As of the end of fiscal year 2026, our operations are primarily conducted at the locations shown below. Our AMPI subsidiary in Manila, Philippines operates as our primary internal assembly and testing facility.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Facility</w:t>
            </w:r>
          </w:p>
        </w:tc>
        <w:tc>
          <w:tcPr>
            <w:tcW w:w="100" w:type="dxa"/>
            <w:vAlign w:val="bottom"/>
            <w:tcBorders>
              <w:bottom w:val="single" w:sz="8" w:color="E2E2E2"/>
            </w:tcBorders>
          </w:tcPr>
          <w:p>
            <w:pPr>
              <w:spacing w:after="0"/>
              <w:rPr>
                <w:sz w:val="22"/>
                <w:szCs w:val="22"/>
                <w:color w:val="auto"/>
              </w:rPr>
            </w:pPr>
          </w:p>
        </w:tc>
        <w:tc>
          <w:tcPr>
            <w:tcW w:w="26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20"/>
                <w:szCs w:val="20"/>
                <w:b w:val="1"/>
                <w:bCs w:val="1"/>
                <w:color w:val="auto"/>
              </w:rPr>
              <w:t>Facility Function</w:t>
            </w:r>
          </w:p>
        </w:tc>
        <w:tc>
          <w:tcPr>
            <w:tcW w:w="120" w:type="dxa"/>
            <w:vAlign w:val="bottom"/>
            <w:tcBorders>
              <w:bottom w:val="single" w:sz="8" w:color="E2E2E2"/>
            </w:tcBorders>
          </w:tcPr>
          <w:p>
            <w:pPr>
              <w:spacing w:after="0"/>
              <w:rPr>
                <w:sz w:val="22"/>
                <w:szCs w:val="22"/>
                <w:color w:val="auto"/>
              </w:rPr>
            </w:pPr>
          </w:p>
        </w:tc>
        <w:tc>
          <w:tcPr>
            <w:tcW w:w="26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0"/>
                <w:szCs w:val="20"/>
                <w:b w:val="1"/>
                <w:bCs w:val="1"/>
                <w:color w:val="auto"/>
              </w:rPr>
              <w:t>Facility Size</w:t>
            </w:r>
          </w:p>
        </w:tc>
        <w:tc>
          <w:tcPr>
            <w:tcW w:w="120" w:type="dxa"/>
            <w:vAlign w:val="bottom"/>
            <w:tcBorders>
              <w:bottom w:val="single" w:sz="8" w:color="E2E2E2"/>
            </w:tcBorders>
          </w:tcPr>
          <w:p>
            <w:pPr>
              <w:spacing w:after="0"/>
              <w:rPr>
                <w:sz w:val="22"/>
                <w:szCs w:val="22"/>
                <w:color w:val="auto"/>
              </w:rPr>
            </w:pPr>
          </w:p>
        </w:tc>
        <w:tc>
          <w:tcPr>
            <w:tcW w:w="25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20"/>
                <w:szCs w:val="20"/>
                <w:b w:val="1"/>
                <w:bCs w:val="1"/>
                <w:color w:val="auto"/>
              </w:rPr>
              <w:t>Status</w:t>
            </w:r>
          </w:p>
        </w:tc>
        <w:tc>
          <w:tcPr>
            <w:tcW w:w="0" w:type="dxa"/>
            <w:vAlign w:val="bottom"/>
          </w:tcPr>
          <w:p>
            <w:pPr>
              <w:spacing w:after="0"/>
              <w:rPr>
                <w:sz w:val="1"/>
                <w:szCs w:val="1"/>
                <w:color w:val="auto"/>
              </w:rPr>
            </w:pPr>
          </w:p>
        </w:tc>
      </w:tr>
      <w:tr>
        <w:trPr>
          <w:trHeight w:val="220"/>
        </w:trPr>
        <w:tc>
          <w:tcPr>
            <w:tcW w:w="2660" w:type="dxa"/>
            <w:vAlign w:val="bottom"/>
            <w:vMerge w:val="restart"/>
            <w:shd w:val="clear" w:color="auto" w:fill="E2E2E2"/>
          </w:tcPr>
          <w:p>
            <w:pPr>
              <w:spacing w:after="0"/>
              <w:rPr>
                <w:sz w:val="20"/>
                <w:szCs w:val="20"/>
                <w:color w:val="auto"/>
              </w:rPr>
            </w:pPr>
            <w:r>
              <w:rPr>
                <w:rFonts w:ascii="Times New Roman" w:cs="Times New Roman" w:eastAsia="Times New Roman" w:hAnsi="Times New Roman"/>
                <w:sz w:val="20"/>
                <w:szCs w:val="20"/>
                <w:color w:val="auto"/>
              </w:rPr>
              <w:t>Manila, Philippines</w:t>
            </w:r>
          </w:p>
        </w:tc>
        <w:tc>
          <w:tcPr>
            <w:tcW w:w="100" w:type="dxa"/>
            <w:vAlign w:val="bottom"/>
            <w:shd w:val="clear" w:color="auto" w:fill="E2E2E2"/>
          </w:tcPr>
          <w:p>
            <w:pPr>
              <w:spacing w:after="0"/>
              <w:rPr>
                <w:sz w:val="19"/>
                <w:szCs w:val="19"/>
                <w:color w:val="auto"/>
              </w:rPr>
            </w:pPr>
          </w:p>
        </w:tc>
        <w:tc>
          <w:tcPr>
            <w:tcW w:w="264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Manufacturing - Assembly,</w:t>
            </w:r>
          </w:p>
        </w:tc>
        <w:tc>
          <w:tcPr>
            <w:tcW w:w="120" w:type="dxa"/>
            <w:vAlign w:val="bottom"/>
            <w:shd w:val="clear" w:color="auto" w:fill="E2E2E2"/>
          </w:tcPr>
          <w:p>
            <w:pPr>
              <w:spacing w:after="0"/>
              <w:rPr>
                <w:sz w:val="19"/>
                <w:szCs w:val="19"/>
                <w:color w:val="auto"/>
              </w:rPr>
            </w:pPr>
          </w:p>
        </w:tc>
        <w:tc>
          <w:tcPr>
            <w:tcW w:w="264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Approximately 440,000 square</w:t>
            </w:r>
          </w:p>
        </w:tc>
        <w:tc>
          <w:tcPr>
            <w:tcW w:w="120" w:type="dxa"/>
            <w:vAlign w:val="bottom"/>
            <w:shd w:val="clear" w:color="auto" w:fill="E2E2E2"/>
          </w:tcPr>
          <w:p>
            <w:pPr>
              <w:spacing w:after="0"/>
              <w:rPr>
                <w:sz w:val="19"/>
                <w:szCs w:val="19"/>
                <w:color w:val="auto"/>
              </w:rPr>
            </w:pPr>
          </w:p>
        </w:tc>
        <w:tc>
          <w:tcPr>
            <w:tcW w:w="252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Owned</w:t>
            </w:r>
          </w:p>
        </w:tc>
        <w:tc>
          <w:tcPr>
            <w:tcW w:w="0" w:type="dxa"/>
            <w:vAlign w:val="bottom"/>
          </w:tcPr>
          <w:p>
            <w:pPr>
              <w:spacing w:after="0"/>
              <w:rPr>
                <w:sz w:val="1"/>
                <w:szCs w:val="1"/>
                <w:color w:val="auto"/>
              </w:rPr>
            </w:pPr>
          </w:p>
        </w:tc>
      </w:tr>
      <w:tr>
        <w:trPr>
          <w:trHeight w:val="151"/>
        </w:trPr>
        <w:tc>
          <w:tcPr>
            <w:tcW w:w="2660" w:type="dxa"/>
            <w:vAlign w:val="bottom"/>
            <w:vMerge w:val="continue"/>
            <w:shd w:val="clear" w:color="auto" w:fill="E2E2E2"/>
          </w:tcPr>
          <w:p>
            <w:pPr>
              <w:spacing w:after="0"/>
              <w:rPr>
                <w:sz w:val="13"/>
                <w:szCs w:val="13"/>
                <w:color w:val="auto"/>
              </w:rPr>
            </w:pPr>
          </w:p>
        </w:tc>
        <w:tc>
          <w:tcPr>
            <w:tcW w:w="100" w:type="dxa"/>
            <w:vAlign w:val="bottom"/>
            <w:shd w:val="clear" w:color="auto" w:fill="E2E2E2"/>
          </w:tcPr>
          <w:p>
            <w:pPr>
              <w:spacing w:after="0"/>
              <w:rPr>
                <w:sz w:val="13"/>
                <w:szCs w:val="13"/>
                <w:color w:val="auto"/>
              </w:rPr>
            </w:pPr>
          </w:p>
        </w:tc>
        <w:tc>
          <w:tcPr>
            <w:tcW w:w="2640" w:type="dxa"/>
            <w:vAlign w:val="bottom"/>
            <w:vMerge w:val="restart"/>
            <w:shd w:val="clear" w:color="auto" w:fill="E2E2E2"/>
          </w:tcPr>
          <w:p>
            <w:pPr>
              <w:spacing w:after="0"/>
              <w:rPr>
                <w:sz w:val="20"/>
                <w:szCs w:val="20"/>
                <w:color w:val="auto"/>
              </w:rPr>
            </w:pPr>
            <w:r>
              <w:rPr>
                <w:rFonts w:ascii="Times New Roman" w:cs="Times New Roman" w:eastAsia="Times New Roman" w:hAnsi="Times New Roman"/>
                <w:sz w:val="20"/>
                <w:szCs w:val="20"/>
                <w:color w:val="auto"/>
              </w:rPr>
              <w:t>Test, Finish</w:t>
            </w:r>
          </w:p>
        </w:tc>
        <w:tc>
          <w:tcPr>
            <w:tcW w:w="120" w:type="dxa"/>
            <w:vAlign w:val="bottom"/>
            <w:shd w:val="clear" w:color="auto" w:fill="E2E2E2"/>
          </w:tcPr>
          <w:p>
            <w:pPr>
              <w:spacing w:after="0"/>
              <w:rPr>
                <w:sz w:val="13"/>
                <w:szCs w:val="13"/>
                <w:color w:val="auto"/>
              </w:rPr>
            </w:pPr>
          </w:p>
        </w:tc>
        <w:tc>
          <w:tcPr>
            <w:tcW w:w="2640" w:type="dxa"/>
            <w:vAlign w:val="bottom"/>
            <w:vMerge w:val="restart"/>
            <w:shd w:val="clear" w:color="auto" w:fill="E2E2E2"/>
          </w:tcPr>
          <w:p>
            <w:pPr>
              <w:spacing w:after="0"/>
              <w:rPr>
                <w:sz w:val="20"/>
                <w:szCs w:val="20"/>
                <w:color w:val="auto"/>
              </w:rPr>
            </w:pPr>
            <w:r>
              <w:rPr>
                <w:rFonts w:ascii="Times New Roman" w:cs="Times New Roman" w:eastAsia="Times New Roman" w:hAnsi="Times New Roman"/>
                <w:sz w:val="20"/>
                <w:szCs w:val="20"/>
                <w:color w:val="auto"/>
              </w:rPr>
              <w:t>feet</w:t>
            </w:r>
          </w:p>
        </w:tc>
        <w:tc>
          <w:tcPr>
            <w:tcW w:w="120" w:type="dxa"/>
            <w:vAlign w:val="bottom"/>
            <w:shd w:val="clear" w:color="auto" w:fill="E2E2E2"/>
          </w:tcPr>
          <w:p>
            <w:pPr>
              <w:spacing w:after="0"/>
              <w:rPr>
                <w:sz w:val="13"/>
                <w:szCs w:val="13"/>
                <w:color w:val="auto"/>
              </w:rPr>
            </w:pPr>
          </w:p>
        </w:tc>
        <w:tc>
          <w:tcPr>
            <w:tcW w:w="2520" w:type="dxa"/>
            <w:vAlign w:val="bottom"/>
            <w:vMerge w:val="continue"/>
            <w:shd w:val="clear" w:color="auto" w:fill="E2E2E2"/>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660" w:type="dxa"/>
            <w:vAlign w:val="bottom"/>
            <w:shd w:val="clear" w:color="auto" w:fill="E2E2E2"/>
          </w:tcPr>
          <w:p>
            <w:pPr>
              <w:spacing w:after="0"/>
              <w:rPr>
                <w:sz w:val="8"/>
                <w:szCs w:val="8"/>
                <w:color w:val="auto"/>
              </w:rPr>
            </w:pPr>
          </w:p>
        </w:tc>
        <w:tc>
          <w:tcPr>
            <w:tcW w:w="100" w:type="dxa"/>
            <w:vAlign w:val="bottom"/>
            <w:shd w:val="clear" w:color="auto" w:fill="E2E2E2"/>
          </w:tcPr>
          <w:p>
            <w:pPr>
              <w:spacing w:after="0"/>
              <w:rPr>
                <w:sz w:val="8"/>
                <w:szCs w:val="8"/>
                <w:color w:val="auto"/>
              </w:rPr>
            </w:pPr>
          </w:p>
        </w:tc>
        <w:tc>
          <w:tcPr>
            <w:tcW w:w="2640" w:type="dxa"/>
            <w:vAlign w:val="bottom"/>
            <w:vMerge w:val="continue"/>
            <w:shd w:val="clear" w:color="auto" w:fill="E2E2E2"/>
          </w:tcPr>
          <w:p>
            <w:pPr>
              <w:spacing w:after="0"/>
              <w:rPr>
                <w:sz w:val="8"/>
                <w:szCs w:val="8"/>
                <w:color w:val="auto"/>
              </w:rPr>
            </w:pPr>
          </w:p>
        </w:tc>
        <w:tc>
          <w:tcPr>
            <w:tcW w:w="120" w:type="dxa"/>
            <w:vAlign w:val="bottom"/>
            <w:shd w:val="clear" w:color="auto" w:fill="E2E2E2"/>
          </w:tcPr>
          <w:p>
            <w:pPr>
              <w:spacing w:after="0"/>
              <w:rPr>
                <w:sz w:val="8"/>
                <w:szCs w:val="8"/>
                <w:color w:val="auto"/>
              </w:rPr>
            </w:pPr>
          </w:p>
        </w:tc>
        <w:tc>
          <w:tcPr>
            <w:tcW w:w="2640" w:type="dxa"/>
            <w:vAlign w:val="bottom"/>
            <w:vMerge w:val="continue"/>
            <w:shd w:val="clear" w:color="auto" w:fill="E2E2E2"/>
          </w:tcPr>
          <w:p>
            <w:pPr>
              <w:spacing w:after="0"/>
              <w:rPr>
                <w:sz w:val="8"/>
                <w:szCs w:val="8"/>
                <w:color w:val="auto"/>
              </w:rPr>
            </w:pPr>
          </w:p>
        </w:tc>
        <w:tc>
          <w:tcPr>
            <w:tcW w:w="120" w:type="dxa"/>
            <w:vAlign w:val="bottom"/>
            <w:shd w:val="clear" w:color="auto" w:fill="E2E2E2"/>
          </w:tcPr>
          <w:p>
            <w:pPr>
              <w:spacing w:after="0"/>
              <w:rPr>
                <w:sz w:val="8"/>
                <w:szCs w:val="8"/>
                <w:color w:val="auto"/>
              </w:rPr>
            </w:pPr>
          </w:p>
        </w:tc>
        <w:tc>
          <w:tcPr>
            <w:tcW w:w="2520" w:type="dxa"/>
            <w:vAlign w:val="bottom"/>
            <w:shd w:val="clear" w:color="auto" w:fill="E2E2E2"/>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Muntinlupa City, Philippines</w:t>
            </w:r>
          </w:p>
        </w:tc>
        <w:tc>
          <w:tcPr>
            <w:tcW w:w="100" w:type="dxa"/>
            <w:vAlign w:val="bottom"/>
          </w:tcPr>
          <w:p>
            <w:pPr>
              <w:spacing w:after="0"/>
              <w:rPr>
                <w:sz w:val="19"/>
                <w:szCs w:val="19"/>
                <w:color w:val="auto"/>
              </w:rPr>
            </w:pPr>
          </w:p>
        </w:tc>
        <w:tc>
          <w:tcPr>
            <w:tcW w:w="26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Research and Development,</w:t>
            </w:r>
          </w:p>
        </w:tc>
        <w:tc>
          <w:tcPr>
            <w:tcW w:w="120" w:type="dxa"/>
            <w:vAlign w:val="bottom"/>
          </w:tcPr>
          <w:p>
            <w:pPr>
              <w:spacing w:after="0"/>
              <w:rPr>
                <w:sz w:val="19"/>
                <w:szCs w:val="19"/>
                <w:color w:val="auto"/>
              </w:rPr>
            </w:pPr>
          </w:p>
        </w:tc>
        <w:tc>
          <w:tcPr>
            <w:tcW w:w="26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Approximately 40,000 square</w:t>
            </w:r>
          </w:p>
        </w:tc>
        <w:tc>
          <w:tcPr>
            <w:tcW w:w="120" w:type="dxa"/>
            <w:vAlign w:val="bottom"/>
          </w:tcPr>
          <w:p>
            <w:pPr>
              <w:spacing w:after="0"/>
              <w:rPr>
                <w:sz w:val="19"/>
                <w:szCs w:val="19"/>
                <w:color w:val="auto"/>
              </w:rPr>
            </w:pPr>
          </w:p>
        </w:tc>
        <w:tc>
          <w:tcPr>
            <w:tcW w:w="2520" w:type="dxa"/>
            <w:vAlign w:val="bottom"/>
          </w:tcPr>
          <w:p>
            <w:pPr>
              <w:ind w:left="40"/>
              <w:spacing w:after="0" w:line="225" w:lineRule="exact"/>
              <w:rPr>
                <w:sz w:val="20"/>
                <w:szCs w:val="20"/>
                <w:color w:val="auto"/>
              </w:rPr>
            </w:pPr>
            <w:r>
              <w:rPr>
                <w:rFonts w:ascii="Times New Roman" w:cs="Times New Roman" w:eastAsia="Times New Roman" w:hAnsi="Times New Roman"/>
                <w:sz w:val="20"/>
                <w:szCs w:val="20"/>
                <w:color w:val="auto"/>
              </w:rPr>
              <w:t>Leased (Five-year lease</w:t>
            </w:r>
          </w:p>
        </w:tc>
        <w:tc>
          <w:tcPr>
            <w:tcW w:w="0" w:type="dxa"/>
            <w:vAlign w:val="bottom"/>
          </w:tcPr>
          <w:p>
            <w:pPr>
              <w:spacing w:after="0"/>
              <w:rPr>
                <w:sz w:val="1"/>
                <w:szCs w:val="1"/>
                <w:color w:val="auto"/>
              </w:rPr>
            </w:pPr>
          </w:p>
        </w:tc>
      </w:tr>
      <w:tr>
        <w:trPr>
          <w:trHeight w:val="151"/>
        </w:trPr>
        <w:tc>
          <w:tcPr>
            <w:tcW w:w="2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Administrative</w:t>
            </w:r>
          </w:p>
        </w:tc>
        <w:tc>
          <w:tcPr>
            <w:tcW w:w="120" w:type="dxa"/>
            <w:vAlign w:val="bottom"/>
          </w:tcPr>
          <w:p>
            <w:pPr>
              <w:spacing w:after="0"/>
              <w:rPr>
                <w:sz w:val="13"/>
                <w:szCs w:val="13"/>
                <w:color w:val="auto"/>
              </w:rPr>
            </w:pPr>
          </w:p>
        </w:tc>
        <w:tc>
          <w:tcPr>
            <w:tcW w:w="2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feet</w:t>
            </w:r>
          </w:p>
        </w:tc>
        <w:tc>
          <w:tcPr>
            <w:tcW w:w="120" w:type="dxa"/>
            <w:vAlign w:val="bottom"/>
          </w:tcPr>
          <w:p>
            <w:pPr>
              <w:spacing w:after="0"/>
              <w:rPr>
                <w:sz w:val="13"/>
                <w:szCs w:val="13"/>
                <w:color w:val="auto"/>
              </w:rPr>
            </w:pPr>
          </w:p>
        </w:tc>
        <w:tc>
          <w:tcPr>
            <w:tcW w:w="2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expires in 2028)</w:t>
            </w:r>
          </w:p>
        </w:tc>
        <w:tc>
          <w:tcPr>
            <w:tcW w:w="0" w:type="dxa"/>
            <w:vAlign w:val="bottom"/>
          </w:tcPr>
          <w:p>
            <w:pPr>
              <w:spacing w:after="0"/>
              <w:rPr>
                <w:sz w:val="1"/>
                <w:szCs w:val="1"/>
                <w:color w:val="auto"/>
              </w:rPr>
            </w:pPr>
          </w:p>
        </w:tc>
      </w:tr>
      <w:tr>
        <w:trPr>
          <w:trHeight w:val="98"/>
        </w:trPr>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660" w:type="dxa"/>
            <w:vAlign w:val="bottom"/>
            <w:shd w:val="clear" w:color="auto" w:fill="E2E2E2"/>
          </w:tcPr>
          <w:p>
            <w:pPr>
              <w:spacing w:after="0"/>
              <w:rPr>
                <w:sz w:val="19"/>
                <w:szCs w:val="19"/>
                <w:color w:val="auto"/>
              </w:rPr>
            </w:pPr>
          </w:p>
        </w:tc>
        <w:tc>
          <w:tcPr>
            <w:tcW w:w="100" w:type="dxa"/>
            <w:vAlign w:val="bottom"/>
            <w:shd w:val="clear" w:color="auto" w:fill="E2E2E2"/>
          </w:tcPr>
          <w:p>
            <w:pPr>
              <w:spacing w:after="0"/>
              <w:rPr>
                <w:sz w:val="19"/>
                <w:szCs w:val="19"/>
                <w:color w:val="auto"/>
              </w:rPr>
            </w:pPr>
          </w:p>
        </w:tc>
        <w:tc>
          <w:tcPr>
            <w:tcW w:w="264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Corporate Headquarters,</w:t>
            </w:r>
          </w:p>
        </w:tc>
        <w:tc>
          <w:tcPr>
            <w:tcW w:w="120" w:type="dxa"/>
            <w:vAlign w:val="bottom"/>
            <w:shd w:val="clear" w:color="auto" w:fill="E2E2E2"/>
          </w:tcPr>
          <w:p>
            <w:pPr>
              <w:spacing w:after="0"/>
              <w:rPr>
                <w:sz w:val="19"/>
                <w:szCs w:val="19"/>
                <w:color w:val="auto"/>
              </w:rPr>
            </w:pPr>
          </w:p>
        </w:tc>
        <w:tc>
          <w:tcPr>
            <w:tcW w:w="2640" w:type="dxa"/>
            <w:vAlign w:val="bottom"/>
            <w:vMerge w:val="restart"/>
            <w:shd w:val="clear" w:color="auto" w:fill="E2E2E2"/>
          </w:tcPr>
          <w:p>
            <w:pPr>
              <w:spacing w:after="0"/>
              <w:rPr>
                <w:sz w:val="20"/>
                <w:szCs w:val="20"/>
                <w:color w:val="auto"/>
              </w:rPr>
            </w:pPr>
            <w:r>
              <w:rPr>
                <w:rFonts w:ascii="Times New Roman" w:cs="Times New Roman" w:eastAsia="Times New Roman" w:hAnsi="Times New Roman"/>
                <w:sz w:val="20"/>
                <w:szCs w:val="20"/>
                <w:color w:val="auto"/>
              </w:rPr>
              <w:t>Approximately 125,000 square</w:t>
            </w:r>
          </w:p>
        </w:tc>
        <w:tc>
          <w:tcPr>
            <w:tcW w:w="120" w:type="dxa"/>
            <w:vAlign w:val="bottom"/>
            <w:shd w:val="clear" w:color="auto" w:fill="E2E2E2"/>
          </w:tcPr>
          <w:p>
            <w:pPr>
              <w:spacing w:after="0"/>
              <w:rPr>
                <w:sz w:val="19"/>
                <w:szCs w:val="19"/>
                <w:color w:val="auto"/>
              </w:rPr>
            </w:pPr>
          </w:p>
        </w:tc>
        <w:tc>
          <w:tcPr>
            <w:tcW w:w="252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660" w:type="dxa"/>
            <w:vAlign w:val="bottom"/>
            <w:vMerge w:val="restart"/>
            <w:shd w:val="clear" w:color="auto" w:fill="E2E2E2"/>
          </w:tcPr>
          <w:p>
            <w:pPr>
              <w:spacing w:after="0"/>
              <w:rPr>
                <w:sz w:val="20"/>
                <w:szCs w:val="20"/>
                <w:color w:val="auto"/>
              </w:rPr>
            </w:pPr>
            <w:r>
              <w:rPr>
                <w:rFonts w:ascii="Times New Roman" w:cs="Times New Roman" w:eastAsia="Times New Roman" w:hAnsi="Times New Roman"/>
                <w:sz w:val="20"/>
                <w:szCs w:val="20"/>
                <w:color w:val="auto"/>
              </w:rPr>
              <w:t>Manchester, New Hampshire</w:t>
            </w:r>
          </w:p>
        </w:tc>
        <w:tc>
          <w:tcPr>
            <w:tcW w:w="100" w:type="dxa"/>
            <w:vAlign w:val="bottom"/>
            <w:shd w:val="clear" w:color="auto" w:fill="E2E2E2"/>
          </w:tcPr>
          <w:p>
            <w:pPr>
              <w:spacing w:after="0"/>
              <w:rPr>
                <w:sz w:val="10"/>
                <w:szCs w:val="10"/>
                <w:color w:val="auto"/>
              </w:rPr>
            </w:pPr>
          </w:p>
        </w:tc>
        <w:tc>
          <w:tcPr>
            <w:tcW w:w="2640" w:type="dxa"/>
            <w:vAlign w:val="bottom"/>
            <w:vMerge w:val="restart"/>
            <w:shd w:val="clear" w:color="auto" w:fill="E2E2E2"/>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20" w:type="dxa"/>
            <w:vAlign w:val="bottom"/>
            <w:shd w:val="clear" w:color="auto" w:fill="E2E2E2"/>
          </w:tcPr>
          <w:p>
            <w:pPr>
              <w:spacing w:after="0"/>
              <w:rPr>
                <w:sz w:val="10"/>
                <w:szCs w:val="10"/>
                <w:color w:val="auto"/>
              </w:rPr>
            </w:pPr>
          </w:p>
        </w:tc>
        <w:tc>
          <w:tcPr>
            <w:tcW w:w="2640" w:type="dxa"/>
            <w:vAlign w:val="bottom"/>
            <w:vMerge w:val="continue"/>
            <w:shd w:val="clear" w:color="auto" w:fill="E2E2E2"/>
          </w:tcPr>
          <w:p>
            <w:pPr>
              <w:spacing w:after="0"/>
              <w:rPr>
                <w:sz w:val="10"/>
                <w:szCs w:val="10"/>
                <w:color w:val="auto"/>
              </w:rPr>
            </w:pPr>
          </w:p>
        </w:tc>
        <w:tc>
          <w:tcPr>
            <w:tcW w:w="120" w:type="dxa"/>
            <w:vAlign w:val="bottom"/>
            <w:shd w:val="clear" w:color="auto" w:fill="E2E2E2"/>
          </w:tcPr>
          <w:p>
            <w:pPr>
              <w:spacing w:after="0"/>
              <w:rPr>
                <w:sz w:val="10"/>
                <w:szCs w:val="10"/>
                <w:color w:val="auto"/>
              </w:rPr>
            </w:pPr>
          </w:p>
        </w:tc>
        <w:tc>
          <w:tcPr>
            <w:tcW w:w="252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Owned</w:t>
            </w:r>
          </w:p>
        </w:tc>
        <w:tc>
          <w:tcPr>
            <w:tcW w:w="0" w:type="dxa"/>
            <w:vAlign w:val="bottom"/>
          </w:tcPr>
          <w:p>
            <w:pPr>
              <w:spacing w:after="0"/>
              <w:rPr>
                <w:sz w:val="1"/>
                <w:szCs w:val="1"/>
                <w:color w:val="auto"/>
              </w:rPr>
            </w:pPr>
          </w:p>
        </w:tc>
      </w:tr>
      <w:tr>
        <w:trPr>
          <w:trHeight w:val="115"/>
        </w:trPr>
        <w:tc>
          <w:tcPr>
            <w:tcW w:w="2660" w:type="dxa"/>
            <w:vAlign w:val="bottom"/>
            <w:vMerge w:val="continue"/>
            <w:shd w:val="clear" w:color="auto" w:fill="E2E2E2"/>
          </w:tcPr>
          <w:p>
            <w:pPr>
              <w:spacing w:after="0"/>
              <w:rPr>
                <w:sz w:val="10"/>
                <w:szCs w:val="10"/>
                <w:color w:val="auto"/>
              </w:rPr>
            </w:pPr>
          </w:p>
        </w:tc>
        <w:tc>
          <w:tcPr>
            <w:tcW w:w="100" w:type="dxa"/>
            <w:vAlign w:val="bottom"/>
            <w:shd w:val="clear" w:color="auto" w:fill="E2E2E2"/>
          </w:tcPr>
          <w:p>
            <w:pPr>
              <w:spacing w:after="0"/>
              <w:rPr>
                <w:sz w:val="10"/>
                <w:szCs w:val="10"/>
                <w:color w:val="auto"/>
              </w:rPr>
            </w:pPr>
          </w:p>
        </w:tc>
        <w:tc>
          <w:tcPr>
            <w:tcW w:w="2640" w:type="dxa"/>
            <w:vAlign w:val="bottom"/>
            <w:vMerge w:val="continue"/>
            <w:shd w:val="clear" w:color="auto" w:fill="E2E2E2"/>
          </w:tcPr>
          <w:p>
            <w:pPr>
              <w:spacing w:after="0"/>
              <w:rPr>
                <w:sz w:val="10"/>
                <w:szCs w:val="10"/>
                <w:color w:val="auto"/>
              </w:rPr>
            </w:pPr>
          </w:p>
        </w:tc>
        <w:tc>
          <w:tcPr>
            <w:tcW w:w="120" w:type="dxa"/>
            <w:vAlign w:val="bottom"/>
            <w:shd w:val="clear" w:color="auto" w:fill="E2E2E2"/>
          </w:tcPr>
          <w:p>
            <w:pPr>
              <w:spacing w:after="0"/>
              <w:rPr>
                <w:sz w:val="10"/>
                <w:szCs w:val="10"/>
                <w:color w:val="auto"/>
              </w:rPr>
            </w:pPr>
          </w:p>
        </w:tc>
        <w:tc>
          <w:tcPr>
            <w:tcW w:w="2640" w:type="dxa"/>
            <w:vAlign w:val="bottom"/>
            <w:vMerge w:val="restart"/>
            <w:shd w:val="clear" w:color="auto" w:fill="E2E2E2"/>
          </w:tcPr>
          <w:p>
            <w:pPr>
              <w:spacing w:after="0"/>
              <w:rPr>
                <w:sz w:val="20"/>
                <w:szCs w:val="20"/>
                <w:color w:val="auto"/>
              </w:rPr>
            </w:pPr>
            <w:r>
              <w:rPr>
                <w:rFonts w:ascii="Times New Roman" w:cs="Times New Roman" w:eastAsia="Times New Roman" w:hAnsi="Times New Roman"/>
                <w:sz w:val="20"/>
                <w:szCs w:val="20"/>
                <w:color w:val="auto"/>
              </w:rPr>
              <w:t>feet</w:t>
            </w:r>
          </w:p>
        </w:tc>
        <w:tc>
          <w:tcPr>
            <w:tcW w:w="120" w:type="dxa"/>
            <w:vAlign w:val="bottom"/>
            <w:shd w:val="clear" w:color="auto" w:fill="E2E2E2"/>
          </w:tcPr>
          <w:p>
            <w:pPr>
              <w:spacing w:after="0"/>
              <w:rPr>
                <w:sz w:val="10"/>
                <w:szCs w:val="10"/>
                <w:color w:val="auto"/>
              </w:rPr>
            </w:pPr>
          </w:p>
        </w:tc>
        <w:tc>
          <w:tcPr>
            <w:tcW w:w="2520" w:type="dxa"/>
            <w:vAlign w:val="bottom"/>
            <w:vMerge w:val="continue"/>
            <w:shd w:val="clear" w:color="auto" w:fill="E2E2E2"/>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60" w:type="dxa"/>
            <w:vAlign w:val="bottom"/>
            <w:shd w:val="clear" w:color="auto" w:fill="E2E2E2"/>
          </w:tcPr>
          <w:p>
            <w:pPr>
              <w:spacing w:after="0"/>
              <w:rPr>
                <w:sz w:val="13"/>
                <w:szCs w:val="13"/>
                <w:color w:val="auto"/>
              </w:rPr>
            </w:pPr>
          </w:p>
        </w:tc>
        <w:tc>
          <w:tcPr>
            <w:tcW w:w="100" w:type="dxa"/>
            <w:vAlign w:val="bottom"/>
            <w:shd w:val="clear" w:color="auto" w:fill="E2E2E2"/>
          </w:tcPr>
          <w:p>
            <w:pPr>
              <w:spacing w:after="0"/>
              <w:rPr>
                <w:sz w:val="13"/>
                <w:szCs w:val="13"/>
                <w:color w:val="auto"/>
              </w:rPr>
            </w:pPr>
          </w:p>
        </w:tc>
        <w:tc>
          <w:tcPr>
            <w:tcW w:w="2640" w:type="dxa"/>
            <w:vAlign w:val="bottom"/>
            <w:vMerge w:val="restart"/>
            <w:shd w:val="clear" w:color="auto" w:fill="E2E2E2"/>
          </w:tcPr>
          <w:p>
            <w:pPr>
              <w:spacing w:after="0"/>
              <w:rPr>
                <w:sz w:val="20"/>
                <w:szCs w:val="20"/>
                <w:color w:val="auto"/>
              </w:rPr>
            </w:pPr>
            <w:r>
              <w:rPr>
                <w:rFonts w:ascii="Times New Roman" w:cs="Times New Roman" w:eastAsia="Times New Roman" w:hAnsi="Times New Roman"/>
                <w:sz w:val="20"/>
                <w:szCs w:val="20"/>
                <w:color w:val="auto"/>
              </w:rPr>
              <w:t>Administrative</w:t>
            </w:r>
          </w:p>
        </w:tc>
        <w:tc>
          <w:tcPr>
            <w:tcW w:w="120" w:type="dxa"/>
            <w:vAlign w:val="bottom"/>
            <w:shd w:val="clear" w:color="auto" w:fill="E2E2E2"/>
          </w:tcPr>
          <w:p>
            <w:pPr>
              <w:spacing w:after="0"/>
              <w:rPr>
                <w:sz w:val="13"/>
                <w:szCs w:val="13"/>
                <w:color w:val="auto"/>
              </w:rPr>
            </w:pPr>
          </w:p>
        </w:tc>
        <w:tc>
          <w:tcPr>
            <w:tcW w:w="2640" w:type="dxa"/>
            <w:vAlign w:val="bottom"/>
            <w:vMerge w:val="continue"/>
            <w:shd w:val="clear" w:color="auto" w:fill="E2E2E2"/>
          </w:tcPr>
          <w:p>
            <w:pPr>
              <w:spacing w:after="0"/>
              <w:rPr>
                <w:sz w:val="13"/>
                <w:szCs w:val="13"/>
                <w:color w:val="auto"/>
              </w:rPr>
            </w:pPr>
          </w:p>
        </w:tc>
        <w:tc>
          <w:tcPr>
            <w:tcW w:w="120" w:type="dxa"/>
            <w:vAlign w:val="bottom"/>
            <w:shd w:val="clear" w:color="auto" w:fill="E2E2E2"/>
          </w:tcPr>
          <w:p>
            <w:pPr>
              <w:spacing w:after="0"/>
              <w:rPr>
                <w:sz w:val="13"/>
                <w:szCs w:val="13"/>
                <w:color w:val="auto"/>
              </w:rPr>
            </w:pPr>
          </w:p>
        </w:tc>
        <w:tc>
          <w:tcPr>
            <w:tcW w:w="2520" w:type="dxa"/>
            <w:vAlign w:val="bottom"/>
            <w:shd w:val="clear" w:color="auto" w:fill="E2E2E2"/>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660" w:type="dxa"/>
            <w:vAlign w:val="bottom"/>
            <w:shd w:val="clear" w:color="auto" w:fill="E2E2E2"/>
          </w:tcPr>
          <w:p>
            <w:pPr>
              <w:spacing w:after="0"/>
              <w:rPr>
                <w:sz w:val="8"/>
                <w:szCs w:val="8"/>
                <w:color w:val="auto"/>
              </w:rPr>
            </w:pPr>
          </w:p>
        </w:tc>
        <w:tc>
          <w:tcPr>
            <w:tcW w:w="100" w:type="dxa"/>
            <w:vAlign w:val="bottom"/>
            <w:shd w:val="clear" w:color="auto" w:fill="E2E2E2"/>
          </w:tcPr>
          <w:p>
            <w:pPr>
              <w:spacing w:after="0"/>
              <w:rPr>
                <w:sz w:val="8"/>
                <w:szCs w:val="8"/>
                <w:color w:val="auto"/>
              </w:rPr>
            </w:pPr>
          </w:p>
        </w:tc>
        <w:tc>
          <w:tcPr>
            <w:tcW w:w="2640" w:type="dxa"/>
            <w:vAlign w:val="bottom"/>
            <w:vMerge w:val="continue"/>
            <w:shd w:val="clear" w:color="auto" w:fill="E2E2E2"/>
          </w:tcPr>
          <w:p>
            <w:pPr>
              <w:spacing w:after="0"/>
              <w:rPr>
                <w:sz w:val="8"/>
                <w:szCs w:val="8"/>
                <w:color w:val="auto"/>
              </w:rPr>
            </w:pPr>
          </w:p>
        </w:tc>
        <w:tc>
          <w:tcPr>
            <w:tcW w:w="120" w:type="dxa"/>
            <w:vAlign w:val="bottom"/>
            <w:shd w:val="clear" w:color="auto" w:fill="E2E2E2"/>
          </w:tcPr>
          <w:p>
            <w:pPr>
              <w:spacing w:after="0"/>
              <w:rPr>
                <w:sz w:val="8"/>
                <w:szCs w:val="8"/>
                <w:color w:val="auto"/>
              </w:rPr>
            </w:pPr>
          </w:p>
        </w:tc>
        <w:tc>
          <w:tcPr>
            <w:tcW w:w="2640" w:type="dxa"/>
            <w:vAlign w:val="bottom"/>
            <w:shd w:val="clear" w:color="auto" w:fill="E2E2E2"/>
          </w:tcPr>
          <w:p>
            <w:pPr>
              <w:spacing w:after="0"/>
              <w:rPr>
                <w:sz w:val="8"/>
                <w:szCs w:val="8"/>
                <w:color w:val="auto"/>
              </w:rPr>
            </w:pPr>
          </w:p>
        </w:tc>
        <w:tc>
          <w:tcPr>
            <w:tcW w:w="120" w:type="dxa"/>
            <w:vAlign w:val="bottom"/>
            <w:shd w:val="clear" w:color="auto" w:fill="E2E2E2"/>
          </w:tcPr>
          <w:p>
            <w:pPr>
              <w:spacing w:after="0"/>
              <w:rPr>
                <w:sz w:val="8"/>
                <w:szCs w:val="8"/>
                <w:color w:val="auto"/>
              </w:rPr>
            </w:pPr>
          </w:p>
        </w:tc>
        <w:tc>
          <w:tcPr>
            <w:tcW w:w="2520" w:type="dxa"/>
            <w:vAlign w:val="bottom"/>
            <w:shd w:val="clear" w:color="auto" w:fill="E2E2E2"/>
          </w:tcPr>
          <w:p>
            <w:pPr>
              <w:spacing w:after="0"/>
              <w:rPr>
                <w:sz w:val="8"/>
                <w:szCs w:val="8"/>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We also lease design and applications support centers in the Americas, Asia and Europe. Our decision to open and maintain additional design centers is based on several factors, including the ability to employ talented engineers at efficient costs and to better serve our local customer base.</w:t>
      </w:r>
    </w:p>
    <w:p>
      <w:pPr>
        <w:spacing w:after="0" w:line="68"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Our manufacturing strategy consists of a combined internal and external sourcing strategy. This approach enhances security of supply by providing capacity throughout the manufacturing process and has enabled us to reduce capital requirements and reduce fixed costs, access additional capacity during periods of high demand and establish wafer process technology collaborations.</w:t>
      </w:r>
    </w:p>
    <w:p>
      <w:pPr>
        <w:spacing w:after="0" w:line="68"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We have a fabless business model that provides us with enhanced security of supply and manufacturing flexibility. Our primary fab partners currently include UMC, PSL, Tower and TSMC. We have master service agreements with all primary foundry partners, and we have also engaged in long-term supply agreements with some of our foundry partners.</w:t>
      </w:r>
    </w:p>
    <w:p>
      <w:pPr>
        <w:spacing w:after="0" w:line="68"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AMPI is our primary internal assembly and testing facility for our sensor and power products, with packaging capabilities and quality standards that meet stringent automotive safety and reliability specification requirements. We also supplement AMPI’s assembly capabilities with subcontractors throughout Asia, and approximately 51%, 45% and 47% of our assembly was outsourced in fiscal years 2026, 2025 and 2024, respectively. We continue to make progress expanding our regional manufacturing capabilities in Asia. During fiscal year 2026, we began shipping to regional customers from additional OSAT partners in Asia.</w:t>
      </w:r>
    </w:p>
    <w:p>
      <w:pPr>
        <w:spacing w:after="0" w:line="77"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While our principal test operations are performed at AMPI, additional test capabilities are available at our Manchester, New Hampshire facility, and a small portion of testing is outsourced, including the addition of OSAT partners in Asia as part of our regional manufacturing strategy.</w:t>
      </w:r>
    </w:p>
    <w:p>
      <w:pPr>
        <w:spacing w:after="0" w:line="68" w:lineRule="exact"/>
        <w:rPr>
          <w:sz w:val="20"/>
          <w:szCs w:val="20"/>
          <w:color w:val="auto"/>
        </w:rPr>
      </w:pPr>
    </w:p>
    <w:p>
      <w:pPr>
        <w:jc w:val="both"/>
        <w:ind w:firstLine="547"/>
        <w:spacing w:after="0" w:line="246" w:lineRule="auto"/>
        <w:rPr>
          <w:sz w:val="20"/>
          <w:szCs w:val="20"/>
          <w:color w:val="auto"/>
        </w:rPr>
      </w:pPr>
      <w:r>
        <w:rPr>
          <w:rFonts w:ascii="Times New Roman" w:cs="Times New Roman" w:eastAsia="Times New Roman" w:hAnsi="Times New Roman"/>
          <w:sz w:val="20"/>
          <w:szCs w:val="20"/>
          <w:color w:val="auto"/>
        </w:rPr>
        <w:t>We are committed to manufacturing products of the highest quality and performance. We strive to have a “zero-defect” quality culture focused on meeting or exceeding demanding high-temperature automotive quality standards. We strive to comply with industry standards such as IATF 16949:2016 (the automotive sector-specific quality management system standard) and ISO 14001 (a voluntary standard for environmental management published by the International Standards Organization), and we also strive to comply with ISO 26262 ASIL product development standards, RoHS and similar environmental product requirements. Leading global automotive, industrial, and consumer manufacturers regularly audit our facilities for compliance with these standards, as well as with their own customer-specific standards.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4"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From time to time, we may be involved in claims, regulatory examinations or investigations and legal proceedings arising in the ordinary course of our business. The outcome of any such claims or proceedings, regardless of the merits, and the Company’s ultimate liability, if any, is inherently uncertain. These claims, even if not meritorious, could result in the expenditure of significant financial and managerial resources.</w:t>
      </w:r>
    </w:p>
    <w:p>
      <w:pPr>
        <w:spacing w:after="0" w:line="74"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We are not currently party to any material legal proceedings, and we are not aware of any pending or threatened legal proceeding against us that we believe could have a material adverse effect on our business, operating results, cash flows or financial condition.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800"/>
          </w:cols>
          <w:pgMar w:left="720" w:top="926" w:right="720" w:bottom="175"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24"/>
          <w:szCs w:val="24"/>
          <w:b w:val="1"/>
          <w:bCs w:val="1"/>
          <w:color w:val="auto"/>
        </w:rPr>
        <w:t>PART II</w:t>
      </w:r>
    </w:p>
    <w:p>
      <w:pPr>
        <w:spacing w:after="0" w:line="244" w:lineRule="exact"/>
        <w:rPr>
          <w:sz w:val="20"/>
          <w:szCs w:val="20"/>
          <w:color w:val="auto"/>
        </w:rPr>
      </w:pPr>
    </w:p>
    <w:p>
      <w:pPr>
        <w:ind w:right="440"/>
        <w:spacing w:after="0" w:line="367"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Our common stock is listed on the Nasdaq Global Select Market under the symbol “ALGM.” As of May 18, 2026, there were 186,222,406 shares of our common stock held by approximately 6 holders of record, which does not include beneficial owners of common stock whose shares are held in the names of various securities brokers, dealers and registered clearing agencies.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2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We currently intend to retain all available funds and any future earnings to fund the development and growth of our business and the repayment of outstanding debt. Therefore, we do not anticipate declaring or paying any cash dividends on our common stock in the foreseeable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24"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The following Stock Price Performance Graph and related information include comparisons required by the SEC. The graph does not constitute “soliciting material” and should not be deemed “filed” or incorporated by reference into any other filings under the Securities Act of 1933, as amended, or the Exchange Act, except to the extent we specifically incorporate this information by reference into such filing.</w:t>
      </w:r>
    </w:p>
    <w:p>
      <w:pPr>
        <w:spacing w:after="0" w:line="74"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The following line graph compares, for the past five years, the cumulative total stockholder returns for our common stock, the Nasdaq Composite Index and the Philadelphia Semiconductor Index, and assumes reinvestment of any dividends. The stockholder return in the graph below is not necessarily indicative of, nor is it intended to forecast, the potential future performance of our common stock, and we do not make or endorse any predictions as to future stockholder returns. We selected these comparative groups due to industry similarities and the fact that they include several direct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808990</wp:posOffset>
            </wp:positionH>
            <wp:positionV relativeFrom="paragraph">
              <wp:posOffset>159385</wp:posOffset>
            </wp:positionV>
            <wp:extent cx="5237480" cy="3101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extLst>
                    </a:blip>
                    <a:srcRect/>
                    <a:stretch>
                      <a:fillRect/>
                    </a:stretch>
                  </pic:blipFill>
                  <pic:spPr bwMode="auto">
                    <a:xfrm>
                      <a:off x="0" y="0"/>
                      <a:ext cx="5237480" cy="310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88"/>
              <w:spacing w:after="0"/>
              <w:rPr>
                <w:sz w:val="20"/>
                <w:szCs w:val="20"/>
                <w:color w:val="auto"/>
              </w:rPr>
            </w:pPr>
            <w:r>
              <w:rPr>
                <w:rFonts w:ascii="Times New Roman" w:cs="Times New Roman" w:eastAsia="Times New Roman" w:hAnsi="Times New Roman"/>
                <w:sz w:val="16"/>
                <w:szCs w:val="16"/>
                <w:b w:val="1"/>
                <w:bCs w:val="1"/>
                <w:color w:val="auto"/>
                <w:w w:val="99"/>
              </w:rPr>
              <w:t>March 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w w:val="99"/>
              </w:rPr>
              <w:t>March 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March 27,</w:t>
            </w:r>
          </w:p>
        </w:tc>
      </w:tr>
      <w:tr>
        <w:trPr>
          <w:trHeight w:val="203"/>
        </w:trPr>
        <w:tc>
          <w:tcPr>
            <w:tcW w:w="3520" w:type="dxa"/>
            <w:vAlign w:val="bottom"/>
            <w:tcBorders>
              <w:bottom w:val="single" w:sz="8" w:color="E2E2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E2E2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E2E2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E2E2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E2E2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E2E2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39"/>
        </w:trPr>
        <w:tc>
          <w:tcPr>
            <w:tcW w:w="35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Allegro MicroSystems, Inc.</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2E2E2"/>
          </w:tcPr>
          <w:p>
            <w:pPr>
              <w:jc w:val="right"/>
              <w:ind w:right="28"/>
              <w:spacing w:after="0"/>
              <w:rPr>
                <w:sz w:val="20"/>
                <w:szCs w:val="20"/>
                <w:color w:val="auto"/>
              </w:rPr>
            </w:pPr>
            <w:r>
              <w:rPr>
                <w:rFonts w:ascii="Times New Roman" w:cs="Times New Roman" w:eastAsia="Times New Roman" w:hAnsi="Times New Roman"/>
                <w:sz w:val="20"/>
                <w:szCs w:val="20"/>
                <w:color w:val="auto"/>
              </w:rPr>
              <w:t>100.00</w:t>
            </w:r>
          </w:p>
        </w:tc>
        <w:tc>
          <w:tcPr>
            <w:tcW w:w="100" w:type="dxa"/>
            <w:vAlign w:val="bottom"/>
            <w:shd w:val="clear" w:color="auto" w:fill="E2E2E2"/>
          </w:tcPr>
          <w:p>
            <w:pPr>
              <w:spacing w:after="0"/>
              <w:rPr>
                <w:sz w:val="20"/>
                <w:szCs w:val="20"/>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E2E2E2"/>
          </w:tcPr>
          <w:p>
            <w:pPr>
              <w:jc w:val="right"/>
              <w:ind w:right="8"/>
              <w:spacing w:after="0"/>
              <w:rPr>
                <w:sz w:val="20"/>
                <w:szCs w:val="20"/>
                <w:color w:val="auto"/>
              </w:rPr>
            </w:pPr>
            <w:r>
              <w:rPr>
                <w:rFonts w:ascii="Times New Roman" w:cs="Times New Roman" w:eastAsia="Times New Roman" w:hAnsi="Times New Roman"/>
                <w:sz w:val="20"/>
                <w:szCs w:val="20"/>
                <w:color w:val="auto"/>
              </w:rPr>
              <w:t>115.47</w:t>
            </w:r>
          </w:p>
        </w:tc>
        <w:tc>
          <w:tcPr>
            <w:tcW w:w="120" w:type="dxa"/>
            <w:vAlign w:val="bottom"/>
            <w:shd w:val="clear" w:color="auto" w:fill="E2E2E2"/>
          </w:tcPr>
          <w:p>
            <w:pPr>
              <w:spacing w:after="0"/>
              <w:rPr>
                <w:sz w:val="20"/>
                <w:szCs w:val="20"/>
                <w:color w:val="auto"/>
              </w:rPr>
            </w:pPr>
          </w:p>
        </w:tc>
        <w:tc>
          <w:tcPr>
            <w:tcW w:w="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2E2E2"/>
          </w:tcPr>
          <w:p>
            <w:pPr>
              <w:jc w:val="right"/>
              <w:ind w:right="28"/>
              <w:spacing w:after="0"/>
              <w:rPr>
                <w:sz w:val="20"/>
                <w:szCs w:val="20"/>
                <w:color w:val="auto"/>
              </w:rPr>
            </w:pPr>
            <w:r>
              <w:rPr>
                <w:rFonts w:ascii="Times New Roman" w:cs="Times New Roman" w:eastAsia="Times New Roman" w:hAnsi="Times New Roman"/>
                <w:sz w:val="20"/>
                <w:szCs w:val="20"/>
                <w:color w:val="auto"/>
              </w:rPr>
              <w:t>189.91</w:t>
            </w:r>
          </w:p>
        </w:tc>
        <w:tc>
          <w:tcPr>
            <w:tcW w:w="120" w:type="dxa"/>
            <w:vAlign w:val="bottom"/>
            <w:shd w:val="clear" w:color="auto" w:fill="E2E2E2"/>
          </w:tcPr>
          <w:p>
            <w:pPr>
              <w:spacing w:after="0"/>
              <w:rPr>
                <w:sz w:val="20"/>
                <w:szCs w:val="20"/>
                <w:color w:val="auto"/>
              </w:rPr>
            </w:pPr>
          </w:p>
        </w:tc>
        <w:tc>
          <w:tcPr>
            <w:tcW w:w="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2E2E2"/>
          </w:tcPr>
          <w:p>
            <w:pPr>
              <w:jc w:val="right"/>
              <w:ind w:right="28"/>
              <w:spacing w:after="0"/>
              <w:rPr>
                <w:sz w:val="20"/>
                <w:szCs w:val="20"/>
                <w:color w:val="auto"/>
              </w:rPr>
            </w:pPr>
            <w:r>
              <w:rPr>
                <w:rFonts w:ascii="Times New Roman" w:cs="Times New Roman" w:eastAsia="Times New Roman" w:hAnsi="Times New Roman"/>
                <w:sz w:val="20"/>
                <w:szCs w:val="20"/>
                <w:color w:val="auto"/>
              </w:rPr>
              <w:t>106.69</w:t>
            </w:r>
          </w:p>
        </w:tc>
        <w:tc>
          <w:tcPr>
            <w:tcW w:w="120" w:type="dxa"/>
            <w:vAlign w:val="bottom"/>
            <w:shd w:val="clear" w:color="auto" w:fill="E2E2E2"/>
          </w:tcPr>
          <w:p>
            <w:pPr>
              <w:spacing w:after="0"/>
              <w:rPr>
                <w:sz w:val="20"/>
                <w:szCs w:val="20"/>
                <w:color w:val="auto"/>
              </w:rPr>
            </w:pPr>
          </w:p>
        </w:tc>
        <w:tc>
          <w:tcPr>
            <w:tcW w:w="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2E2E2"/>
          </w:tcPr>
          <w:p>
            <w:pPr>
              <w:jc w:val="right"/>
              <w:ind w:right="28"/>
              <w:spacing w:after="0"/>
              <w:rPr>
                <w:sz w:val="20"/>
                <w:szCs w:val="20"/>
                <w:color w:val="auto"/>
              </w:rPr>
            </w:pPr>
            <w:r>
              <w:rPr>
                <w:rFonts w:ascii="Times New Roman" w:cs="Times New Roman" w:eastAsia="Times New Roman" w:hAnsi="Times New Roman"/>
                <w:sz w:val="20"/>
                <w:szCs w:val="20"/>
                <w:color w:val="auto"/>
              </w:rPr>
              <w:t>98.38</w:t>
            </w:r>
          </w:p>
        </w:tc>
        <w:tc>
          <w:tcPr>
            <w:tcW w:w="120" w:type="dxa"/>
            <w:vAlign w:val="bottom"/>
            <w:shd w:val="clear" w:color="auto" w:fill="E2E2E2"/>
          </w:tcPr>
          <w:p>
            <w:pPr>
              <w:spacing w:after="0"/>
              <w:rPr>
                <w:sz w:val="20"/>
                <w:szCs w:val="20"/>
                <w:color w:val="auto"/>
              </w:rPr>
            </w:pPr>
          </w:p>
        </w:tc>
        <w:tc>
          <w:tcPr>
            <w:tcW w:w="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2E2E2"/>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shd w:val="clear" w:color="auto" w:fill="E2E2E2"/>
              </w:rPr>
              <w:t>119.19</w:t>
            </w:r>
          </w:p>
        </w:tc>
      </w:tr>
      <w:tr>
        <w:trPr>
          <w:trHeight w:val="244"/>
        </w:trPr>
        <w:tc>
          <w:tcPr>
            <w:tcW w:w="3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Nasdaq Composite Index</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100.00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107.84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93.02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124.67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131.85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159.44</w:t>
            </w:r>
          </w:p>
        </w:tc>
      </w:tr>
      <w:tr>
        <w:trPr>
          <w:trHeight w:val="244"/>
        </w:trPr>
        <w:tc>
          <w:tcPr>
            <w:tcW w:w="35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Philadelphia Semiconductor Index</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2E2E2"/>
          </w:tcPr>
          <w:p>
            <w:pPr>
              <w:jc w:val="right"/>
              <w:ind w:right="28"/>
              <w:spacing w:after="0"/>
              <w:rPr>
                <w:sz w:val="20"/>
                <w:szCs w:val="20"/>
                <w:color w:val="auto"/>
              </w:rPr>
            </w:pPr>
            <w:r>
              <w:rPr>
                <w:rFonts w:ascii="Times New Roman" w:cs="Times New Roman" w:eastAsia="Times New Roman" w:hAnsi="Times New Roman"/>
                <w:sz w:val="20"/>
                <w:szCs w:val="20"/>
                <w:color w:val="auto"/>
              </w:rPr>
              <w:t>100.00</w:t>
            </w:r>
          </w:p>
        </w:tc>
        <w:tc>
          <w:tcPr>
            <w:tcW w:w="2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2E2E2"/>
          </w:tcPr>
          <w:p>
            <w:pPr>
              <w:jc w:val="right"/>
              <w:ind w:right="8"/>
              <w:spacing w:after="0"/>
              <w:rPr>
                <w:sz w:val="20"/>
                <w:szCs w:val="20"/>
                <w:color w:val="auto"/>
              </w:rPr>
            </w:pPr>
            <w:r>
              <w:rPr>
                <w:rFonts w:ascii="Times New Roman" w:cs="Times New Roman" w:eastAsia="Times New Roman" w:hAnsi="Times New Roman"/>
                <w:sz w:val="20"/>
                <w:szCs w:val="20"/>
                <w:color w:val="auto"/>
              </w:rPr>
              <w:t>113.49</w:t>
            </w:r>
          </w:p>
        </w:tc>
        <w:tc>
          <w:tcPr>
            <w:tcW w:w="2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ind w:right="28"/>
              <w:spacing w:after="0"/>
              <w:rPr>
                <w:sz w:val="20"/>
                <w:szCs w:val="20"/>
                <w:color w:val="auto"/>
              </w:rPr>
            </w:pPr>
            <w:r>
              <w:rPr>
                <w:rFonts w:ascii="Times New Roman" w:cs="Times New Roman" w:eastAsia="Times New Roman" w:hAnsi="Times New Roman"/>
                <w:sz w:val="20"/>
                <w:szCs w:val="20"/>
                <w:color w:val="auto"/>
              </w:rPr>
              <w:t>104.01</w:t>
            </w:r>
          </w:p>
        </w:tc>
        <w:tc>
          <w:tcPr>
            <w:tcW w:w="2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ind w:right="28"/>
              <w:spacing w:after="0"/>
              <w:rPr>
                <w:sz w:val="20"/>
                <w:szCs w:val="20"/>
                <w:color w:val="auto"/>
              </w:rPr>
            </w:pPr>
            <w:r>
              <w:rPr>
                <w:rFonts w:ascii="Times New Roman" w:cs="Times New Roman" w:eastAsia="Times New Roman" w:hAnsi="Times New Roman"/>
                <w:sz w:val="20"/>
                <w:szCs w:val="20"/>
                <w:color w:val="auto"/>
              </w:rPr>
              <w:t>157.91</w:t>
            </w:r>
          </w:p>
        </w:tc>
        <w:tc>
          <w:tcPr>
            <w:tcW w:w="2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ind w:right="28"/>
              <w:spacing w:after="0"/>
              <w:rPr>
                <w:sz w:val="20"/>
                <w:szCs w:val="20"/>
                <w:color w:val="auto"/>
              </w:rPr>
            </w:pPr>
            <w:r>
              <w:rPr>
                <w:rFonts w:ascii="Times New Roman" w:cs="Times New Roman" w:eastAsia="Times New Roman" w:hAnsi="Times New Roman"/>
                <w:sz w:val="20"/>
                <w:szCs w:val="20"/>
                <w:color w:val="auto"/>
              </w:rPr>
              <w:t>137.94</w:t>
            </w:r>
          </w:p>
        </w:tc>
        <w:tc>
          <w:tcPr>
            <w:tcW w:w="2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240.08</w:t>
            </w: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 and Use of Proceeds</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800"/>
          </w:cols>
          <w:pgMar w:left="720" w:top="92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800"/>
          </w:cols>
          <w:pgMar w:left="720" w:top="922" w:right="720" w:bottom="175"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9"/>
          <w:szCs w:val="19"/>
          <w:b w:val="1"/>
          <w:bCs w:val="1"/>
          <w:color w:val="auto"/>
        </w:rPr>
        <w:t>Use of Proceeds from Registered Securities</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080"/>
          </w:cols>
          <w:pgMar w:left="720" w:top="92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080"/>
          </w:cols>
          <w:pgMar w:left="720" w:top="926" w:right="1440" w:bottom="175"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24"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The following discussion and analysis of our financial condition and results of operations should be read in conjunction with our consolidated financial statements and related notes and other information included elsewhere in this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“Risk Factors” and “Forward-Looking Statements” included elsewhere in this Annual Report. Additionally, our historical results are not necessarily indicative of the results that may be expected for any period in the future.</w:t>
      </w:r>
    </w:p>
    <w:p>
      <w:pPr>
        <w:spacing w:after="0" w:line="82"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We operate on a 52- or 53-week fiscal year ending on the last Friday of March. Each fiscal quarter has 13 weeks, except in a 53-week year, when the fourth fiscal quarter has 14 weeks. All references to “2026,” “fiscal year 2026” or similar references relate to the 52-week period ended March 27, 2026. All references to “2025,” “fiscal year 2025” or similar references relate to the 52-week period ended March 28, 2025.</w:t>
      </w:r>
    </w:p>
    <w:p>
      <w:pPr>
        <w:spacing w:after="0" w:line="74"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This section discusses items pertaining to and comparisons of financial results between 2026 and 2025. A discussion of 2024 items and comparisons between 2025 and 2024 financial results can be found in “Management’s Discussion and Analysis of Financial Condition and Results of Operations” in Part II, Item 7. of the Company’s Annual Report on Form 10-K for the fiscal year ended March 28, 2025, filed with the SEC on May 22, 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Allegro MicroSystems, Inc. is a global leader in the design, development, and marketing of sensor ICs and application-specific power ICs, that enable the sensing, motion control, and power management functions of complex electromechanical or power conversion systems. We primarily serve automotive and industrial markets, including advanced industrial markets such as AI data centers, robotics, and energy infrastructure, where our solutions enable customers to sense, move, and manage power with efficiency, precision, and reliability.</w:t>
      </w:r>
    </w:p>
    <w:p>
      <w:pPr>
        <w:spacing w:after="0" w:line="77"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Our sensor ICs provide critical feedback for motion, position, speed, and electrical current sensing, while our power ICs control motors and manage power conversion and regulation across a wide range of applications. By embedding system-level intelligence directly into our products, we reduce the number of components required in a customer’s design while improving performance, energy efficiency, safety, and reliability. We believe our deep application knowledge, differentiated technology, and strong customer relationships enable us to deliver solutions that are more integrated, intelligent, and efficient than typical ICs.</w:t>
      </w:r>
    </w:p>
    <w:p>
      <w:pPr>
        <w:spacing w:after="0" w:line="77"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We are headquartered in Manchester, New Hampshire and have a global footprint with 27 locations across four continents. Our portfolio includes more than 1,500 products, and we ship approximately 2.1 billion units annually to more than 15,000 customers worldwide. During fiscal years 2026 and 2025, we generated $890.1 million and $725.0 million in total net sales, respectively, with $14.7 million and $72.8 million in net loss, respectively.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Initiatives to Improve Results of Operations</w:t>
      </w:r>
    </w:p>
    <w:p>
      <w:pPr>
        <w:spacing w:after="0" w:line="124"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We implemented several initiatives during fiscal years 2025 and 2026 that were designed to improve our operating results during those fiscal years and going forward.</w:t>
      </w:r>
    </w:p>
    <w:p>
      <w:pPr>
        <w:spacing w:after="0" w:line="49"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We continue our efforts to leverage our fixed costs and operating margin improvements. Efficiencies may be achieved through cost structure improvements, streamlining of manufacturing and support processes, and further utilization of existing capacity. These manufacturing efficiencies may allow us to leverage higher volumes when demand increases across most of our applications, which would increase the absorption of our fixed costs. Although these initiatives can result in gross margin and operating income improvements, we cannot ensure that these trends will occur or continue over the long-term.</w:t>
      </w:r>
    </w:p>
    <w:p>
      <w:pPr>
        <w:spacing w:after="0" w:line="77"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On July 23, 2024, we entered into a share repurchase agreement with Sanken (the “Share Repurchase Agreement”) pursuant to which we agreed to repurchase 38,767,315 shares of our common stock from Sanken in a privately negotiated transaction at a price per share equal to the price per share at which the underwriters in a public underwritten equity offering of shares of our common stock would purchase the shares (the “Equity Offering”). The repurchase of shares of common stock occurred in two separate closings, with the first closing taking place after the closing of the Equity Offering (the “First Closing”) and the second closing (the “Second Closing”) occurring after the receipt of the proceeds from borrowings under the Refinanced 2023 Term Loan Facility (as defined below). The First Closing of the share repurchase was conditioned upon the closing of the Equity Offering and certain other conditions, and the Second Closing of the share repurchase was conditioned upon the receipt of net proceeds of no less than $300.0 million from incremental term loans under the Refinanced 2023 Term Loan Facility. Pursuant to the terms of the Share Repurchase Agreement, Sanken reimbursed us for the expenses incurred by us in connection with the transactions contemplated by the Share</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800"/>
          </w:cols>
          <w:pgMar w:left="720" w:top="926" w:right="720" w:bottom="175" w:gutter="0" w:footer="0" w:header="0"/>
          <w:type w:val="continuous"/>
        </w:sectPr>
      </w:pPr>
    </w:p>
    <w:bookmarkStart w:id="44" w:name="page45"/>
    <w:bookmarkEnd w:id="44"/>
    <w:p>
      <w:pPr>
        <w:jc w:val="both"/>
        <w:spacing w:after="0" w:line="277" w:lineRule="auto"/>
        <w:rPr>
          <w:sz w:val="20"/>
          <w:szCs w:val="20"/>
          <w:color w:val="auto"/>
        </w:rPr>
      </w:pPr>
      <w:r>
        <w:rPr>
          <w:rFonts w:ascii="Times New Roman" w:cs="Times New Roman" w:eastAsia="Times New Roman" w:hAnsi="Times New Roman"/>
          <w:sz w:val="20"/>
          <w:szCs w:val="20"/>
          <w:color w:val="auto"/>
        </w:rPr>
        <w:t>Repurchase Agreement, and paid a facilitation fee of $35.0 million, which was recorded within additional paid-in-capital with the consolidated statements of changes in equity.</w:t>
      </w:r>
    </w:p>
    <w:p>
      <w:pPr>
        <w:spacing w:after="0" w:line="49"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To fund the First Closing, we entered into an underwriting agreement (the “Underwriting Agreement”) with Barclays Capital Inc. and Morgan Stanley &amp; Co. LLC, as representatives of the several underwriters (the “Underwriters”), on July 24, 2024, pursuant to which we agreed to sell 25,000,000 shares of our common stock to the Underwriters at a price of $23.16 per share. Under the terms of the Underwriting Agreement, we granted the Underwriters a 30-day option to purchase up to an additional 3,750,000 shares of our common stock at the same purchase price, which option was exercised in full prior to the closing of the Equity Offering.</w:t>
      </w:r>
    </w:p>
    <w:p>
      <w:pPr>
        <w:spacing w:after="0" w:line="77"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On July 26, 2024, we completed the Equity Offering pursuant to the Underwriting Agreement of 28,750,000 shares of our common stock at a public offering price of $24.00 per share resulting in net proceeds to us of approximately $665.9 million, after deducting $24.2 million of underwriting discounts. As described above, we used the net proceeds of the Equity Offering to complete the First Closing under the Share Repurchase Agreement.</w:t>
      </w:r>
    </w:p>
    <w:p>
      <w:pPr>
        <w:spacing w:after="0" w:line="74"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On July 29, 2024, we completed the First Closing under the Share Repurchase Agreement, repurchasing 28,750,000 shares of our common stock for aggregate consideration of $628.3 million, which was the Equity Offering price, less the facilitation fee of $35.0 million, underwriting discounts, and reimbursable transaction expenses. The shares repurchased in the First Closing were retired.</w:t>
      </w:r>
    </w:p>
    <w:p>
      <w:pPr>
        <w:spacing w:after="0" w:line="74"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On August 6, 2024, we entered into Amendment No. 2 (the “Second Amendment”) to the revolving facility credit agreement dated June 21, 2023 by and among the Company, the Company’s wholly owned subsidiary Allegro MicroSystems, LLC (“AML”) Morgan Stanley Senior Funding, Inc., as administrative agent, collateral agent, a letter of credit issuer and a lender, and the other agents, lenders and letter of credit issuers parties thereto (as amended, restated, supplemented or otherwise modified, refinanced or replaced from time to time, the “2023 Revolving Credit Agreement”). The Second Amendment increased the total capacity of the revolving credit facility thereunder to $256.0 million.</w:t>
      </w:r>
    </w:p>
    <w:p>
      <w:pPr>
        <w:spacing w:after="0" w:line="80"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The Second Amendment also provided for a new $400.0 million tranche of term loans maturing in 2030 (the “Refinanced 2023 Term Loan Facility”), the proceeds of which were primarily used to (i) repurchase a portion of our common stock in connection with the Second Closing, (ii) refinance the Company’s $250.0 million term loan maturing in 2030 entered into on October 31, 2023, (iii) pay fees and expenses in connection with the foregoing and (iv) for general corporate purposes. The Refinanced 2023 Term Loan Facility amortized at a rate of 1.00% per annum. The Refinanced 2023 Term Loan Facility bore interest, at our option, at a rate equal to (i) Term SOFR (as defined in the 2023 Revolving Credit Agreement) in effect from time to time plus 2.25% or (ii) the highest of (x) the Federal funds rate, as published by the Federal Reserve Bank of New York, plus 0.50%, (y) the prime lending rate or (z) the one-month Term SOFR plus 1.0% in effect from time to time plus 1.25%. In conjunction with this refinancing, we recognized $3.6 million as a debt discount, which will be amortized to interest expense over the remaining term using the effective interest method.</w:t>
      </w:r>
    </w:p>
    <w:p>
      <w:pPr>
        <w:spacing w:after="0" w:line="86"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A payment of $25.0 million was applied to the term loan balance on October 31, 2024, which eliminated future required minimum quarterly payments.</w:t>
      </w:r>
    </w:p>
    <w:p>
      <w:pPr>
        <w:spacing w:after="0" w:line="49"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On August 7, 2024, we completed the Second Closing under the Share Repurchase Agreement, repurchasing 10,017,315 shares of our common stock for aggregate cash consideration of $ 225.5 million, which was the Equity Offering price, less underwriting discounts and reimbursable transaction expenses. We used a portion of the proceeds from the Refinanced 2023 Term Loan Facility and existing cash on hand to complete the Second Closing. The shares repurchased in the Second Closing were retired.</w:t>
      </w:r>
    </w:p>
    <w:p>
      <w:pPr>
        <w:spacing w:after="0" w:line="74"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The Share Repurchase Agreement was accounted for as a forward repurchase contract as there were certain terms that could have caused the obligation not to be fulfilled. Accordingly, the contract was initially recorded as a liability at its fair value with subsequent remeasurements recognized in loss on change in fair value of forward repurchase contract until the completion of the First Closing and Second Closing. We recognized a loss of $34.8 million as a result of the fair value forward repurchase contract in the consolidated statements of operations.</w:t>
      </w:r>
    </w:p>
    <w:p>
      <w:pPr>
        <w:spacing w:after="0" w:line="77"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In connection with the Share Repurchase Agreement, we entered into a Second Amended and Restated Stockholders Agreement with Sanken (the “Second Amended and Restated Stockholders Agreement”), which amended and restated the Amended and Restated Stockholders Agreement, dated as of June 16, 2022, by and among us, Sanken and OEP SKNA, L.P. (“OEP”). The Second Amended and Restated Stockholders Agreement, which became effective in accordance with its terms on July 29, 2024, removed OEP as a party and amended certain rights and obligations of us and Sanken.</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800"/>
          </w:cols>
          <w:pgMar w:left="720" w:top="930" w:right="720" w:bottom="175" w:gutter="0" w:footer="0" w:header="0"/>
          <w:type w:val="continuous"/>
        </w:sectPr>
      </w:pPr>
    </w:p>
    <w:bookmarkStart w:id="45" w:name="page46"/>
    <w:bookmarkEnd w:id="45"/>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On September 20, 2024, we, along with Sanken, PSL, and PS Investment Aggregator, L.P. (“Subscriber”), completed the transaction (the “PSL Closing”) contemplated by a Sale and Subscription Agreement that we, Sanken, PSL and Subscriber entered into on April 25, 2024 (the “PSL Agreement” and the transaction thereunder, the “PSL Transaction”). As contemplated by the PSL Agreement, Subscriber and certain of its affiliates agreed to make capital contributions to PSL of $175.0 million in exchange for an equity interest in PSL, and we agreed to discharge the PSL Promissory Notes (as defined in Note 21, “Related Party Transactions” to the audited consolidated financial statements) held by us for a value of $ 10.4 million in exchange for PSL equity interests. Following the PSL Closing, we owned approximately 10.2% of PSL. As a result of PSL's share issuance to Subscriber, we recognized a net loss of $2.8 million related to the difference between the selling price per share and its carrying amount per share and after a gain from the conversion of the PSL Promissory Notes. The loss is included in Other income (expense), net in the consolidated statements of operations.</w:t>
      </w:r>
    </w:p>
    <w:p>
      <w:pPr>
        <w:spacing w:after="0" w:line="82"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At the PSL Closing, we, Sanken and Subscriber entered into an amended and restated limited partnership agreement (the “Limited Partnership Agreement”) with Polar Semiconductor GP I, LLC. The Limited Partnership Agreement contains representations, warranties and covenants of the parties customary for a transaction of this type, the reimbursement of expenses and costs, and restrictions on transfers. Also as contemplated by the Limited Partnership Agreement and effective upon the PSL Closing, we, Sanken and Subscriber contributed our equity interests in PSL in exchange for limited partnership interests of a newly formed Delaware limited partnership that is the ultimate parent indirectly holding all of Polar’s issued and outstanding equity units (“PSL Parent”). Immediately following the PSL Closing and associated completion of the recapitalization and reorganization transactions contemplated by the Limited Partnership Agreement, the Company’s ownership of PSL Parent was approximately 10.2%.</w:t>
      </w:r>
    </w:p>
    <w:p>
      <w:pPr>
        <w:spacing w:after="0" w:line="82"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On February 6, 2025 we entered into Amendment No. 3 (the “Third Amendment”) to the 2023 Revolving Credit Agreement. The Third Amendment provided for a new $375.0 million tranche of term loans maturing in 2030 (the “2025 Refinanced Loans”), the proceeds of which were used, in relevant part, to (i) refinance all outstanding borrowings under the Refinanced 2023 Term Loan Facility, (ii) pay fees and expenses in connection with the foregoing and (iii) for general corporate purposes. The 2025 Refinanced Loans amortized at a rate of 0.00% per annum. The 2025 Refinanced Loans bore interest, at the Company’s option, at a rate equal to</w:t>
      </w:r>
    </w:p>
    <w:p>
      <w:pPr>
        <w:spacing w:after="0" w:line="4" w:lineRule="exact"/>
        <w:rPr>
          <w:sz w:val="20"/>
          <w:szCs w:val="20"/>
          <w:color w:val="auto"/>
        </w:rPr>
      </w:pPr>
    </w:p>
    <w:p>
      <w:pPr>
        <w:jc w:val="both"/>
        <w:spacing w:after="0" w:line="241" w:lineRule="auto"/>
        <w:tabs>
          <w:tab w:leader="none" w:pos="2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 SOFR (as defined in the 2023 Revolving Credit Agreement) in effect from time to time plus 2.00% or (ii) the highest of (x) the Federal funds rate, as published by the Federal Reserve Bank of New York, plus 0.50%, (y) the prime lending rate or (z) the one-month Term SOFR plus 1.00% in effect from time to time plus 1.00%. The 2025 Refinanced Loans were scheduled to mature on October 31, 2030. In conjunction with this financing, we incurred $1.1 million in costs. Borrowings under the 2025 Refinanced Loans were collateralized by substantially all of our assets. Payments of $30.0 million, $25.0 million, $10.0 million and $25.0 million was applied to the outstanding balance of the 2025 Refinanced Loans on February 28, 2025, April 30, 2025, May 30, 2025 and July 31, 2025, respectively.</w:t>
      </w:r>
    </w:p>
    <w:p>
      <w:pPr>
        <w:spacing w:after="0" w:line="85"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In January 2025, we enacted a global restructuring plan that included a repositioning to high-growth and lower cost regions and consolidation of leased facilities in an effort to optimize our cost structure. In June 2025, we undertook additional facility consolidation and further workforce rebalancing as part of this plan. In connection with the restructuring plans, we incurred costs related to severance, annual incentive program and other employee-related benefits, retention incentives, accelerated amortization of right-of-use for certain leases, as well as various professional service charges. The restructuring was substantially completed during fiscal year 2026.</w:t>
      </w:r>
    </w:p>
    <w:p>
      <w:pPr>
        <w:spacing w:after="0" w:line="80" w:lineRule="exact"/>
        <w:rPr>
          <w:sz w:val="20"/>
          <w:szCs w:val="20"/>
          <w:color w:val="auto"/>
        </w:rPr>
      </w:pPr>
    </w:p>
    <w:p>
      <w:pPr>
        <w:jc w:val="both"/>
        <w:ind w:firstLine="547"/>
        <w:spacing w:after="0" w:line="246" w:lineRule="auto"/>
        <w:rPr>
          <w:sz w:val="20"/>
          <w:szCs w:val="20"/>
          <w:color w:val="auto"/>
        </w:rPr>
      </w:pPr>
      <w:r>
        <w:rPr>
          <w:rFonts w:ascii="Times New Roman" w:cs="Times New Roman" w:eastAsia="Times New Roman" w:hAnsi="Times New Roman"/>
          <w:sz w:val="20"/>
          <w:szCs w:val="20"/>
          <w:color w:val="auto"/>
        </w:rPr>
        <w:t>On January 21, 2026, we entered into Amendment No. 4 (the “Fourth Amendment”) to the 2023 Revolving Credit Agreement. The Fourth Amendment provides for a new $285.0 million tranche of term loans maturing in October 2030 (the “2026 Refinanced Loans”), the proceeds of which were used, in relevant part, to refinance all outstanding borrowing under the 2025 Refinanced Loans. The 2026 Refinanced Loans amortize at a rate of 0.00% per annum. The 2026 Refinanced Loans bear interest, at our option, at a rate equal to (i) Term SOFR in effect from time to time plus 1.75% or (ii) the highest of (x) the Federal funds rate, as published by the Federal Reserve Bank of New York, plus 0.50%, (y) the prime lending rate or (z) the one-month Term SOFR plus 1.00% in effect from time to time plus 0.75%. The 2026 Refinanced Loans will mature on October 31, 2030.</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800"/>
          </w:cols>
          <w:pgMar w:left="720" w:top="930" w:right="720" w:bottom="175"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Other Key Factors and Trends Affecting our Operating Results</w:t>
      </w:r>
    </w:p>
    <w:p>
      <w:pPr>
        <w:spacing w:after="0" w:line="124"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Our financial condition and results of operations have been, and will continue to be, affected by numerous other factors and trends, including the following: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Inflation</w:t>
      </w:r>
    </w:p>
    <w:p>
      <w:pPr>
        <w:spacing w:after="0" w:line="120"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Inflation rates in the markets in which we operate have remained elevated and may continue to rise as a result of cost increases attributable to a rise in global energy and commodity prices and global tariff policies. Inflation in recent quarters has led us to experience higher costs, including higher labor costs, wafer and other costs for materials from suppliers, and transportation and energy costs. Our suppliers have raised their prices and may continue to raise prices, and in the competitive markets in which we operate, we may not be able to make corresponding price increases to preserve our gross margins and profitability. If inflation rates continue to rise or remain elevated for a sustained period of time, they could have a material adverse effect on our business, financial condition, results of operations and liquidity. While we have attempted to offset increases in these costs through various productivity and cost reduction initiatives, as well as adjusting our selling prices and releasing new products with improved gross margins, our ability to increase our average selling prices depends on market conditions and competitive dynamics. Given the timing of our actions compared to the timing of these inflationary pressures, there may be periods during which we are unable to fully recover the increases in our costs.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Design Wins with New and Existing Customers</w:t>
      </w:r>
    </w:p>
    <w:p>
      <w:pPr>
        <w:spacing w:after="0" w:line="120"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Our end customers continually develop new products in existing and new application areas, and we work closely with our significant OEM customers in most of our target markets to understand their product roadmaps and strategies. For new products, the time from design initiation and manufacturing until we generate sales can be lengthy, typically between two and four years. As a result, our future sales are highly dependent on our continued success at winning design mandates from our customers. Further, despite current inflationary and pricing conditions, we expect the ASPs of our products to decline over time, and we consider design wins to be critical to our future success as they help mitigate declines in ASPs. We anticipate being increasingly dependent on revenue from newer design wins for our newer products. The selection process is typically lengthy and may require us to incur significant design and development expenditures in pursuit of a design win, with no assurance that our solutions will be selected. As a result, the loss of any key design win or any significant delay in the ramp-up of volume production of a customer’s products into which our product is designed could adversely affect our business. In addition, volume production is contingent upon the successful introduction and market acceptance of our customers’ end products, which may be affected by several factors beyond our control.</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Customer Demand, Orders and Forecasts</w:t>
      </w:r>
    </w:p>
    <w:p>
      <w:pPr>
        <w:spacing w:after="0" w:line="120"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Demand for our products is highly dependent on market conditions in the end markets in which our customers operate, which are generally subject to seasonality, cyclicality, tariffs and other pricing increases and competitive conditions. In addition, a substantial portion of our total net sales is derived from sales to customers that purchase large volumes of our products. These customers generally provide periodic forecasts of their requirements. However, these forecasts do not commit such customers to minimum purchases, and customers can revise these forecasts without penalty. In addition, as is customary in the semiconductor industry, customers are generally permitted to cancel orders for our products within a specified period. Cancellations of orders could result in the loss of anticipated sales without allowing us sufficient time to reduce our inventory and operating expenses. In addition, changes in forecasts or the timing of orders from customers expose us to the risks of inventory shortages or excess inventory. We are currently operating in an inflationary environment for our products as a result of a rise in global energy and commodity prices and global tariff policies, which also have the potential to reduce end market demand in certain markets. Over the past several quarters, we and other semiconductor companies have experienced an increase in market demand, but historically such periods are often followed by periods of softening demand, primarily driven by lower demand from customers across various markets and digestion of excess accumulated inventory. In addition, factors that cause a reduction in the demand from end users of our OEMs’ or other customers’ products, including as a result of increased prices resulting from a rise in global energy and commodity prices and global trade policies, tariffs or a recessionary environment in the markets in which we operate, may in the future continue to cause our direct customers to significantly reduce the number of products ordered from us.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800"/>
          </w:cols>
          <w:pgMar w:left="720" w:top="926" w:right="720" w:bottom="175"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i w:val="1"/>
          <w:iCs w:val="1"/>
          <w:color w:val="auto"/>
        </w:rPr>
        <w:t>Manufacturing Costs and Product Mix</w:t>
      </w:r>
    </w:p>
    <w:p>
      <w:pPr>
        <w:spacing w:after="0" w:line="120"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Gross margin has been, and will continue to be, affected by a variety of factors, including the ASPs of our products, product mix in a given period, material costs, yields, manufacturing costs and efficiencies. We believe the primary driver of gross margin is the ASP negotiated between us and our customers relative to material costs and yields. Our pricing and margins depend on the volumes and the features of the products we produce and sell to our customers. As our products mature and unit volumes increase, we expect their ASPs to decline in the long-term. We continually monitor and work to reduce the cost of our products and improve the potential value our solutions provide to our customers, as we target new design win opportunities and manage the product life cycles of our existing customer designs. We also maintain a close relationship with our suppliers and subcontractors to improve quality, increase yields and lower manufacturing costs. As a result, these declines often coincide with improvements in manufacturing yields and lower wafer, assembly, and testing costs, which offset some or all of the margin reduction that results from declining ASPs. However, we expect our gross margin to fluctuate on a quarterly basis as a result of changes in ASPs due to product mix, new product introductions, transitions into volume manufacturing and manufacturing costs. Gross margin generally decreases if production volumes are lower as a result of decreased demand, which leads to a reduced absorption of our fixed manufacturing costs. Gross margin generally increases when the opposite occurs.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Cyclical Nature of the Semiconductor Industry</w:t>
      </w:r>
    </w:p>
    <w:p>
      <w:pPr>
        <w:spacing w:after="0" w:line="120"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The semiconductor industry has historically been highly cyclical and is characterized by increasingly rapid technological change, product obsolescence, competitive pricing pressures, evolving standards, short product life cycles in consumer and other rapidly changing markets and fluctuations in product supply and demand. New technology may result in sudden changes in system designs or platform changes that may render some of our products obsolete and require us to devote significant research and development resources to compete effectively. Periods of rapid growth and capacity expansion are occasionally followed by significant market corrections in which sales decline, inventories accumulate, and facilities go underutilized. Also, expectations and front-loaded investment related to AI and data centers may increase the magnitude and volatility of these cycles, making downturns more abrupt or recoveries more uneven. To the extent that current levels of investment in AI-related infrastructure, products or end-market demand reflect expectations that are not ultimately realized, or if customer spending related to AI or data centers moderates, is delayed, or declines more rapidly than anticipated, the semiconductor industry could experience an accelerated or more pronounced downturn. During periods of expansion, our margins generally improve as fixed costs are spread over higher manufacturing volumes and unit sales. In addition, we may build inventory to meet increasing market demand for our products during these times, which serves to absorb fixed costs further and increase our gross margins. During an expansion cycle, we may increase capital spending and hiring to add to our production capacity. During periods of slower growth or industry contractions, our sales, production and productivity and margins generally decline.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sales</w:t>
      </w:r>
    </w:p>
    <w:p>
      <w:pPr>
        <w:spacing w:after="0" w:line="120"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Our total net sales are primarily derived from product sales to direct customers and distributors. We sell products globally through our direct sales force, third-party distributors and independent sales representatives. Sales are derived from products for different applications. Our core applications are focused on the automotive, industrial and other industries.</w:t>
      </w:r>
    </w:p>
    <w:p>
      <w:pPr>
        <w:spacing w:after="0" w:line="68" w:lineRule="exact"/>
        <w:rPr>
          <w:sz w:val="20"/>
          <w:szCs w:val="20"/>
          <w:color w:val="auto"/>
        </w:rPr>
      </w:pPr>
    </w:p>
    <w:p>
      <w:pPr>
        <w:jc w:val="both"/>
        <w:ind w:firstLine="547"/>
        <w:spacing w:after="0" w:line="246" w:lineRule="auto"/>
        <w:rPr>
          <w:sz w:val="20"/>
          <w:szCs w:val="20"/>
          <w:color w:val="auto"/>
        </w:rPr>
      </w:pPr>
      <w:r>
        <w:rPr>
          <w:rFonts w:ascii="Times New Roman" w:cs="Times New Roman" w:eastAsia="Times New Roman" w:hAnsi="Times New Roman"/>
          <w:sz w:val="20"/>
          <w:szCs w:val="20"/>
          <w:color w:val="auto"/>
        </w:rPr>
        <w:t>We sell magnetic sensor ICs and power ICs in the Americas, EMEA and Asia. Net sales are generally recognized when control of the products is transferred to the customer, which typically occurs at a point in time upon shipment or delivery, depending on the terms of the contract. When we transact with a distributor, our contractual arrangement is with the distributor and not with the end customer. Whether we transact business with and receive the order from a distributor or directly from an end customer through our direct sales force and independent sales representatives, our revenue recognition policy and resulting pattern of revenue recognition for the order are the same. We recognize revenue net of sales returns, price protection adjustments, stock rotation rights and any other discounts or credits offered to our customers.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goods sold, gross profit and gross margin</w:t>
      </w:r>
    </w:p>
    <w:p>
      <w:pPr>
        <w:spacing w:after="0" w:line="120"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Cost of goods sold consists primarily of costs of purchasing raw materials, costs associated with probe, assembly, test and shipping our products, costs of personnel, including stock-based compensation, costs of equipment associated with manufacturing, procurement, planning and management of these processes, costs of depreciation and amortization, costs of logistics and quality assurance, and costs of royalties, value-added taxes, utilities, repairs and maintenance of equipment, and an allocated portion of our facility occupancy costs.</w:t>
      </w:r>
    </w:p>
    <w:p>
      <w:pPr>
        <w:spacing w:after="0" w:line="77"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Gross profit is calculated as total net sales less cost of goods sold, and gross margin is calculated as gross profit divided by net sales. Gross profit is affected by numerous factors, including average selling price, revenue mix by product, channel and customer, foreign exchange rates, seasonality, manufacturing costs and the effective utilization of our facilities. Another factor impacting gross profit is the time required for the expansion of existing facilities to reach full production capacity. As a result, gross profit varies from period to period and year to year.</w:t>
      </w:r>
    </w:p>
    <w:p>
      <w:pPr>
        <w:sectPr>
          <w:pgSz w:w="12240" w:h="15840" w:orient="portrait"/>
          <w:cols w:equalWidth="0" w:num="1">
            <w:col w:w="10800"/>
          </w:cols>
          <w:pgMar w:left="720" w:top="930" w:right="720" w:bottom="175"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800"/>
          </w:cols>
          <w:pgMar w:left="720" w:top="930" w:right="720" w:bottom="175" w:gutter="0" w:footer="0" w:header="0"/>
          <w:type w:val="continuous"/>
        </w:sectPr>
      </w:pPr>
    </w:p>
    <w:bookmarkStart w:id="48" w:name="page49"/>
    <w:bookmarkEnd w:id="48"/>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A significant portion of our costs are fixed, and as a result, costs are generally difficult to adjust or may take time to adjust in response to changes in demand. In addition, our fixed costs increase as we expand our capacity. If we expand capacity faster than required by our sales growth, our gross margin could be negatively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(“R&amp;D”) expenses</w:t>
      </w:r>
    </w:p>
    <w:p>
      <w:pPr>
        <w:spacing w:after="0" w:line="120"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R&amp;D expenses consist primarily of personnel-related costs of our research and development organization, including stock-based compensation, costs of development of wafers and masks, license fees for computer-aided design software, costs of development testing and evaluation, costs of developing automated test programs, equipment depreciation and related occupancy and equipment costs. While most of the costs incurred are for new product development, a significant portion of these costs are related to process technology development, and proprietary package development. R&amp;D expenses also include costs for technology development by external parties. We expect further increases in R&amp;D expenses, in absolute dollars, as we continue the development of innovative technologies and processes for new product offerings, as well as increase the headcount of our R&amp;D personnel in future years.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(“SG&amp;A”) expenses</w:t>
      </w:r>
    </w:p>
    <w:p>
      <w:pPr>
        <w:spacing w:after="0" w:line="120"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SG&amp;A expenses consist primarily of personnel-related costs, including stock-based compensation, and sales commissions to independent sales representatives, professional fees, including the costs of accounting, audit, legal, regulatory and tax compliance. Additionally, costs related to advertising, trade shows, corporate marketing, as well as an allocated portion of our occupancy costs, also comprise SG&amp;A expenses.</w:t>
      </w:r>
    </w:p>
    <w:p>
      <w:pPr>
        <w:spacing w:after="0" w:line="74"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We anticipate our selling and marketing expenses will increase in absolute terms as we expand our sales force and increase our sales and marketing activities.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assets held for sale</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Impairment of assets held for sale consists primarily of charges recorded to reduce the carrying value of certain assets to their estimated fair value, less costs to sell.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Impairment of long-lived assets consists primarily of impairment charges related to intangibles assets and other long-lived assets when factors exist that indicate the carrying amounts of these assets may not be recoverable.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Interest expense is from term loan debt and credit facilities that we maintain with various financial institutions.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Interest income is earned on our cash and cash equivalents, consisting primarily of certain investments that have contractual maturities no greater than three months at the time of purchase.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transaction (loss) gain</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We incur transaction gains and losses resulting from intercompany transactions, as well as transactions with customers or vendors, denominated in currencies other than the functional currency of the legal entity in which the transaction is recorded.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income in earnings of equity investment</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(Loss) income in earnings of equity investment is related to our equity investment in PSL (PSL Parent following its recapitalization in September 2024).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change in fair value of forward repurchase contract</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Loss on change in fair value of forward repurchase contract is due to the various settlement dates under the Share Repurchase Agreement.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120"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Other income (expense), net includes unrealized (loss) gains on marketable securities from changes in the fair value of equity securities with readily determinable fair values. These investments are measured at fair value with unrealized gains and losses related to changes in the entity’s stock price. Upon the sale of the investments, realized gains and losses are recognized in other income (expense), net. Miscellaneous income and expense items unrelated to our core operations are also within other income (expense), net.</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800"/>
          </w:cols>
          <w:pgMar w:left="720" w:top="930" w:right="720" w:bottom="175"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(benefit) provision</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Our provision for or benefit from income taxes is based on an estimate of the annual effective tax rate plus the tax impact of discrete items.</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are subject to tax in the U.S. and various foreign jurisdictions. Our effective income tax rate fluctuates primarily because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change in the mix of our U.S. and foreign income; the impact of discrete transactions and law changes; state tax impacts and</w:t>
      </w:r>
    </w:p>
    <w:p>
      <w:pPr>
        <w:spacing w:after="0"/>
        <w:rPr>
          <w:sz w:val="20"/>
          <w:szCs w:val="20"/>
          <w:color w:val="auto"/>
        </w:rPr>
      </w:pPr>
      <w:r>
        <w:rPr>
          <w:rFonts w:ascii="Times New Roman" w:cs="Times New Roman" w:eastAsia="Times New Roman" w:hAnsi="Times New Roman"/>
          <w:sz w:val="20"/>
          <w:szCs w:val="20"/>
          <w:color w:val="auto"/>
        </w:rPr>
        <w:t>the difference between the amount of tax benefits generated by the foreign derived intangible income (“FDII”) deduction, including</w:t>
      </w:r>
    </w:p>
    <w:p>
      <w:pPr>
        <w:spacing w:after="0"/>
        <w:rPr>
          <w:sz w:val="20"/>
          <w:szCs w:val="20"/>
          <w:color w:val="auto"/>
        </w:rPr>
      </w:pPr>
      <w:r>
        <w:rPr>
          <w:rFonts w:ascii="Times New Roman" w:cs="Times New Roman" w:eastAsia="Times New Roman" w:hAnsi="Times New Roman"/>
          <w:sz w:val="20"/>
          <w:szCs w:val="20"/>
          <w:color w:val="auto"/>
        </w:rPr>
        <w:t>permanent impacts of capitalizing research and development expenses, and research credits, offset by the additional tax costs</w:t>
      </w:r>
    </w:p>
    <w:p>
      <w:pPr>
        <w:spacing w:after="0"/>
        <w:rPr>
          <w:sz w:val="20"/>
          <w:szCs w:val="20"/>
          <w:color w:val="auto"/>
        </w:rPr>
      </w:pPr>
      <w:r>
        <w:rPr>
          <w:rFonts w:ascii="Times New Roman" w:cs="Times New Roman" w:eastAsia="Times New Roman" w:hAnsi="Times New Roman"/>
          <w:sz w:val="20"/>
          <w:szCs w:val="20"/>
          <w:color w:val="auto"/>
        </w:rPr>
        <w:t>associated with global intangible low-tax income (“GILTI”), Subpart F income and non-deductible stock-based compensation charges.</w:t>
      </w:r>
    </w:p>
    <w:p>
      <w:pPr>
        <w:spacing w:after="0" w:line="92"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In 2017, the Tax Cuts and Jobs Act (“TCJA”) introduced significant U.S. corporate tax reform to the U.S. Internal Revenue Code (the “Code”), including a requirement to capitalize domestic and foreign research and development expenditures incurred in fiscal years 2023 through 2025 (“174 Capitalization”). The capitalized amounts were required to be amortized over five and 15 years, respectively. On July 4, 2025, the One Big Beautiful Bill Act (“OBBB”) was enacted into law, and it generally extended and modified many of the TCJA provisions of the Code. Specifically, the OBBB provided options to taxpayers such as (i) restoring the ability to immediately expense domestic R&amp;D expenditures, (ii) providing a one-time election to accelerate the deduction of previously capitalized domestic R&amp;D over a two-tax year period (“Accelerated R&amp;D Amortization Election”), (iii) reinstating Section 59(e) of the Code to allow domestic R&amp;D to be capitalized and amortized over 10 years, and (iv) updating Section 280(c) of the Code, which reduces the benefit of the Section 41 research and development tax credit (“R&amp;D Credit”). The OBBB changes, especially the Accelerated R&amp;D Amortization Election, result in a current year reduction of the U.S. cash taxes, FDII deduction, and R&amp;D credit benefits. The Company continues to evaluate the tax impact of the various OBBB provisions, elections, and forthcoming guidance.</w:t>
      </w:r>
    </w:p>
    <w:p>
      <w:pPr>
        <w:spacing w:after="0" w:line="89"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We regularly assess the likelihood of outcomes that could result from the examination of our tax returns by the IRS and other tax authorities to determine the adequacy of our income tax reserves and expense. Should actual events or results differ from our then-current expectations, charges or credits to our provision for income taxes may become necessary. Any such adjustments could have a significant effect on our results of operations.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800"/>
          </w:cols>
          <w:pgMar w:left="720" w:top="930" w:right="720" w:bottom="175"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Fiscal Year 2026 Compared to Fiscal Year 2025</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following table summarizes our results of operations and our results of operations as a percentage of total net sales for the fiscal years ended March 27, 2026 and March 28, 2025.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4"/>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Fiscal Year Ended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40" w:type="dxa"/>
            <w:vAlign w:val="bottom"/>
            <w:tcBorders>
              <w:bottom w:val="single" w:sz="8" w:color="auto"/>
            </w:tcBorders>
          </w:tcPr>
          <w:p>
            <w:pPr>
              <w:spacing w:after="0"/>
              <w:rPr>
                <w:sz w:val="18"/>
                <w:szCs w:val="18"/>
                <w:color w:val="auto"/>
              </w:rPr>
            </w:pPr>
          </w:p>
        </w:tc>
      </w:tr>
      <w:tr>
        <w:trPr>
          <w:trHeight w:val="184"/>
        </w:trPr>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center"/>
              <w:ind w:right="195"/>
              <w:spacing w:after="0" w:line="184" w:lineRule="exact"/>
              <w:rPr>
                <w:sz w:val="20"/>
                <w:szCs w:val="20"/>
                <w:color w:val="auto"/>
              </w:rPr>
            </w:pPr>
            <w:r>
              <w:rPr>
                <w:rFonts w:ascii="Times New Roman" w:cs="Times New Roman" w:eastAsia="Times New Roman" w:hAnsi="Times New Roman"/>
                <w:sz w:val="17"/>
                <w:szCs w:val="17"/>
                <w:b w:val="1"/>
                <w:bCs w:val="1"/>
                <w:color w:val="auto"/>
                <w:w w:val="98"/>
              </w:rPr>
              <w:t>As a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jc w:val="center"/>
              <w:ind w:right="215"/>
              <w:spacing w:after="0" w:line="184" w:lineRule="exact"/>
              <w:rPr>
                <w:sz w:val="20"/>
                <w:szCs w:val="20"/>
                <w:color w:val="auto"/>
              </w:rPr>
            </w:pPr>
            <w:r>
              <w:rPr>
                <w:rFonts w:ascii="Times New Roman" w:cs="Times New Roman" w:eastAsia="Times New Roman" w:hAnsi="Times New Roman"/>
                <w:sz w:val="17"/>
                <w:szCs w:val="17"/>
                <w:b w:val="1"/>
                <w:bCs w:val="1"/>
                <w:color w:val="auto"/>
                <w:w w:val="98"/>
              </w:rPr>
              <w:t>As a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5"/>
        </w:trPr>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March 27,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rPr>
              <w:t>of Net</w:t>
            </w:r>
          </w:p>
        </w:tc>
        <w:tc>
          <w:tcPr>
            <w:tcW w:w="120" w:type="dxa"/>
            <w:vAlign w:val="bottom"/>
          </w:tcPr>
          <w:p>
            <w:pPr>
              <w:spacing w:after="0"/>
              <w:rPr>
                <w:sz w:val="17"/>
                <w:szCs w:val="17"/>
                <w:color w:val="auto"/>
              </w:rPr>
            </w:pPr>
          </w:p>
        </w:tc>
        <w:tc>
          <w:tcPr>
            <w:tcW w:w="10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March 28,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center"/>
              <w:ind w:right="215"/>
              <w:spacing w:after="0"/>
              <w:rPr>
                <w:sz w:val="20"/>
                <w:szCs w:val="20"/>
                <w:color w:val="auto"/>
              </w:rPr>
            </w:pPr>
            <w:r>
              <w:rPr>
                <w:rFonts w:ascii="Times New Roman" w:cs="Times New Roman" w:eastAsia="Times New Roman" w:hAnsi="Times New Roman"/>
                <w:sz w:val="17"/>
                <w:szCs w:val="17"/>
                <w:b w:val="1"/>
                <w:bCs w:val="1"/>
                <w:color w:val="auto"/>
              </w:rPr>
              <w:t>of Net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4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7"/>
              </w:rPr>
              <w:t>Sales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7"/>
                <w:szCs w:val="17"/>
                <w:b w:val="1"/>
                <w:bCs w:val="1"/>
                <w:color w:val="auto"/>
                <w:w w:val="97"/>
              </w:rPr>
              <w:t>Sales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5"/>
        </w:trPr>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(Dollars in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73"/>
              </w:rPr>
              <w:t>thousands)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446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7"/>
                <w:szCs w:val="17"/>
                <w:color w:val="auto"/>
              </w:rPr>
              <w:t>Total net sales</w:t>
            </w:r>
          </w:p>
        </w:tc>
        <w:tc>
          <w:tcPr>
            <w:tcW w:w="160" w:type="dxa"/>
            <w:vAlign w:val="bottom"/>
            <w:shd w:val="clear" w:color="auto" w:fill="E2E2E2"/>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890,096</w:t>
            </w:r>
          </w:p>
        </w:tc>
        <w:tc>
          <w:tcPr>
            <w:tcW w:w="960" w:type="dxa"/>
            <w:vAlign w:val="bottom"/>
            <w:gridSpan w:val="3"/>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725,006</w:t>
            </w:r>
          </w:p>
        </w:tc>
        <w:tc>
          <w:tcPr>
            <w:tcW w:w="980" w:type="dxa"/>
            <w:vAlign w:val="bottom"/>
            <w:gridSpan w:val="4"/>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320" w:type="dxa"/>
            <w:vAlign w:val="bottom"/>
            <w:gridSpan w:val="2"/>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165,090</w:t>
            </w:r>
          </w:p>
        </w:tc>
        <w:tc>
          <w:tcPr>
            <w:tcW w:w="100" w:type="dxa"/>
            <w:vAlign w:val="bottom"/>
            <w:shd w:val="clear" w:color="auto" w:fill="E2E2E2"/>
          </w:tcPr>
          <w:p>
            <w:pPr>
              <w:spacing w:after="0"/>
              <w:rPr>
                <w:sz w:val="18"/>
                <w:szCs w:val="18"/>
                <w:color w:val="auto"/>
              </w:rPr>
            </w:pPr>
          </w:p>
        </w:tc>
        <w:tc>
          <w:tcPr>
            <w:tcW w:w="220" w:type="dxa"/>
            <w:vAlign w:val="bottom"/>
            <w:shd w:val="clear" w:color="auto" w:fill="E2E2E2"/>
          </w:tcPr>
          <w:p>
            <w:pPr>
              <w:spacing w:after="0"/>
              <w:rPr>
                <w:sz w:val="18"/>
                <w:szCs w:val="18"/>
                <w:color w:val="auto"/>
              </w:rPr>
            </w:pPr>
          </w:p>
        </w:tc>
        <w:tc>
          <w:tcPr>
            <w:tcW w:w="84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22.8%</w:t>
            </w:r>
          </w:p>
        </w:tc>
      </w:tr>
      <w:tr>
        <w:trPr>
          <w:trHeight w:val="209"/>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16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478,126</w:t>
            </w:r>
          </w:p>
        </w:tc>
        <w:tc>
          <w:tcPr>
            <w:tcW w:w="960" w:type="dxa"/>
            <w:vAlign w:val="bottom"/>
            <w:gridSpan w:val="3"/>
          </w:tcPr>
          <w:p>
            <w:pPr>
              <w:jc w:val="right"/>
              <w:ind w:right="15"/>
              <w:spacing w:after="0"/>
              <w:rPr>
                <w:sz w:val="20"/>
                <w:szCs w:val="20"/>
                <w:color w:val="auto"/>
              </w:rPr>
            </w:pPr>
            <w:r>
              <w:rPr>
                <w:rFonts w:ascii="Times New Roman" w:cs="Times New Roman" w:eastAsia="Times New Roman" w:hAnsi="Times New Roman"/>
                <w:sz w:val="17"/>
                <w:szCs w:val="17"/>
                <w:color w:val="auto"/>
              </w:rPr>
              <w:t>53.7%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403,479</w:t>
            </w:r>
          </w:p>
        </w:tc>
        <w:tc>
          <w:tcPr>
            <w:tcW w:w="980" w:type="dxa"/>
            <w:vAlign w:val="bottom"/>
            <w:gridSpan w:val="4"/>
          </w:tcPr>
          <w:p>
            <w:pPr>
              <w:jc w:val="right"/>
              <w:ind w:right="15"/>
              <w:spacing w:after="0"/>
              <w:rPr>
                <w:sz w:val="20"/>
                <w:szCs w:val="20"/>
                <w:color w:val="auto"/>
              </w:rPr>
            </w:pPr>
            <w:r>
              <w:rPr>
                <w:rFonts w:ascii="Times New Roman" w:cs="Times New Roman" w:eastAsia="Times New Roman" w:hAnsi="Times New Roman"/>
                <w:sz w:val="17"/>
                <w:szCs w:val="17"/>
                <w:color w:val="auto"/>
              </w:rPr>
              <w:t>55.7%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74,647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18.5%</w:t>
            </w:r>
          </w:p>
        </w:tc>
      </w:tr>
      <w:tr>
        <w:trPr>
          <w:trHeight w:val="205"/>
        </w:trPr>
        <w:tc>
          <w:tcPr>
            <w:tcW w:w="4460" w:type="dxa"/>
            <w:vAlign w:val="bottom"/>
            <w:tcBorders>
              <w:top w:val="single" w:sz="8" w:color="E2E2E2"/>
            </w:tcBorders>
            <w:gridSpan w:val="2"/>
            <w:shd w:val="clear" w:color="auto" w:fill="E2E2E2"/>
          </w:tcPr>
          <w:p>
            <w:pPr>
              <w:ind w:left="200"/>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tcBorders>
              <w:top w:val="single" w:sz="8" w:color="auto"/>
            </w:tcBorders>
            <w:shd w:val="clear" w:color="auto" w:fill="E2E2E2"/>
          </w:tcPr>
          <w:p>
            <w:pPr>
              <w:spacing w:after="0"/>
              <w:rPr>
                <w:sz w:val="17"/>
                <w:szCs w:val="17"/>
                <w:color w:val="auto"/>
              </w:rPr>
            </w:pPr>
          </w:p>
        </w:tc>
        <w:tc>
          <w:tcPr>
            <w:tcW w:w="840" w:type="dxa"/>
            <w:vAlign w:val="bottom"/>
            <w:tcBorders>
              <w:top w:val="single" w:sz="8" w:color="auto"/>
            </w:tcBorders>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411,970</w:t>
            </w:r>
          </w:p>
        </w:tc>
        <w:tc>
          <w:tcPr>
            <w:tcW w:w="100" w:type="dxa"/>
            <w:vAlign w:val="bottom"/>
            <w:tcBorders>
              <w:top w:val="single" w:sz="8" w:color="E2E2E2"/>
            </w:tcBorders>
            <w:shd w:val="clear" w:color="auto" w:fill="E2E2E2"/>
          </w:tcPr>
          <w:p>
            <w:pPr>
              <w:spacing w:after="0"/>
              <w:rPr>
                <w:sz w:val="17"/>
                <w:szCs w:val="17"/>
                <w:color w:val="auto"/>
              </w:rPr>
            </w:pPr>
          </w:p>
        </w:tc>
        <w:tc>
          <w:tcPr>
            <w:tcW w:w="20" w:type="dxa"/>
            <w:vAlign w:val="bottom"/>
            <w:tcBorders>
              <w:top w:val="single" w:sz="8" w:color="E2E2E2"/>
            </w:tcBorders>
            <w:shd w:val="clear" w:color="auto" w:fill="E2E2E2"/>
          </w:tcPr>
          <w:p>
            <w:pPr>
              <w:spacing w:after="0"/>
              <w:rPr>
                <w:sz w:val="17"/>
                <w:szCs w:val="17"/>
                <w:color w:val="auto"/>
              </w:rPr>
            </w:pPr>
          </w:p>
        </w:tc>
        <w:tc>
          <w:tcPr>
            <w:tcW w:w="840" w:type="dxa"/>
            <w:vAlign w:val="bottom"/>
            <w:tcBorders>
              <w:top w:val="single" w:sz="8" w:color="auto"/>
            </w:tcBorders>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46.3%</w:t>
            </w:r>
          </w:p>
        </w:tc>
        <w:tc>
          <w:tcPr>
            <w:tcW w:w="120" w:type="dxa"/>
            <w:vAlign w:val="bottom"/>
            <w:tcBorders>
              <w:top w:val="single" w:sz="8" w:color="E2E2E2"/>
            </w:tcBorders>
            <w:shd w:val="clear" w:color="auto" w:fill="E2E2E2"/>
          </w:tcPr>
          <w:p>
            <w:pPr>
              <w:spacing w:after="0"/>
              <w:rPr>
                <w:sz w:val="17"/>
                <w:szCs w:val="17"/>
                <w:color w:val="auto"/>
              </w:rPr>
            </w:pPr>
          </w:p>
        </w:tc>
        <w:tc>
          <w:tcPr>
            <w:tcW w:w="100" w:type="dxa"/>
            <w:vAlign w:val="bottom"/>
            <w:tcBorders>
              <w:top w:val="single" w:sz="8" w:color="auto"/>
            </w:tcBorders>
            <w:shd w:val="clear" w:color="auto" w:fill="E2E2E2"/>
          </w:tcPr>
          <w:p>
            <w:pPr>
              <w:spacing w:after="0"/>
              <w:rPr>
                <w:sz w:val="17"/>
                <w:szCs w:val="17"/>
                <w:color w:val="auto"/>
              </w:rPr>
            </w:pPr>
          </w:p>
        </w:tc>
        <w:tc>
          <w:tcPr>
            <w:tcW w:w="900" w:type="dxa"/>
            <w:vAlign w:val="bottom"/>
            <w:tcBorders>
              <w:top w:val="single" w:sz="8" w:color="auto"/>
            </w:tcBorders>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321,527</w:t>
            </w:r>
          </w:p>
        </w:tc>
        <w:tc>
          <w:tcPr>
            <w:tcW w:w="120" w:type="dxa"/>
            <w:vAlign w:val="bottom"/>
            <w:tcBorders>
              <w:top w:val="single" w:sz="8" w:color="E2E2E2"/>
            </w:tcBorders>
            <w:shd w:val="clear" w:color="auto" w:fill="E2E2E2"/>
          </w:tcPr>
          <w:p>
            <w:pPr>
              <w:spacing w:after="0"/>
              <w:rPr>
                <w:sz w:val="17"/>
                <w:szCs w:val="17"/>
                <w:color w:val="auto"/>
              </w:rPr>
            </w:pPr>
          </w:p>
        </w:tc>
        <w:tc>
          <w:tcPr>
            <w:tcW w:w="20" w:type="dxa"/>
            <w:vAlign w:val="bottom"/>
            <w:tcBorders>
              <w:top w:val="single" w:sz="8" w:color="E2E2E2"/>
            </w:tcBorders>
            <w:shd w:val="clear" w:color="auto" w:fill="E2E2E2"/>
          </w:tcPr>
          <w:p>
            <w:pPr>
              <w:spacing w:after="0"/>
              <w:rPr>
                <w:sz w:val="17"/>
                <w:szCs w:val="17"/>
                <w:color w:val="auto"/>
              </w:rPr>
            </w:pPr>
          </w:p>
        </w:tc>
        <w:tc>
          <w:tcPr>
            <w:tcW w:w="20" w:type="dxa"/>
            <w:vAlign w:val="bottom"/>
            <w:tcBorders>
              <w:top w:val="single" w:sz="8" w:color="auto"/>
            </w:tcBorders>
            <w:shd w:val="clear" w:color="auto" w:fill="E2E2E2"/>
          </w:tcPr>
          <w:p>
            <w:pPr>
              <w:spacing w:after="0"/>
              <w:rPr>
                <w:sz w:val="17"/>
                <w:szCs w:val="17"/>
                <w:color w:val="auto"/>
              </w:rPr>
            </w:pPr>
          </w:p>
        </w:tc>
        <w:tc>
          <w:tcPr>
            <w:tcW w:w="820" w:type="dxa"/>
            <w:vAlign w:val="bottom"/>
            <w:tcBorders>
              <w:top w:val="single" w:sz="8" w:color="auto"/>
            </w:tcBorders>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Borders>
              <w:top w:val="single" w:sz="8" w:color="E2E2E2"/>
            </w:tcBorders>
            <w:shd w:val="clear" w:color="auto" w:fill="E2E2E2"/>
          </w:tcPr>
          <w:p>
            <w:pPr>
              <w:spacing w:after="0"/>
              <w:rPr>
                <w:sz w:val="17"/>
                <w:szCs w:val="17"/>
                <w:color w:val="auto"/>
              </w:rPr>
            </w:pPr>
          </w:p>
        </w:tc>
        <w:tc>
          <w:tcPr>
            <w:tcW w:w="220" w:type="dxa"/>
            <w:vAlign w:val="bottom"/>
            <w:tcBorders>
              <w:top w:val="single" w:sz="8" w:color="auto"/>
            </w:tcBorders>
            <w:shd w:val="clear" w:color="auto" w:fill="E2E2E2"/>
          </w:tcPr>
          <w:p>
            <w:pPr>
              <w:spacing w:after="0"/>
              <w:rPr>
                <w:sz w:val="17"/>
                <w:szCs w:val="17"/>
                <w:color w:val="auto"/>
              </w:rPr>
            </w:pPr>
          </w:p>
        </w:tc>
        <w:tc>
          <w:tcPr>
            <w:tcW w:w="800" w:type="dxa"/>
            <w:vAlign w:val="bottom"/>
            <w:tcBorders>
              <w:top w:val="single" w:sz="8" w:color="auto"/>
            </w:tcBorders>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90,443</w:t>
            </w:r>
          </w:p>
        </w:tc>
        <w:tc>
          <w:tcPr>
            <w:tcW w:w="100" w:type="dxa"/>
            <w:vAlign w:val="bottom"/>
            <w:tcBorders>
              <w:top w:val="single" w:sz="8" w:color="E2E2E2"/>
            </w:tcBorders>
            <w:shd w:val="clear" w:color="auto" w:fill="E2E2E2"/>
          </w:tcPr>
          <w:p>
            <w:pPr>
              <w:spacing w:after="0"/>
              <w:rPr>
                <w:sz w:val="17"/>
                <w:szCs w:val="17"/>
                <w:color w:val="auto"/>
              </w:rPr>
            </w:pPr>
          </w:p>
        </w:tc>
        <w:tc>
          <w:tcPr>
            <w:tcW w:w="220" w:type="dxa"/>
            <w:vAlign w:val="bottom"/>
            <w:tcBorders>
              <w:top w:val="single" w:sz="8" w:color="E2E2E2"/>
            </w:tcBorders>
            <w:shd w:val="clear" w:color="auto" w:fill="E2E2E2"/>
          </w:tcPr>
          <w:p>
            <w:pPr>
              <w:spacing w:after="0"/>
              <w:rPr>
                <w:sz w:val="17"/>
                <w:szCs w:val="17"/>
                <w:color w:val="auto"/>
              </w:rPr>
            </w:pPr>
          </w:p>
        </w:tc>
        <w:tc>
          <w:tcPr>
            <w:tcW w:w="840" w:type="dxa"/>
            <w:vAlign w:val="bottom"/>
            <w:tcBorders>
              <w:top w:val="single" w:sz="8" w:color="E2E2E2"/>
            </w:tcBorders>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28.1%</w:t>
            </w:r>
          </w:p>
        </w:tc>
      </w:tr>
      <w:tr>
        <w:trPr>
          <w:trHeight w:val="209"/>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9"/>
        </w:trPr>
        <w:tc>
          <w:tcPr>
            <w:tcW w:w="446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shd w:val="clear" w:color="auto" w:fill="E2E2E2"/>
          </w:tcPr>
          <w:p>
            <w:pPr>
              <w:spacing w:after="0"/>
              <w:rPr>
                <w:sz w:val="18"/>
                <w:szCs w:val="18"/>
                <w:color w:val="auto"/>
              </w:rPr>
            </w:pPr>
          </w:p>
        </w:tc>
        <w:tc>
          <w:tcPr>
            <w:tcW w:w="84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205,804</w:t>
            </w:r>
          </w:p>
        </w:tc>
        <w:tc>
          <w:tcPr>
            <w:tcW w:w="960" w:type="dxa"/>
            <w:vAlign w:val="bottom"/>
            <w:gridSpan w:val="3"/>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shd w:val="clear" w:color="auto" w:fill="E2E2E2"/>
          </w:tcPr>
          <w:p>
            <w:pPr>
              <w:spacing w:after="0"/>
              <w:rPr>
                <w:sz w:val="18"/>
                <w:szCs w:val="18"/>
                <w:color w:val="auto"/>
              </w:rPr>
            </w:pPr>
          </w:p>
        </w:tc>
        <w:tc>
          <w:tcPr>
            <w:tcW w:w="100" w:type="dxa"/>
            <w:vAlign w:val="bottom"/>
            <w:shd w:val="clear" w:color="auto" w:fill="E2E2E2"/>
          </w:tcPr>
          <w:p>
            <w:pPr>
              <w:spacing w:after="0"/>
              <w:rPr>
                <w:sz w:val="18"/>
                <w:szCs w:val="18"/>
                <w:color w:val="auto"/>
              </w:rPr>
            </w:pPr>
          </w:p>
        </w:tc>
        <w:tc>
          <w:tcPr>
            <w:tcW w:w="90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179,649</w:t>
            </w:r>
          </w:p>
        </w:tc>
        <w:tc>
          <w:tcPr>
            <w:tcW w:w="980" w:type="dxa"/>
            <w:vAlign w:val="bottom"/>
            <w:gridSpan w:val="4"/>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shd w:val="clear" w:color="auto" w:fill="E2E2E2"/>
          </w:tcPr>
          <w:p>
            <w:pPr>
              <w:spacing w:after="0"/>
              <w:rPr>
                <w:sz w:val="18"/>
                <w:szCs w:val="18"/>
                <w:color w:val="auto"/>
              </w:rPr>
            </w:pPr>
          </w:p>
        </w:tc>
        <w:tc>
          <w:tcPr>
            <w:tcW w:w="220" w:type="dxa"/>
            <w:vAlign w:val="bottom"/>
            <w:shd w:val="clear" w:color="auto" w:fill="E2E2E2"/>
          </w:tcPr>
          <w:p>
            <w:pPr>
              <w:spacing w:after="0"/>
              <w:rPr>
                <w:sz w:val="18"/>
                <w:szCs w:val="18"/>
                <w:color w:val="auto"/>
              </w:rPr>
            </w:pPr>
          </w:p>
        </w:tc>
        <w:tc>
          <w:tcPr>
            <w:tcW w:w="80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26,155</w:t>
            </w:r>
          </w:p>
        </w:tc>
        <w:tc>
          <w:tcPr>
            <w:tcW w:w="100" w:type="dxa"/>
            <w:vAlign w:val="bottom"/>
            <w:shd w:val="clear" w:color="auto" w:fill="E2E2E2"/>
          </w:tcPr>
          <w:p>
            <w:pPr>
              <w:spacing w:after="0"/>
              <w:rPr>
                <w:sz w:val="18"/>
                <w:szCs w:val="18"/>
                <w:color w:val="auto"/>
              </w:rPr>
            </w:pPr>
          </w:p>
        </w:tc>
        <w:tc>
          <w:tcPr>
            <w:tcW w:w="220" w:type="dxa"/>
            <w:vAlign w:val="bottom"/>
            <w:shd w:val="clear" w:color="auto" w:fill="E2E2E2"/>
          </w:tcPr>
          <w:p>
            <w:pPr>
              <w:spacing w:after="0"/>
              <w:rPr>
                <w:sz w:val="18"/>
                <w:szCs w:val="18"/>
                <w:color w:val="auto"/>
              </w:rPr>
            </w:pPr>
          </w:p>
        </w:tc>
        <w:tc>
          <w:tcPr>
            <w:tcW w:w="84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14.6%</w:t>
            </w:r>
          </w:p>
        </w:tc>
      </w:tr>
      <w:tr>
        <w:trPr>
          <w:trHeight w:val="210"/>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6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181,089</w:t>
            </w:r>
          </w:p>
        </w:tc>
        <w:tc>
          <w:tcPr>
            <w:tcW w:w="960" w:type="dxa"/>
            <w:vAlign w:val="bottom"/>
            <w:gridSpan w:val="3"/>
          </w:tcPr>
          <w:p>
            <w:pPr>
              <w:jc w:val="right"/>
              <w:ind w:right="15"/>
              <w:spacing w:after="0"/>
              <w:rPr>
                <w:sz w:val="20"/>
                <w:szCs w:val="20"/>
                <w:color w:val="auto"/>
              </w:rPr>
            </w:pPr>
            <w:r>
              <w:rPr>
                <w:rFonts w:ascii="Times New Roman" w:cs="Times New Roman" w:eastAsia="Times New Roman" w:hAnsi="Times New Roman"/>
                <w:sz w:val="17"/>
                <w:szCs w:val="17"/>
                <w:color w:val="auto"/>
              </w:rPr>
              <w:t>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161,680</w:t>
            </w:r>
          </w:p>
        </w:tc>
        <w:tc>
          <w:tcPr>
            <w:tcW w:w="980" w:type="dxa"/>
            <w:vAlign w:val="bottom"/>
            <w:gridSpan w:val="4"/>
          </w:tcPr>
          <w:p>
            <w:pPr>
              <w:jc w:val="right"/>
              <w:ind w:right="15"/>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19,409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12.0%</w:t>
            </w:r>
          </w:p>
        </w:tc>
      </w:tr>
      <w:tr>
        <w:trPr>
          <w:trHeight w:val="209"/>
        </w:trPr>
        <w:tc>
          <w:tcPr>
            <w:tcW w:w="446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17"/>
                <w:szCs w:val="17"/>
                <w:color w:val="auto"/>
              </w:rPr>
              <w:t>Impairment of assets held for sale</w:t>
            </w:r>
          </w:p>
        </w:tc>
        <w:tc>
          <w:tcPr>
            <w:tcW w:w="160" w:type="dxa"/>
            <w:vAlign w:val="bottom"/>
            <w:shd w:val="clear" w:color="auto" w:fill="E2E2E2"/>
          </w:tcPr>
          <w:p>
            <w:pPr>
              <w:spacing w:after="0"/>
              <w:rPr>
                <w:sz w:val="18"/>
                <w:szCs w:val="18"/>
                <w:color w:val="auto"/>
              </w:rPr>
            </w:pPr>
          </w:p>
        </w:tc>
        <w:tc>
          <w:tcPr>
            <w:tcW w:w="84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6,590</w:t>
            </w:r>
          </w:p>
        </w:tc>
        <w:tc>
          <w:tcPr>
            <w:tcW w:w="960" w:type="dxa"/>
            <w:vAlign w:val="bottom"/>
            <w:gridSpan w:val="3"/>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0.7%</w:t>
            </w:r>
          </w:p>
        </w:tc>
        <w:tc>
          <w:tcPr>
            <w:tcW w:w="120" w:type="dxa"/>
            <w:vAlign w:val="bottom"/>
            <w:shd w:val="clear" w:color="auto" w:fill="E2E2E2"/>
          </w:tcPr>
          <w:p>
            <w:pPr>
              <w:spacing w:after="0"/>
              <w:rPr>
                <w:sz w:val="18"/>
                <w:szCs w:val="18"/>
                <w:color w:val="auto"/>
              </w:rPr>
            </w:pPr>
          </w:p>
        </w:tc>
        <w:tc>
          <w:tcPr>
            <w:tcW w:w="100" w:type="dxa"/>
            <w:vAlign w:val="bottom"/>
            <w:shd w:val="clear" w:color="auto" w:fill="E2E2E2"/>
          </w:tcPr>
          <w:p>
            <w:pPr>
              <w:spacing w:after="0"/>
              <w:rPr>
                <w:sz w:val="18"/>
                <w:szCs w:val="18"/>
                <w:color w:val="auto"/>
              </w:rPr>
            </w:pPr>
          </w:p>
        </w:tc>
        <w:tc>
          <w:tcPr>
            <w:tcW w:w="90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E2E2E2"/>
          </w:tcPr>
          <w:p>
            <w:pPr>
              <w:spacing w:after="0"/>
              <w:rPr>
                <w:sz w:val="18"/>
                <w:szCs w:val="18"/>
                <w:color w:val="auto"/>
              </w:rPr>
            </w:pPr>
          </w:p>
        </w:tc>
        <w:tc>
          <w:tcPr>
            <w:tcW w:w="20" w:type="dxa"/>
            <w:vAlign w:val="bottom"/>
            <w:shd w:val="clear" w:color="auto" w:fill="E2E2E2"/>
          </w:tcPr>
          <w:p>
            <w:pPr>
              <w:spacing w:after="0"/>
              <w:rPr>
                <w:sz w:val="18"/>
                <w:szCs w:val="18"/>
                <w:color w:val="auto"/>
              </w:rPr>
            </w:pPr>
          </w:p>
        </w:tc>
        <w:tc>
          <w:tcPr>
            <w:tcW w:w="20" w:type="dxa"/>
            <w:vAlign w:val="bottom"/>
            <w:shd w:val="clear" w:color="auto" w:fill="E2E2E2"/>
          </w:tcPr>
          <w:p>
            <w:pPr>
              <w:spacing w:after="0"/>
              <w:rPr>
                <w:sz w:val="18"/>
                <w:szCs w:val="18"/>
                <w:color w:val="auto"/>
              </w:rPr>
            </w:pPr>
          </w:p>
        </w:tc>
        <w:tc>
          <w:tcPr>
            <w:tcW w:w="82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2E2E2"/>
          </w:tcPr>
          <w:p>
            <w:pPr>
              <w:spacing w:after="0"/>
              <w:rPr>
                <w:sz w:val="18"/>
                <w:szCs w:val="18"/>
                <w:color w:val="auto"/>
              </w:rPr>
            </w:pPr>
          </w:p>
        </w:tc>
        <w:tc>
          <w:tcPr>
            <w:tcW w:w="220" w:type="dxa"/>
            <w:vAlign w:val="bottom"/>
            <w:shd w:val="clear" w:color="auto" w:fill="E2E2E2"/>
          </w:tcPr>
          <w:p>
            <w:pPr>
              <w:spacing w:after="0"/>
              <w:rPr>
                <w:sz w:val="18"/>
                <w:szCs w:val="18"/>
                <w:color w:val="auto"/>
              </w:rPr>
            </w:pPr>
          </w:p>
        </w:tc>
        <w:tc>
          <w:tcPr>
            <w:tcW w:w="80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6,590</w:t>
            </w:r>
          </w:p>
        </w:tc>
        <w:tc>
          <w:tcPr>
            <w:tcW w:w="100" w:type="dxa"/>
            <w:vAlign w:val="bottom"/>
            <w:shd w:val="clear" w:color="auto" w:fill="E2E2E2"/>
          </w:tcPr>
          <w:p>
            <w:pPr>
              <w:spacing w:after="0"/>
              <w:rPr>
                <w:sz w:val="18"/>
                <w:szCs w:val="18"/>
                <w:color w:val="auto"/>
              </w:rPr>
            </w:pPr>
          </w:p>
        </w:tc>
        <w:tc>
          <w:tcPr>
            <w:tcW w:w="220" w:type="dxa"/>
            <w:vAlign w:val="bottom"/>
            <w:shd w:val="clear" w:color="auto" w:fill="E2E2E2"/>
          </w:tcPr>
          <w:p>
            <w:pPr>
              <w:spacing w:after="0"/>
              <w:rPr>
                <w:sz w:val="18"/>
                <w:szCs w:val="18"/>
                <w:color w:val="auto"/>
              </w:rPr>
            </w:pPr>
          </w:p>
        </w:tc>
        <w:tc>
          <w:tcPr>
            <w:tcW w:w="84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460" w:type="dxa"/>
            <w:vAlign w:val="bottom"/>
            <w:tcBorders>
              <w:bottom w:val="single" w:sz="8" w:color="E2E2E2"/>
            </w:tcBorders>
            <w:gridSpan w:val="2"/>
          </w:tcPr>
          <w:p>
            <w:pPr>
              <w:ind w:left="4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393,483</w:t>
            </w:r>
          </w:p>
        </w:tc>
        <w:tc>
          <w:tcPr>
            <w:tcW w:w="10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44.2%</w:t>
            </w:r>
          </w:p>
        </w:tc>
        <w:tc>
          <w:tcPr>
            <w:tcW w:w="120" w:type="dxa"/>
            <w:vAlign w:val="bottom"/>
            <w:tcBorders>
              <w:bottom w:val="single" w:sz="8" w:color="E2E2E2"/>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341,329</w:t>
            </w:r>
          </w:p>
        </w:tc>
        <w:tc>
          <w:tcPr>
            <w:tcW w:w="12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840" w:type="dxa"/>
            <w:vAlign w:val="bottom"/>
            <w:tcBorders>
              <w:top w:val="single" w:sz="8" w:color="auto"/>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tcBorders>
              <w:bottom w:val="single" w:sz="8" w:color="E2E2E2"/>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52,154</w:t>
            </w:r>
          </w:p>
        </w:tc>
        <w:tc>
          <w:tcPr>
            <w:tcW w:w="100" w:type="dxa"/>
            <w:vAlign w:val="bottom"/>
            <w:tcBorders>
              <w:bottom w:val="single" w:sz="8" w:color="E2E2E2"/>
            </w:tcBorders>
          </w:tcPr>
          <w:p>
            <w:pPr>
              <w:spacing w:after="0"/>
              <w:rPr>
                <w:sz w:val="17"/>
                <w:szCs w:val="17"/>
                <w:color w:val="auto"/>
              </w:rPr>
            </w:pPr>
          </w:p>
        </w:tc>
        <w:tc>
          <w:tcPr>
            <w:tcW w:w="220" w:type="dxa"/>
            <w:vAlign w:val="bottom"/>
            <w:tcBorders>
              <w:bottom w:val="single" w:sz="8" w:color="E2E2E2"/>
            </w:tcBorders>
          </w:tcPr>
          <w:p>
            <w:pPr>
              <w:spacing w:after="0"/>
              <w:rPr>
                <w:sz w:val="17"/>
                <w:szCs w:val="17"/>
                <w:color w:val="auto"/>
              </w:rPr>
            </w:pPr>
          </w:p>
        </w:tc>
        <w:tc>
          <w:tcPr>
            <w:tcW w:w="840" w:type="dxa"/>
            <w:vAlign w:val="bottom"/>
            <w:tcBorders>
              <w:bottom w:val="single" w:sz="8" w:color="E2E2E2"/>
            </w:tcBorders>
          </w:tcPr>
          <w:p>
            <w:pPr>
              <w:jc w:val="right"/>
              <w:ind w:right="15"/>
              <w:spacing w:after="0"/>
              <w:rPr>
                <w:sz w:val="20"/>
                <w:szCs w:val="20"/>
                <w:color w:val="auto"/>
              </w:rPr>
            </w:pPr>
            <w:r>
              <w:rPr>
                <w:rFonts w:ascii="Times New Roman" w:cs="Times New Roman" w:eastAsia="Times New Roman" w:hAnsi="Times New Roman"/>
                <w:sz w:val="17"/>
                <w:szCs w:val="17"/>
                <w:color w:val="auto"/>
              </w:rPr>
              <w:t>15.3%</w:t>
            </w:r>
          </w:p>
        </w:tc>
      </w:tr>
      <w:tr>
        <w:trPr>
          <w:trHeight w:val="204"/>
        </w:trPr>
        <w:tc>
          <w:tcPr>
            <w:tcW w:w="446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60" w:type="dxa"/>
            <w:vAlign w:val="bottom"/>
            <w:shd w:val="clear" w:color="auto" w:fill="E2E2E2"/>
          </w:tcPr>
          <w:p>
            <w:pPr>
              <w:spacing w:after="0"/>
              <w:rPr>
                <w:sz w:val="17"/>
                <w:szCs w:val="17"/>
                <w:color w:val="auto"/>
              </w:rPr>
            </w:pPr>
          </w:p>
        </w:tc>
        <w:tc>
          <w:tcPr>
            <w:tcW w:w="84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18,487</w:t>
            </w:r>
          </w:p>
        </w:tc>
        <w:tc>
          <w:tcPr>
            <w:tcW w:w="10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84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E2E2E2"/>
          </w:tcPr>
          <w:p>
            <w:pPr>
              <w:spacing w:after="0"/>
              <w:rPr>
                <w:sz w:val="17"/>
                <w:szCs w:val="17"/>
                <w:color w:val="auto"/>
              </w:rPr>
            </w:pPr>
          </w:p>
        </w:tc>
        <w:tc>
          <w:tcPr>
            <w:tcW w:w="100" w:type="dxa"/>
            <w:vAlign w:val="bottom"/>
            <w:shd w:val="clear" w:color="auto" w:fill="E2E2E2"/>
          </w:tcPr>
          <w:p>
            <w:pPr>
              <w:spacing w:after="0"/>
              <w:rPr>
                <w:sz w:val="17"/>
                <w:szCs w:val="17"/>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(19,802)</w:t>
            </w:r>
          </w:p>
        </w:tc>
        <w:tc>
          <w:tcPr>
            <w:tcW w:w="12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80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38,289</w:t>
            </w:r>
          </w:p>
        </w:tc>
        <w:tc>
          <w:tcPr>
            <w:tcW w:w="10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(193.4)%</w:t>
            </w: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income: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9"/>
        </w:trPr>
        <w:tc>
          <w:tcPr>
            <w:tcW w:w="446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shd w:val="clear" w:color="auto" w:fill="E2E2E2"/>
          </w:tcPr>
          <w:p>
            <w:pPr>
              <w:spacing w:after="0"/>
              <w:rPr>
                <w:sz w:val="18"/>
                <w:szCs w:val="18"/>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(22,135)</w:t>
            </w:r>
          </w:p>
        </w:tc>
        <w:tc>
          <w:tcPr>
            <w:tcW w:w="96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E2E2E2"/>
          </w:tcPr>
          <w:p>
            <w:pPr>
              <w:spacing w:after="0"/>
              <w:rPr>
                <w:sz w:val="18"/>
                <w:szCs w:val="18"/>
                <w:color w:val="auto"/>
              </w:rPr>
            </w:pPr>
          </w:p>
        </w:tc>
        <w:tc>
          <w:tcPr>
            <w:tcW w:w="100" w:type="dxa"/>
            <w:vAlign w:val="bottom"/>
            <w:shd w:val="clear" w:color="auto" w:fill="E2E2E2"/>
          </w:tcPr>
          <w:p>
            <w:pPr>
              <w:spacing w:after="0"/>
              <w:rPr>
                <w:sz w:val="18"/>
                <w:szCs w:val="18"/>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(30,366)</w:t>
            </w:r>
          </w:p>
        </w:tc>
        <w:tc>
          <w:tcPr>
            <w:tcW w:w="980" w:type="dxa"/>
            <w:vAlign w:val="bottom"/>
            <w:gridSpan w:val="4"/>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E2E2E2"/>
          </w:tcPr>
          <w:p>
            <w:pPr>
              <w:spacing w:after="0"/>
              <w:rPr>
                <w:sz w:val="18"/>
                <w:szCs w:val="18"/>
                <w:color w:val="auto"/>
              </w:rPr>
            </w:pPr>
          </w:p>
        </w:tc>
        <w:tc>
          <w:tcPr>
            <w:tcW w:w="220" w:type="dxa"/>
            <w:vAlign w:val="bottom"/>
            <w:shd w:val="clear" w:color="auto" w:fill="E2E2E2"/>
          </w:tcPr>
          <w:p>
            <w:pPr>
              <w:spacing w:after="0"/>
              <w:rPr>
                <w:sz w:val="18"/>
                <w:szCs w:val="18"/>
                <w:color w:val="auto"/>
              </w:rPr>
            </w:pPr>
          </w:p>
        </w:tc>
        <w:tc>
          <w:tcPr>
            <w:tcW w:w="80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8,231</w:t>
            </w:r>
          </w:p>
        </w:tc>
        <w:tc>
          <w:tcPr>
            <w:tcW w:w="100" w:type="dxa"/>
            <w:vAlign w:val="bottom"/>
            <w:shd w:val="clear" w:color="auto" w:fill="E2E2E2"/>
          </w:tcPr>
          <w:p>
            <w:pPr>
              <w:spacing w:after="0"/>
              <w:rPr>
                <w:sz w:val="18"/>
                <w:szCs w:val="18"/>
                <w:color w:val="auto"/>
              </w:rPr>
            </w:pPr>
          </w:p>
        </w:tc>
        <w:tc>
          <w:tcPr>
            <w:tcW w:w="220" w:type="dxa"/>
            <w:vAlign w:val="bottom"/>
            <w:shd w:val="clear" w:color="auto" w:fill="E2E2E2"/>
          </w:tcPr>
          <w:p>
            <w:pPr>
              <w:spacing w:after="0"/>
              <w:rPr>
                <w:sz w:val="18"/>
                <w:szCs w:val="18"/>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10"/>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776</w:t>
            </w:r>
          </w:p>
        </w:tc>
        <w:tc>
          <w:tcPr>
            <w:tcW w:w="960" w:type="dxa"/>
            <w:vAlign w:val="bottom"/>
            <w:gridSpan w:val="3"/>
          </w:tcPr>
          <w:p>
            <w:pPr>
              <w:jc w:val="right"/>
              <w:ind w:right="15"/>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1,524</w:t>
            </w:r>
          </w:p>
        </w:tc>
        <w:tc>
          <w:tcPr>
            <w:tcW w:w="980" w:type="dxa"/>
            <w:vAlign w:val="bottom"/>
            <w:gridSpan w:val="4"/>
          </w:tcPr>
          <w:p>
            <w:pPr>
              <w:jc w:val="right"/>
              <w:ind w:right="15"/>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r>
      <w:tr>
        <w:trPr>
          <w:trHeight w:val="210"/>
        </w:trPr>
        <w:tc>
          <w:tcPr>
            <w:tcW w:w="446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17"/>
                <w:szCs w:val="17"/>
                <w:color w:val="auto"/>
              </w:rPr>
              <w:t>Foreign currency transaction loss</w:t>
            </w:r>
          </w:p>
        </w:tc>
        <w:tc>
          <w:tcPr>
            <w:tcW w:w="160" w:type="dxa"/>
            <w:vAlign w:val="bottom"/>
            <w:shd w:val="clear" w:color="auto" w:fill="E2E2E2"/>
          </w:tcPr>
          <w:p>
            <w:pPr>
              <w:spacing w:after="0"/>
              <w:rPr>
                <w:sz w:val="18"/>
                <w:szCs w:val="18"/>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(3,209)</w:t>
            </w:r>
          </w:p>
        </w:tc>
        <w:tc>
          <w:tcPr>
            <w:tcW w:w="96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shd w:val="clear" w:color="auto" w:fill="E2E2E2"/>
          </w:tcPr>
          <w:p>
            <w:pPr>
              <w:spacing w:after="0"/>
              <w:rPr>
                <w:sz w:val="18"/>
                <w:szCs w:val="18"/>
                <w:color w:val="auto"/>
              </w:rPr>
            </w:pPr>
          </w:p>
        </w:tc>
        <w:tc>
          <w:tcPr>
            <w:tcW w:w="100" w:type="dxa"/>
            <w:vAlign w:val="bottom"/>
            <w:shd w:val="clear" w:color="auto" w:fill="E2E2E2"/>
          </w:tcPr>
          <w:p>
            <w:pPr>
              <w:spacing w:after="0"/>
              <w:rPr>
                <w:sz w:val="18"/>
                <w:szCs w:val="18"/>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(2,172)</w:t>
            </w:r>
          </w:p>
        </w:tc>
        <w:tc>
          <w:tcPr>
            <w:tcW w:w="980" w:type="dxa"/>
            <w:vAlign w:val="bottom"/>
            <w:gridSpan w:val="4"/>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E2E2E2"/>
          </w:tcPr>
          <w:p>
            <w:pPr>
              <w:spacing w:after="0"/>
              <w:rPr>
                <w:sz w:val="18"/>
                <w:szCs w:val="18"/>
                <w:color w:val="auto"/>
              </w:rPr>
            </w:pPr>
          </w:p>
        </w:tc>
        <w:tc>
          <w:tcPr>
            <w:tcW w:w="220" w:type="dxa"/>
            <w:vAlign w:val="bottom"/>
            <w:shd w:val="clear" w:color="auto" w:fill="E2E2E2"/>
          </w:tcPr>
          <w:p>
            <w:pPr>
              <w:spacing w:after="0"/>
              <w:rPr>
                <w:sz w:val="18"/>
                <w:szCs w:val="18"/>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shd w:val="clear" w:color="auto" w:fill="E2E2E2"/>
          </w:tcPr>
          <w:p>
            <w:pPr>
              <w:spacing w:after="0"/>
              <w:rPr>
                <w:sz w:val="18"/>
                <w:szCs w:val="18"/>
                <w:color w:val="auto"/>
              </w:rPr>
            </w:pPr>
          </w:p>
        </w:tc>
        <w:tc>
          <w:tcPr>
            <w:tcW w:w="220" w:type="dxa"/>
            <w:vAlign w:val="bottom"/>
            <w:shd w:val="clear" w:color="auto" w:fill="E2E2E2"/>
          </w:tcPr>
          <w:p>
            <w:pPr>
              <w:spacing w:after="0"/>
              <w:rPr>
                <w:sz w:val="18"/>
                <w:szCs w:val="18"/>
                <w:color w:val="auto"/>
              </w:rPr>
            </w:pPr>
          </w:p>
        </w:tc>
        <w:tc>
          <w:tcPr>
            <w:tcW w:w="84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47.7%</w:t>
            </w:r>
          </w:p>
        </w:tc>
      </w:tr>
      <w:tr>
        <w:trPr>
          <w:trHeight w:val="210"/>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(Loss) income in earnings of equity investment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(9,399)</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1,176</w:t>
            </w:r>
          </w:p>
        </w:tc>
        <w:tc>
          <w:tcPr>
            <w:tcW w:w="980" w:type="dxa"/>
            <w:vAlign w:val="bottom"/>
            <w:gridSpan w:val="4"/>
          </w:tcPr>
          <w:p>
            <w:pPr>
              <w:jc w:val="right"/>
              <w:ind w:right="15"/>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(899.2)%</w:t>
            </w:r>
          </w:p>
        </w:tc>
      </w:tr>
      <w:tr>
        <w:trPr>
          <w:trHeight w:val="210"/>
        </w:trPr>
        <w:tc>
          <w:tcPr>
            <w:tcW w:w="446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17"/>
                <w:szCs w:val="17"/>
                <w:color w:val="auto"/>
              </w:rPr>
              <w:t>Loss on change in fair value of forward repurchase contract</w:t>
            </w:r>
          </w:p>
        </w:tc>
        <w:tc>
          <w:tcPr>
            <w:tcW w:w="160" w:type="dxa"/>
            <w:vAlign w:val="bottom"/>
            <w:shd w:val="clear" w:color="auto" w:fill="E2E2E2"/>
          </w:tcPr>
          <w:p>
            <w:pPr>
              <w:spacing w:after="0"/>
              <w:rPr>
                <w:sz w:val="18"/>
                <w:szCs w:val="18"/>
                <w:color w:val="auto"/>
              </w:rPr>
            </w:pPr>
          </w:p>
        </w:tc>
        <w:tc>
          <w:tcPr>
            <w:tcW w:w="84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2E2E2"/>
          </w:tcPr>
          <w:p>
            <w:pPr>
              <w:spacing w:after="0"/>
              <w:rPr>
                <w:sz w:val="18"/>
                <w:szCs w:val="18"/>
                <w:color w:val="auto"/>
              </w:rPr>
            </w:pPr>
          </w:p>
        </w:tc>
        <w:tc>
          <w:tcPr>
            <w:tcW w:w="20" w:type="dxa"/>
            <w:vAlign w:val="bottom"/>
            <w:shd w:val="clear" w:color="auto" w:fill="E2E2E2"/>
          </w:tcPr>
          <w:p>
            <w:pPr>
              <w:spacing w:after="0"/>
              <w:rPr>
                <w:sz w:val="18"/>
                <w:szCs w:val="18"/>
                <w:color w:val="auto"/>
              </w:rPr>
            </w:pPr>
          </w:p>
        </w:tc>
        <w:tc>
          <w:tcPr>
            <w:tcW w:w="84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E2E2E2"/>
          </w:tcPr>
          <w:p>
            <w:pPr>
              <w:spacing w:after="0"/>
              <w:rPr>
                <w:sz w:val="18"/>
                <w:szCs w:val="18"/>
                <w:color w:val="auto"/>
              </w:rPr>
            </w:pPr>
          </w:p>
        </w:tc>
        <w:tc>
          <w:tcPr>
            <w:tcW w:w="100" w:type="dxa"/>
            <w:vAlign w:val="bottom"/>
            <w:shd w:val="clear" w:color="auto" w:fill="E2E2E2"/>
          </w:tcPr>
          <w:p>
            <w:pPr>
              <w:spacing w:after="0"/>
              <w:rPr>
                <w:sz w:val="18"/>
                <w:szCs w:val="18"/>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(34,752)</w:t>
            </w:r>
          </w:p>
        </w:tc>
        <w:tc>
          <w:tcPr>
            <w:tcW w:w="980" w:type="dxa"/>
            <w:vAlign w:val="bottom"/>
            <w:gridSpan w:val="4"/>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E2E2E2"/>
          </w:tcPr>
          <w:p>
            <w:pPr>
              <w:spacing w:after="0"/>
              <w:rPr>
                <w:sz w:val="18"/>
                <w:szCs w:val="18"/>
                <w:color w:val="auto"/>
              </w:rPr>
            </w:pPr>
          </w:p>
        </w:tc>
        <w:tc>
          <w:tcPr>
            <w:tcW w:w="220" w:type="dxa"/>
            <w:vAlign w:val="bottom"/>
            <w:shd w:val="clear" w:color="auto" w:fill="E2E2E2"/>
          </w:tcPr>
          <w:p>
            <w:pPr>
              <w:spacing w:after="0"/>
              <w:rPr>
                <w:sz w:val="18"/>
                <w:szCs w:val="18"/>
                <w:color w:val="auto"/>
              </w:rPr>
            </w:pPr>
          </w:p>
        </w:tc>
        <w:tc>
          <w:tcPr>
            <w:tcW w:w="80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34,752</w:t>
            </w:r>
          </w:p>
        </w:tc>
        <w:tc>
          <w:tcPr>
            <w:tcW w:w="100" w:type="dxa"/>
            <w:vAlign w:val="bottom"/>
            <w:shd w:val="clear" w:color="auto" w:fill="E2E2E2"/>
          </w:tcPr>
          <w:p>
            <w:pPr>
              <w:spacing w:after="0"/>
              <w:rPr>
                <w:sz w:val="18"/>
                <w:szCs w:val="18"/>
                <w:color w:val="auto"/>
              </w:rPr>
            </w:pPr>
          </w:p>
        </w:tc>
        <w:tc>
          <w:tcPr>
            <w:tcW w:w="220" w:type="dxa"/>
            <w:vAlign w:val="bottom"/>
            <w:shd w:val="clear" w:color="auto" w:fill="E2E2E2"/>
          </w:tcPr>
          <w:p>
            <w:pPr>
              <w:spacing w:after="0"/>
              <w:rPr>
                <w:sz w:val="18"/>
                <w:szCs w:val="18"/>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09"/>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6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579</w:t>
            </w:r>
          </w:p>
        </w:tc>
        <w:tc>
          <w:tcPr>
            <w:tcW w:w="960" w:type="dxa"/>
            <w:vAlign w:val="bottom"/>
            <w:gridSpan w:val="3"/>
          </w:tcPr>
          <w:p>
            <w:pPr>
              <w:jc w:val="right"/>
              <w:ind w:right="15"/>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(1,304)</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w:t>
            </w:r>
          </w:p>
        </w:tc>
      </w:tr>
      <w:tr>
        <w:trPr>
          <w:trHeight w:val="205"/>
        </w:trPr>
        <w:tc>
          <w:tcPr>
            <w:tcW w:w="4460" w:type="dxa"/>
            <w:vAlign w:val="bottom"/>
            <w:tcBorders>
              <w:top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160" w:type="dxa"/>
            <w:vAlign w:val="bottom"/>
            <w:tcBorders>
              <w:top w:val="single" w:sz="8" w:color="auto"/>
            </w:tcBorders>
            <w:shd w:val="clear" w:color="auto" w:fill="E2E2E2"/>
          </w:tcPr>
          <w:p>
            <w:pPr>
              <w:spacing w:after="0"/>
              <w:rPr>
                <w:sz w:val="17"/>
                <w:szCs w:val="17"/>
                <w:color w:val="auto"/>
              </w:rPr>
            </w:pPr>
          </w:p>
        </w:tc>
        <w:tc>
          <w:tcPr>
            <w:tcW w:w="84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(14,901)</w:t>
            </w:r>
          </w:p>
        </w:tc>
        <w:tc>
          <w:tcPr>
            <w:tcW w:w="100" w:type="dxa"/>
            <w:vAlign w:val="bottom"/>
            <w:tcBorders>
              <w:top w:val="single" w:sz="8" w:color="E2E2E2"/>
            </w:tcBorders>
            <w:shd w:val="clear" w:color="auto" w:fill="E2E2E2"/>
          </w:tcPr>
          <w:p>
            <w:pPr>
              <w:spacing w:after="0"/>
              <w:rPr>
                <w:sz w:val="17"/>
                <w:szCs w:val="17"/>
                <w:color w:val="auto"/>
              </w:rPr>
            </w:pPr>
          </w:p>
        </w:tc>
        <w:tc>
          <w:tcPr>
            <w:tcW w:w="20" w:type="dxa"/>
            <w:vAlign w:val="bottom"/>
            <w:tcBorders>
              <w:top w:val="single" w:sz="8" w:color="E2E2E2"/>
            </w:tcBorders>
            <w:shd w:val="clear" w:color="auto" w:fill="E2E2E2"/>
          </w:tcPr>
          <w:p>
            <w:pPr>
              <w:spacing w:after="0"/>
              <w:rPr>
                <w:sz w:val="17"/>
                <w:szCs w:val="17"/>
                <w:color w:val="auto"/>
              </w:rPr>
            </w:pPr>
          </w:p>
        </w:tc>
        <w:tc>
          <w:tcPr>
            <w:tcW w:w="84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top w:val="single" w:sz="8" w:color="E2E2E2"/>
            </w:tcBorders>
            <w:shd w:val="clear" w:color="auto" w:fill="E2E2E2"/>
          </w:tcPr>
          <w:p>
            <w:pPr>
              <w:spacing w:after="0"/>
              <w:rPr>
                <w:sz w:val="17"/>
                <w:szCs w:val="17"/>
                <w:color w:val="auto"/>
              </w:rPr>
            </w:pPr>
          </w:p>
        </w:tc>
        <w:tc>
          <w:tcPr>
            <w:tcW w:w="100" w:type="dxa"/>
            <w:vAlign w:val="bottom"/>
            <w:tcBorders>
              <w:top w:val="single" w:sz="8" w:color="auto"/>
            </w:tcBorders>
            <w:shd w:val="clear" w:color="auto" w:fill="E2E2E2"/>
          </w:tcPr>
          <w:p>
            <w:pPr>
              <w:spacing w:after="0"/>
              <w:rPr>
                <w:sz w:val="17"/>
                <w:szCs w:val="17"/>
                <w:color w:val="auto"/>
              </w:rPr>
            </w:pPr>
          </w:p>
        </w:tc>
        <w:tc>
          <w:tcPr>
            <w:tcW w:w="90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(85,696)</w:t>
            </w:r>
          </w:p>
        </w:tc>
        <w:tc>
          <w:tcPr>
            <w:tcW w:w="120" w:type="dxa"/>
            <w:vAlign w:val="bottom"/>
            <w:tcBorders>
              <w:top w:val="single" w:sz="8" w:color="E2E2E2"/>
            </w:tcBorders>
            <w:shd w:val="clear" w:color="auto" w:fill="E2E2E2"/>
          </w:tcPr>
          <w:p>
            <w:pPr>
              <w:spacing w:after="0"/>
              <w:rPr>
                <w:sz w:val="17"/>
                <w:szCs w:val="17"/>
                <w:color w:val="auto"/>
              </w:rPr>
            </w:pPr>
          </w:p>
        </w:tc>
        <w:tc>
          <w:tcPr>
            <w:tcW w:w="20" w:type="dxa"/>
            <w:vAlign w:val="bottom"/>
            <w:tcBorders>
              <w:top w:val="single" w:sz="8" w:color="E2E2E2"/>
            </w:tcBorders>
            <w:shd w:val="clear" w:color="auto" w:fill="E2E2E2"/>
          </w:tcPr>
          <w:p>
            <w:pPr>
              <w:spacing w:after="0"/>
              <w:rPr>
                <w:sz w:val="17"/>
                <w:szCs w:val="17"/>
                <w:color w:val="auto"/>
              </w:rPr>
            </w:pPr>
          </w:p>
        </w:tc>
        <w:tc>
          <w:tcPr>
            <w:tcW w:w="20" w:type="dxa"/>
            <w:vAlign w:val="bottom"/>
            <w:tcBorders>
              <w:top w:val="single" w:sz="8" w:color="auto"/>
            </w:tcBorders>
            <w:shd w:val="clear" w:color="auto" w:fill="E2E2E2"/>
          </w:tcPr>
          <w:p>
            <w:pPr>
              <w:spacing w:after="0"/>
              <w:rPr>
                <w:sz w:val="17"/>
                <w:szCs w:val="17"/>
                <w:color w:val="auto"/>
              </w:rPr>
            </w:pPr>
          </w:p>
        </w:tc>
        <w:tc>
          <w:tcPr>
            <w:tcW w:w="82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Borders>
              <w:top w:val="single" w:sz="8" w:color="E2E2E2"/>
            </w:tcBorders>
            <w:shd w:val="clear" w:color="auto" w:fill="E2E2E2"/>
          </w:tcPr>
          <w:p>
            <w:pPr>
              <w:spacing w:after="0"/>
              <w:rPr>
                <w:sz w:val="17"/>
                <w:szCs w:val="17"/>
                <w:color w:val="auto"/>
              </w:rPr>
            </w:pPr>
          </w:p>
        </w:tc>
        <w:tc>
          <w:tcPr>
            <w:tcW w:w="220" w:type="dxa"/>
            <w:vAlign w:val="bottom"/>
            <w:tcBorders>
              <w:top w:val="single" w:sz="8" w:color="auto"/>
            </w:tcBorders>
            <w:shd w:val="clear" w:color="auto" w:fill="E2E2E2"/>
          </w:tcPr>
          <w:p>
            <w:pPr>
              <w:spacing w:after="0"/>
              <w:rPr>
                <w:sz w:val="17"/>
                <w:szCs w:val="17"/>
                <w:color w:val="auto"/>
              </w:rPr>
            </w:pPr>
          </w:p>
        </w:tc>
        <w:tc>
          <w:tcPr>
            <w:tcW w:w="800" w:type="dxa"/>
            <w:vAlign w:val="bottom"/>
            <w:tcBorders>
              <w:top w:val="single" w:sz="8" w:color="auto"/>
            </w:tcBorders>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70,795</w:t>
            </w:r>
          </w:p>
        </w:tc>
        <w:tc>
          <w:tcPr>
            <w:tcW w:w="100" w:type="dxa"/>
            <w:vAlign w:val="bottom"/>
            <w:tcBorders>
              <w:top w:val="single" w:sz="8" w:color="E2E2E2"/>
            </w:tcBorders>
            <w:shd w:val="clear" w:color="auto" w:fill="E2E2E2"/>
          </w:tcPr>
          <w:p>
            <w:pPr>
              <w:spacing w:after="0"/>
              <w:rPr>
                <w:sz w:val="17"/>
                <w:szCs w:val="17"/>
                <w:color w:val="auto"/>
              </w:rPr>
            </w:pPr>
          </w:p>
        </w:tc>
        <w:tc>
          <w:tcPr>
            <w:tcW w:w="220" w:type="dxa"/>
            <w:vAlign w:val="bottom"/>
            <w:tcBorders>
              <w:top w:val="single" w:sz="8" w:color="E2E2E2"/>
            </w:tcBorders>
            <w:shd w:val="clear" w:color="auto" w:fill="E2E2E2"/>
          </w:tcPr>
          <w:p>
            <w:pPr>
              <w:spacing w:after="0"/>
              <w:rPr>
                <w:sz w:val="17"/>
                <w:szCs w:val="17"/>
                <w:color w:val="auto"/>
              </w:rPr>
            </w:pPr>
          </w:p>
        </w:tc>
        <w:tc>
          <w:tcPr>
            <w:tcW w:w="840" w:type="dxa"/>
            <w:vAlign w:val="bottom"/>
            <w:tcBorders>
              <w:top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(82.6)%</w:t>
            </w:r>
          </w:p>
        </w:tc>
      </w:tr>
      <w:tr>
        <w:trPr>
          <w:trHeight w:val="209"/>
        </w:trPr>
        <w:tc>
          <w:tcPr>
            <w:tcW w:w="4460" w:type="dxa"/>
            <w:vAlign w:val="bottom"/>
            <w:tcBorders>
              <w:bottom w:val="single" w:sz="8" w:color="E2E2E2"/>
            </w:tcBorders>
            <w:gridSpan w:val="2"/>
          </w:tcPr>
          <w:p>
            <w:pPr>
              <w:ind w:left="400"/>
              <w:spacing w:after="0"/>
              <w:rPr>
                <w:sz w:val="20"/>
                <w:szCs w:val="20"/>
                <w:color w:val="auto"/>
              </w:rPr>
            </w:pPr>
            <w:r>
              <w:rPr>
                <w:rFonts w:ascii="Times New Roman" w:cs="Times New Roman" w:eastAsia="Times New Roman" w:hAnsi="Times New Roman"/>
                <w:sz w:val="17"/>
                <w:szCs w:val="17"/>
                <w:color w:val="auto"/>
              </w:rPr>
              <w:t>Income tax benefit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tcBorders>
              <w:bottom w:val="single" w:sz="8" w:color="E2E2E2"/>
            </w:tcBorders>
          </w:tcPr>
          <w:p>
            <w:pPr>
              <w:spacing w:after="0"/>
              <w:rPr>
                <w:sz w:val="18"/>
                <w:szCs w:val="18"/>
                <w:color w:val="auto"/>
              </w:rPr>
            </w:pPr>
          </w:p>
        </w:tc>
        <w:tc>
          <w:tcPr>
            <w:tcW w:w="20" w:type="dxa"/>
            <w:vAlign w:val="bottom"/>
            <w:tcBorders>
              <w:bottom w:val="single" w:sz="8" w:color="E2E2E2"/>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20" w:type="dxa"/>
            <w:vAlign w:val="bottom"/>
            <w:tcBorders>
              <w:bottom w:val="single" w:sz="8" w:color="E2E2E2"/>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(12,933)</w:t>
            </w:r>
          </w:p>
        </w:tc>
        <w:tc>
          <w:tcPr>
            <w:tcW w:w="120" w:type="dxa"/>
            <w:vAlign w:val="bottom"/>
            <w:tcBorders>
              <w:bottom w:val="single" w:sz="8" w:color="E2E2E2"/>
            </w:tcBorders>
          </w:tcPr>
          <w:p>
            <w:pPr>
              <w:spacing w:after="0"/>
              <w:rPr>
                <w:sz w:val="18"/>
                <w:szCs w:val="18"/>
                <w:color w:val="auto"/>
              </w:rPr>
            </w:pPr>
          </w:p>
        </w:tc>
        <w:tc>
          <w:tcPr>
            <w:tcW w:w="20" w:type="dxa"/>
            <w:vAlign w:val="bottom"/>
            <w:tcBorders>
              <w:bottom w:val="single" w:sz="8" w:color="E2E2E2"/>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12,685</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E2E2E2"/>
            </w:tcBorders>
          </w:tcPr>
          <w:p>
            <w:pPr>
              <w:spacing w:after="0"/>
              <w:rPr>
                <w:sz w:val="18"/>
                <w:szCs w:val="18"/>
                <w:color w:val="auto"/>
              </w:rPr>
            </w:pPr>
          </w:p>
        </w:tc>
        <w:tc>
          <w:tcPr>
            <w:tcW w:w="84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17"/>
                <w:szCs w:val="17"/>
                <w:color w:val="auto"/>
              </w:rPr>
              <w:t>(98.1)%</w:t>
            </w:r>
          </w:p>
        </w:tc>
      </w:tr>
      <w:tr>
        <w:trPr>
          <w:trHeight w:val="205"/>
        </w:trPr>
        <w:tc>
          <w:tcPr>
            <w:tcW w:w="446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shd w:val="clear" w:color="auto" w:fill="E2E2E2"/>
          </w:tcPr>
          <w:p>
            <w:pPr>
              <w:spacing w:after="0"/>
              <w:rPr>
                <w:sz w:val="17"/>
                <w:szCs w:val="17"/>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(14,653)</w:t>
            </w:r>
          </w:p>
        </w:tc>
        <w:tc>
          <w:tcPr>
            <w:tcW w:w="10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E2E2E2"/>
          </w:tcPr>
          <w:p>
            <w:pPr>
              <w:spacing w:after="0"/>
              <w:rPr>
                <w:sz w:val="17"/>
                <w:szCs w:val="17"/>
                <w:color w:val="auto"/>
              </w:rPr>
            </w:pPr>
          </w:p>
        </w:tc>
        <w:tc>
          <w:tcPr>
            <w:tcW w:w="100" w:type="dxa"/>
            <w:vAlign w:val="bottom"/>
            <w:shd w:val="clear" w:color="auto" w:fill="E2E2E2"/>
          </w:tcPr>
          <w:p>
            <w:pPr>
              <w:spacing w:after="0"/>
              <w:rPr>
                <w:sz w:val="17"/>
                <w:szCs w:val="17"/>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(72,763)</w:t>
            </w:r>
          </w:p>
        </w:tc>
        <w:tc>
          <w:tcPr>
            <w:tcW w:w="12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80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58,110</w:t>
            </w:r>
          </w:p>
        </w:tc>
        <w:tc>
          <w:tcPr>
            <w:tcW w:w="10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(79.9)%</w:t>
            </w:r>
          </w:p>
        </w:tc>
      </w:tr>
      <w:tr>
        <w:trPr>
          <w:trHeight w:val="209"/>
        </w:trPr>
        <w:tc>
          <w:tcPr>
            <w:tcW w:w="4460" w:type="dxa"/>
            <w:vAlign w:val="bottom"/>
            <w:tcBorders>
              <w:bottom w:val="single" w:sz="8" w:color="E2E2E2"/>
            </w:tcBorders>
            <w:gridSpan w:val="2"/>
          </w:tcPr>
          <w:p>
            <w:pPr>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tcBorders>
              <w:bottom w:val="single" w:sz="8" w:color="E2E2E2"/>
            </w:tcBorders>
          </w:tcPr>
          <w:p>
            <w:pPr>
              <w:spacing w:after="0"/>
              <w:rPr>
                <w:sz w:val="18"/>
                <w:szCs w:val="18"/>
                <w:color w:val="auto"/>
              </w:rPr>
            </w:pPr>
          </w:p>
        </w:tc>
        <w:tc>
          <w:tcPr>
            <w:tcW w:w="20" w:type="dxa"/>
            <w:vAlign w:val="bottom"/>
            <w:tcBorders>
              <w:bottom w:val="single" w:sz="8" w:color="E2E2E2"/>
            </w:tcBorders>
          </w:tcPr>
          <w:p>
            <w:pPr>
              <w:spacing w:after="0"/>
              <w:rPr>
                <w:sz w:val="18"/>
                <w:szCs w:val="18"/>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0.0%</w:t>
            </w:r>
          </w:p>
        </w:tc>
        <w:tc>
          <w:tcPr>
            <w:tcW w:w="120" w:type="dxa"/>
            <w:vAlign w:val="bottom"/>
            <w:tcBorders>
              <w:bottom w:val="single" w:sz="8" w:color="E2E2E2"/>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247</w:t>
            </w:r>
          </w:p>
        </w:tc>
        <w:tc>
          <w:tcPr>
            <w:tcW w:w="120" w:type="dxa"/>
            <w:vAlign w:val="bottom"/>
            <w:tcBorders>
              <w:bottom w:val="single" w:sz="8" w:color="E2E2E2"/>
            </w:tcBorders>
          </w:tcPr>
          <w:p>
            <w:pPr>
              <w:spacing w:after="0"/>
              <w:rPr>
                <w:sz w:val="18"/>
                <w:szCs w:val="18"/>
                <w:color w:val="auto"/>
              </w:rPr>
            </w:pPr>
          </w:p>
        </w:tc>
        <w:tc>
          <w:tcPr>
            <w:tcW w:w="20" w:type="dxa"/>
            <w:vAlign w:val="bottom"/>
            <w:tcBorders>
              <w:bottom w:val="single" w:sz="8" w:color="E2E2E2"/>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0.0%</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E2E2E2"/>
            </w:tcBorders>
          </w:tcPr>
          <w:p>
            <w:pPr>
              <w:spacing w:after="0"/>
              <w:rPr>
                <w:sz w:val="18"/>
                <w:szCs w:val="18"/>
                <w:color w:val="auto"/>
              </w:rPr>
            </w:pPr>
          </w:p>
        </w:tc>
        <w:tc>
          <w:tcPr>
            <w:tcW w:w="84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5"/>
        </w:trPr>
        <w:tc>
          <w:tcPr>
            <w:tcW w:w="446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7"/>
                <w:szCs w:val="17"/>
                <w:color w:val="auto"/>
              </w:rPr>
              <w:t>Net loss attributable to Allegro MicroSystems, Inc.</w:t>
            </w:r>
          </w:p>
        </w:tc>
        <w:tc>
          <w:tcPr>
            <w:tcW w:w="160" w:type="dxa"/>
            <w:vAlign w:val="bottom"/>
            <w:shd w:val="clear" w:color="auto" w:fill="E2E2E2"/>
          </w:tcPr>
          <w:p>
            <w:pPr>
              <w:jc w:val="right"/>
              <w:ind w:right="36"/>
              <w:spacing w:after="0"/>
              <w:rPr>
                <w:sz w:val="20"/>
                <w:szCs w:val="20"/>
                <w:color w:val="auto"/>
              </w:rPr>
            </w:pPr>
            <w:r>
              <w:rPr>
                <w:rFonts w:ascii="Times New Roman" w:cs="Times New Roman" w:eastAsia="Times New Roman" w:hAnsi="Times New Roman"/>
                <w:sz w:val="11"/>
                <w:szCs w:val="11"/>
                <w:color w:val="auto"/>
                <w:w w:val="71"/>
                <w:shd w:val="clear" w:color="auto" w:fill="E2E2E2"/>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shd w:val="clear" w:color="auto" w:fill="E2E2E2"/>
              </w:rPr>
              <w:t>(14,897)</w:t>
            </w:r>
          </w:p>
        </w:tc>
        <w:tc>
          <w:tcPr>
            <w:tcW w:w="10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E2E2E2"/>
          </w:tcPr>
          <w:p>
            <w:pPr>
              <w:spacing w:after="0"/>
              <w:rPr>
                <w:sz w:val="19"/>
                <w:szCs w:val="19"/>
                <w:color w:val="auto"/>
              </w:rPr>
            </w:pPr>
          </w:p>
        </w:tc>
        <w:tc>
          <w:tcPr>
            <w:tcW w:w="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2E2E2"/>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shd w:val="clear" w:color="auto" w:fill="E2E2E2"/>
              </w:rPr>
              <w:t>(73,010)</w:t>
            </w:r>
          </w:p>
        </w:tc>
        <w:tc>
          <w:tcPr>
            <w:tcW w:w="1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shd w:val="clear" w:color="auto" w:fill="E2E2E2"/>
          </w:tcPr>
          <w:p>
            <w:pPr>
              <w:spacing w:after="0"/>
              <w:rPr>
                <w:sz w:val="19"/>
                <w:szCs w:val="19"/>
                <w:color w:val="auto"/>
              </w:rPr>
            </w:pPr>
          </w:p>
        </w:tc>
        <w:tc>
          <w:tcPr>
            <w:tcW w:w="22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58,113</w:t>
            </w:r>
          </w:p>
        </w:tc>
        <w:tc>
          <w:tcPr>
            <w:tcW w:w="10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(79.6)%</w:t>
            </w:r>
          </w:p>
        </w:tc>
      </w:tr>
      <w:tr>
        <w:trPr>
          <w:trHeight w:val="20"/>
        </w:trPr>
        <w:tc>
          <w:tcPr>
            <w:tcW w:w="444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E2E2E2"/>
            </w:tcBorders>
          </w:tcPr>
          <w:p>
            <w:pPr>
              <w:spacing w:after="0" w:line="20" w:lineRule="exact"/>
              <w:rPr>
                <w:sz w:val="1"/>
                <w:szCs w:val="1"/>
                <w:color w:val="auto"/>
              </w:rPr>
            </w:pPr>
          </w:p>
        </w:tc>
        <w:tc>
          <w:tcPr>
            <w:tcW w:w="840" w:type="dxa"/>
            <w:vAlign w:val="bottom"/>
            <w:tcBorders>
              <w:top w:val="single" w:sz="8" w:color="E2E2E2"/>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2797175</wp:posOffset>
            </wp:positionH>
            <wp:positionV relativeFrom="paragraph">
              <wp:posOffset>-3426460</wp:posOffset>
            </wp:positionV>
            <wp:extent cx="263271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extLst>
                    </a:blip>
                    <a:srcRect/>
                    <a:stretch>
                      <a:fillRect/>
                    </a:stretch>
                  </pic:blipFill>
                  <pic:spPr bwMode="auto">
                    <a:xfrm>
                      <a:off x="0" y="0"/>
                      <a:ext cx="2632710" cy="3810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net sales</w:t>
      </w:r>
    </w:p>
    <w:p>
      <w:pPr>
        <w:spacing w:after="0" w:line="120"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Total net sales increased primarily driven by Focus Auto products, which include ADAS and xEV components, data center applications, industrial automation and robotics products, medical applications, internal combustion engine products, clean energy applications and safety, comfort and convenience applications, partially offset by a decrease in consumer products, broad-based industrial products and personal and industrial transport products.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 by Market</w:t>
      </w:r>
    </w:p>
    <w:p>
      <w:pPr>
        <w:spacing w:after="0" w:line="118"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following table summarizes total net sales by market. The categorization of net sales by market is based on the characteristics of the end product and application into which our product will be designed.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160"/>
        </w:trPr>
        <w:tc>
          <w:tcPr>
            <w:tcW w:w="5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250"/>
              <w:spacing w:after="0" w:line="160"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70"/>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3"/>
        </w:trPr>
        <w:tc>
          <w:tcPr>
            <w:tcW w:w="5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jc w:val="right"/>
              <w:ind w:right="56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79"/>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ind w:left="150"/>
              <w:spacing w:after="0" w:line="179" w:lineRule="exact"/>
              <w:rPr>
                <w:sz w:val="20"/>
                <w:szCs w:val="20"/>
                <w:color w:val="auto"/>
              </w:rPr>
            </w:pPr>
            <w:r>
              <w:rPr>
                <w:rFonts w:ascii="Times New Roman" w:cs="Times New Roman" w:eastAsia="Times New Roman" w:hAnsi="Times New Roman"/>
                <w:sz w:val="16"/>
                <w:szCs w:val="16"/>
                <w:b w:val="1"/>
                <w:bCs w:val="1"/>
                <w:color w:val="auto"/>
                <w:w w:val="99"/>
              </w:rPr>
              <w:t>(Dollars in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top w:val="single" w:sz="8" w:color="auto"/>
            </w:tcBorders>
            <w:gridSpan w:val="2"/>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thousands)</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30"/>
        </w:trPr>
        <w:tc>
          <w:tcPr>
            <w:tcW w:w="544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Automotive</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E2E2E2"/>
          </w:tcPr>
          <w:p>
            <w:pPr>
              <w:jc w:val="right"/>
              <w:ind w:right="30"/>
              <w:spacing w:after="0"/>
              <w:rPr>
                <w:sz w:val="20"/>
                <w:szCs w:val="20"/>
                <w:color w:val="auto"/>
              </w:rPr>
            </w:pPr>
            <w:r>
              <w:rPr>
                <w:rFonts w:ascii="Times New Roman" w:cs="Times New Roman" w:eastAsia="Times New Roman" w:hAnsi="Times New Roman"/>
                <w:sz w:val="20"/>
                <w:szCs w:val="20"/>
                <w:color w:val="auto"/>
              </w:rPr>
              <w:t>628,561</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2E2E2"/>
          </w:tcPr>
          <w:p>
            <w:pPr>
              <w:jc w:val="center"/>
              <w:ind w:left="150"/>
              <w:spacing w:after="0"/>
              <w:rPr>
                <w:sz w:val="20"/>
                <w:szCs w:val="20"/>
                <w:color w:val="auto"/>
              </w:rPr>
            </w:pPr>
            <w:r>
              <w:rPr>
                <w:rFonts w:ascii="Times New Roman" w:cs="Times New Roman" w:eastAsia="Times New Roman" w:hAnsi="Times New Roman"/>
                <w:sz w:val="20"/>
                <w:szCs w:val="20"/>
                <w:color w:val="auto"/>
                <w:w w:val="98"/>
              </w:rPr>
              <w:t>535,205</w:t>
            </w:r>
          </w:p>
        </w:tc>
        <w:tc>
          <w:tcPr>
            <w:tcW w:w="320" w:type="dxa"/>
            <w:vAlign w:val="bottom"/>
            <w:gridSpan w:val="3"/>
            <w:shd w:val="clear" w:color="auto" w:fill="E2E2E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2E2E2"/>
          </w:tcPr>
          <w:p>
            <w:pPr>
              <w:jc w:val="right"/>
              <w:ind w:right="8"/>
              <w:spacing w:after="0"/>
              <w:rPr>
                <w:sz w:val="20"/>
                <w:szCs w:val="20"/>
                <w:color w:val="auto"/>
              </w:rPr>
            </w:pPr>
            <w:r>
              <w:rPr>
                <w:rFonts w:ascii="Times New Roman" w:cs="Times New Roman" w:eastAsia="Times New Roman" w:hAnsi="Times New Roman"/>
                <w:sz w:val="20"/>
                <w:szCs w:val="20"/>
                <w:color w:val="auto"/>
              </w:rPr>
              <w:t>93,356</w:t>
            </w:r>
          </w:p>
        </w:tc>
        <w:tc>
          <w:tcPr>
            <w:tcW w:w="120" w:type="dxa"/>
            <w:vAlign w:val="bottom"/>
            <w:shd w:val="clear" w:color="auto" w:fill="E2E2E2"/>
          </w:tcPr>
          <w:p>
            <w:pPr>
              <w:spacing w:after="0"/>
              <w:rPr>
                <w:sz w:val="20"/>
                <w:szCs w:val="20"/>
                <w:color w:val="auto"/>
              </w:rPr>
            </w:pPr>
          </w:p>
        </w:tc>
        <w:tc>
          <w:tcPr>
            <w:tcW w:w="280" w:type="dxa"/>
            <w:vAlign w:val="bottom"/>
            <w:shd w:val="clear" w:color="auto" w:fill="E2E2E2"/>
          </w:tcPr>
          <w:p>
            <w:pPr>
              <w:spacing w:after="0"/>
              <w:rPr>
                <w:sz w:val="20"/>
                <w:szCs w:val="20"/>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17.4%</w:t>
            </w:r>
          </w:p>
        </w:tc>
      </w:tr>
      <w:tr>
        <w:trPr>
          <w:trHeight w:val="230"/>
        </w:trPr>
        <w:tc>
          <w:tcPr>
            <w:tcW w:w="5440" w:type="dxa"/>
            <w:vAlign w:val="bottom"/>
            <w:tcBorders>
              <w:bottom w:val="single" w:sz="8" w:color="E2E2E2"/>
            </w:tcBorders>
            <w:gridSpan w:val="2"/>
          </w:tcPr>
          <w:p>
            <w:pPr>
              <w:spacing w:after="0"/>
              <w:rPr>
                <w:sz w:val="20"/>
                <w:szCs w:val="20"/>
                <w:color w:val="auto"/>
              </w:rPr>
            </w:pPr>
            <w:r>
              <w:rPr>
                <w:rFonts w:ascii="Times New Roman" w:cs="Times New Roman" w:eastAsia="Times New Roman" w:hAnsi="Times New Roman"/>
                <w:sz w:val="20"/>
                <w:szCs w:val="20"/>
                <w:color w:val="auto"/>
              </w:rPr>
              <w:t>Industrial and other</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20"/>
                <w:szCs w:val="20"/>
                <w:color w:val="auto"/>
              </w:rPr>
              <w:t>261,535</w:t>
            </w:r>
          </w:p>
        </w:tc>
        <w:tc>
          <w:tcPr>
            <w:tcW w:w="120" w:type="dxa"/>
            <w:vAlign w:val="bottom"/>
            <w:tcBorders>
              <w:bottom w:val="single" w:sz="8" w:color="E2E2E2"/>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20"/>
                <w:szCs w:val="20"/>
                <w:color w:val="auto"/>
                <w:w w:val="98"/>
              </w:rPr>
              <w:t>189,801</w:t>
            </w:r>
          </w:p>
        </w:tc>
        <w:tc>
          <w:tcPr>
            <w:tcW w:w="14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71,734</w:t>
            </w:r>
          </w:p>
        </w:tc>
        <w:tc>
          <w:tcPr>
            <w:tcW w:w="120" w:type="dxa"/>
            <w:vAlign w:val="bottom"/>
            <w:tcBorders>
              <w:bottom w:val="single" w:sz="8" w:color="E2E2E2"/>
            </w:tcBorders>
          </w:tcPr>
          <w:p>
            <w:pPr>
              <w:spacing w:after="0"/>
              <w:rPr>
                <w:sz w:val="19"/>
                <w:szCs w:val="19"/>
                <w:color w:val="auto"/>
              </w:rPr>
            </w:pPr>
          </w:p>
        </w:tc>
        <w:tc>
          <w:tcPr>
            <w:tcW w:w="280" w:type="dxa"/>
            <w:vAlign w:val="bottom"/>
            <w:tcBorders>
              <w:bottom w:val="single" w:sz="8" w:color="E2E2E2"/>
            </w:tcBorders>
          </w:tcPr>
          <w:p>
            <w:pPr>
              <w:spacing w:after="0"/>
              <w:rPr>
                <w:sz w:val="19"/>
                <w:szCs w:val="19"/>
                <w:color w:val="auto"/>
              </w:rPr>
            </w:pPr>
          </w:p>
        </w:tc>
        <w:tc>
          <w:tcPr>
            <w:tcW w:w="98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auto"/>
              </w:rPr>
              <w:t>37.8%</w:t>
            </w:r>
          </w:p>
        </w:tc>
      </w:tr>
      <w:tr>
        <w:trPr>
          <w:trHeight w:val="245"/>
        </w:trPr>
        <w:tc>
          <w:tcPr>
            <w:tcW w:w="5440" w:type="dxa"/>
            <w:vAlign w:val="bottom"/>
            <w:gridSpan w:val="2"/>
            <w:shd w:val="clear" w:color="auto" w:fill="E2E2E2"/>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rPr>
              <w:t>Total net sales</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E2E2E2"/>
          </w:tcPr>
          <w:p>
            <w:pPr>
              <w:jc w:val="right"/>
              <w:ind w:right="30"/>
              <w:spacing w:after="0" w:line="225" w:lineRule="exact"/>
              <w:rPr>
                <w:sz w:val="20"/>
                <w:szCs w:val="20"/>
                <w:color w:val="auto"/>
              </w:rPr>
            </w:pPr>
            <w:r>
              <w:rPr>
                <w:rFonts w:ascii="Times New Roman" w:cs="Times New Roman" w:eastAsia="Times New Roman" w:hAnsi="Times New Roman"/>
                <w:sz w:val="20"/>
                <w:szCs w:val="20"/>
                <w:color w:val="auto"/>
              </w:rPr>
              <w:t>890,096</w:t>
            </w:r>
          </w:p>
        </w:tc>
        <w:tc>
          <w:tcPr>
            <w:tcW w:w="120" w:type="dxa"/>
            <w:vAlign w:val="bottom"/>
            <w:shd w:val="clear" w:color="auto" w:fill="E2E2E2"/>
          </w:tcPr>
          <w:p>
            <w:pPr>
              <w:spacing w:after="0"/>
              <w:rPr>
                <w:sz w:val="21"/>
                <w:szCs w:val="21"/>
                <w:color w:val="auto"/>
              </w:rPr>
            </w:pPr>
          </w:p>
        </w:tc>
        <w:tc>
          <w:tcPr>
            <w:tcW w:w="16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2E2E2"/>
          </w:tcPr>
          <w:p>
            <w:pPr>
              <w:jc w:val="center"/>
              <w:ind w:left="150"/>
              <w:spacing w:after="0" w:line="225" w:lineRule="exact"/>
              <w:rPr>
                <w:sz w:val="20"/>
                <w:szCs w:val="20"/>
                <w:color w:val="auto"/>
              </w:rPr>
            </w:pPr>
            <w:r>
              <w:rPr>
                <w:rFonts w:ascii="Times New Roman" w:cs="Times New Roman" w:eastAsia="Times New Roman" w:hAnsi="Times New Roman"/>
                <w:sz w:val="20"/>
                <w:szCs w:val="20"/>
                <w:color w:val="auto"/>
                <w:w w:val="98"/>
              </w:rPr>
              <w:t>725,006</w:t>
            </w:r>
          </w:p>
        </w:tc>
        <w:tc>
          <w:tcPr>
            <w:tcW w:w="1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2E2E2"/>
          </w:tcPr>
          <w:p>
            <w:pPr>
              <w:jc w:val="right"/>
              <w:ind w:right="8"/>
              <w:spacing w:after="0" w:line="225" w:lineRule="exact"/>
              <w:rPr>
                <w:sz w:val="20"/>
                <w:szCs w:val="20"/>
                <w:color w:val="auto"/>
              </w:rPr>
            </w:pPr>
            <w:r>
              <w:rPr>
                <w:rFonts w:ascii="Times New Roman" w:cs="Times New Roman" w:eastAsia="Times New Roman" w:hAnsi="Times New Roman"/>
                <w:sz w:val="20"/>
                <w:szCs w:val="20"/>
                <w:color w:val="auto"/>
              </w:rPr>
              <w:t>165,090</w:t>
            </w:r>
          </w:p>
        </w:tc>
        <w:tc>
          <w:tcPr>
            <w:tcW w:w="120" w:type="dxa"/>
            <w:vAlign w:val="bottom"/>
            <w:shd w:val="clear" w:color="auto" w:fill="E2E2E2"/>
          </w:tcPr>
          <w:p>
            <w:pPr>
              <w:spacing w:after="0"/>
              <w:rPr>
                <w:sz w:val="21"/>
                <w:szCs w:val="21"/>
                <w:color w:val="auto"/>
              </w:rPr>
            </w:pPr>
          </w:p>
        </w:tc>
        <w:tc>
          <w:tcPr>
            <w:tcW w:w="280" w:type="dxa"/>
            <w:vAlign w:val="bottom"/>
            <w:shd w:val="clear" w:color="auto" w:fill="E2E2E2"/>
          </w:tcPr>
          <w:p>
            <w:pPr>
              <w:spacing w:after="0"/>
              <w:rPr>
                <w:sz w:val="21"/>
                <w:szCs w:val="21"/>
                <w:color w:val="auto"/>
              </w:rPr>
            </w:pPr>
          </w:p>
        </w:tc>
        <w:tc>
          <w:tcPr>
            <w:tcW w:w="98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22.8%</w:t>
            </w:r>
          </w:p>
        </w:tc>
      </w:tr>
      <w:tr>
        <w:trPr>
          <w:trHeight w:val="20"/>
        </w:trPr>
        <w:tc>
          <w:tcPr>
            <w:tcW w:w="542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280" w:type="dxa"/>
            <w:vAlign w:val="bottom"/>
            <w:tcBorders>
              <w:top w:val="single" w:sz="8" w:color="E2E2E2"/>
            </w:tcBorders>
          </w:tcPr>
          <w:p>
            <w:pPr>
              <w:spacing w:after="0" w:line="20" w:lineRule="exact"/>
              <w:rPr>
                <w:sz w:val="1"/>
                <w:szCs w:val="1"/>
                <w:color w:val="auto"/>
              </w:rPr>
            </w:pPr>
          </w:p>
        </w:tc>
        <w:tc>
          <w:tcPr>
            <w:tcW w:w="980" w:type="dxa"/>
            <w:vAlign w:val="bottom"/>
            <w:tcBorders>
              <w:top w:val="single" w:sz="8" w:color="E2E2E2"/>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-859790</wp:posOffset>
            </wp:positionV>
            <wp:extent cx="169862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extLst>
                    </a:blip>
                    <a:srcRect/>
                    <a:stretch>
                      <a:fillRect/>
                    </a:stretch>
                  </pic:blipFill>
                  <pic:spPr bwMode="auto">
                    <a:xfrm>
                      <a:off x="0" y="0"/>
                      <a:ext cx="1698625" cy="38100"/>
                    </a:xfrm>
                    <a:prstGeom prst="rect">
                      <a:avLst/>
                    </a:prstGeom>
                    <a:noFill/>
                  </pic:spPr>
                </pic:pic>
              </a:graphicData>
            </a:graphic>
          </wp:anchor>
        </w:drawing>
      </w:r>
    </w:p>
    <w:p>
      <w:pPr>
        <w:spacing w:after="0" w:line="81"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Automotive net sales increased primarily due to an increase in demand for Focus Auto products, which include ADAS and xEV components, as well as our internal combustion engine products and safety, comfort and convenience applications.</w:t>
      </w:r>
    </w:p>
    <w:p>
      <w:pPr>
        <w:spacing w:after="0" w:line="49"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Industrial and other net sales increased primarily due to an increase in demand for data center applications, industrial automation and robotics products, medical applications and clean energy applications, partially offset by a decrease in consumer products, broad-based industrial products and personal and industrial transport products.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800"/>
          </w:cols>
          <w:pgMar w:left="720" w:top="926" w:right="720" w:bottom="175"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i w:val="1"/>
          <w:iCs w:val="1"/>
          <w:color w:val="auto"/>
        </w:rPr>
        <w:t>Net Sales by Product</w:t>
      </w:r>
    </w:p>
    <w:p>
      <w:pPr>
        <w:spacing w:after="0" w:line="1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summarizes net sales by product.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160"/>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30"/>
              <w:spacing w:after="0" w:line="160"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170"/>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3"/>
        </w:trPr>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jc w:val="right"/>
              <w:ind w:right="56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79"/>
        </w:trPr>
        <w:tc>
          <w:tcPr>
            <w:tcW w:w="54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ind w:left="110"/>
              <w:spacing w:after="0" w:line="179" w:lineRule="exact"/>
              <w:rPr>
                <w:sz w:val="20"/>
                <w:szCs w:val="20"/>
                <w:color w:val="auto"/>
              </w:rPr>
            </w:pPr>
            <w:r>
              <w:rPr>
                <w:rFonts w:ascii="Times New Roman" w:cs="Times New Roman" w:eastAsia="Times New Roman" w:hAnsi="Times New Roman"/>
                <w:sz w:val="16"/>
                <w:szCs w:val="16"/>
                <w:b w:val="1"/>
                <w:bCs w:val="1"/>
                <w:color w:val="auto"/>
                <w:w w:val="99"/>
              </w:rPr>
              <w:t>(Dollars in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top w:val="single" w:sz="8" w:color="auto"/>
            </w:tcBorders>
            <w:gridSpan w:val="2"/>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thousands)</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30"/>
        </w:trPr>
        <w:tc>
          <w:tcPr>
            <w:tcW w:w="54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Magnetic sensors (“MS”)</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auto"/>
              </w:rPr>
              <w:t>538,538</w:t>
            </w:r>
          </w:p>
        </w:tc>
        <w:tc>
          <w:tcPr>
            <w:tcW w:w="30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2E2E2"/>
          </w:tcPr>
          <w:p>
            <w:pPr>
              <w:jc w:val="center"/>
              <w:ind w:left="130"/>
              <w:spacing w:after="0"/>
              <w:rPr>
                <w:sz w:val="20"/>
                <w:szCs w:val="20"/>
                <w:color w:val="auto"/>
              </w:rPr>
            </w:pPr>
            <w:r>
              <w:rPr>
                <w:rFonts w:ascii="Times New Roman" w:cs="Times New Roman" w:eastAsia="Times New Roman" w:hAnsi="Times New Roman"/>
                <w:sz w:val="20"/>
                <w:szCs w:val="20"/>
                <w:color w:val="auto"/>
              </w:rPr>
              <w:t>474,557</w:t>
            </w:r>
          </w:p>
        </w:tc>
        <w:tc>
          <w:tcPr>
            <w:tcW w:w="320" w:type="dxa"/>
            <w:vAlign w:val="bottom"/>
            <w:gridSpan w:val="3"/>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2E2E2"/>
          </w:tcPr>
          <w:p>
            <w:pPr>
              <w:jc w:val="right"/>
              <w:ind w:right="28"/>
              <w:spacing w:after="0"/>
              <w:rPr>
                <w:sz w:val="20"/>
                <w:szCs w:val="20"/>
                <w:color w:val="auto"/>
              </w:rPr>
            </w:pPr>
            <w:r>
              <w:rPr>
                <w:rFonts w:ascii="Times New Roman" w:cs="Times New Roman" w:eastAsia="Times New Roman" w:hAnsi="Times New Roman"/>
                <w:sz w:val="20"/>
                <w:szCs w:val="20"/>
                <w:color w:val="auto"/>
              </w:rPr>
              <w:t>63,981</w:t>
            </w:r>
          </w:p>
        </w:tc>
        <w:tc>
          <w:tcPr>
            <w:tcW w:w="120" w:type="dxa"/>
            <w:vAlign w:val="bottom"/>
            <w:shd w:val="clear" w:color="auto" w:fill="E2E2E2"/>
          </w:tcPr>
          <w:p>
            <w:pPr>
              <w:spacing w:after="0"/>
              <w:rPr>
                <w:sz w:val="20"/>
                <w:szCs w:val="20"/>
                <w:color w:val="auto"/>
              </w:rPr>
            </w:pPr>
          </w:p>
        </w:tc>
        <w:tc>
          <w:tcPr>
            <w:tcW w:w="280" w:type="dxa"/>
            <w:vAlign w:val="bottom"/>
            <w:shd w:val="clear" w:color="auto" w:fill="E2E2E2"/>
          </w:tcPr>
          <w:p>
            <w:pPr>
              <w:spacing w:after="0"/>
              <w:rPr>
                <w:sz w:val="20"/>
                <w:szCs w:val="20"/>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44"/>
        </w:trPr>
        <w:tc>
          <w:tcPr>
            <w:tcW w:w="544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Power integrated circuits (“PIC”)</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351,558</w:t>
            </w:r>
          </w:p>
        </w:tc>
        <w:tc>
          <w:tcPr>
            <w:tcW w:w="140" w:type="dxa"/>
            <w:vAlign w:val="bottom"/>
            <w:tcBorders>
              <w:bottom w:val="single" w:sz="8" w:color="E2E2E2"/>
            </w:tcBorders>
          </w:tcPr>
          <w:p>
            <w:pPr>
              <w:spacing w:after="0"/>
              <w:rPr>
                <w:sz w:val="21"/>
                <w:szCs w:val="21"/>
                <w:color w:val="auto"/>
              </w:rPr>
            </w:pPr>
          </w:p>
        </w:tc>
        <w:tc>
          <w:tcPr>
            <w:tcW w:w="20" w:type="dxa"/>
            <w:vAlign w:val="bottom"/>
            <w:tcBorders>
              <w:bottom w:val="single" w:sz="8" w:color="E2E2E2"/>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20"/>
                <w:szCs w:val="20"/>
                <w:color w:val="auto"/>
              </w:rPr>
              <w:t>250,449</w:t>
            </w:r>
          </w:p>
        </w:tc>
        <w:tc>
          <w:tcPr>
            <w:tcW w:w="120" w:type="dxa"/>
            <w:vAlign w:val="bottom"/>
            <w:tcBorders>
              <w:bottom w:val="single" w:sz="8" w:color="E2E2E2"/>
            </w:tcBorders>
          </w:tcPr>
          <w:p>
            <w:pPr>
              <w:spacing w:after="0"/>
              <w:rPr>
                <w:sz w:val="21"/>
                <w:szCs w:val="21"/>
                <w:color w:val="auto"/>
              </w:rPr>
            </w:pPr>
          </w:p>
        </w:tc>
        <w:tc>
          <w:tcPr>
            <w:tcW w:w="2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20"/>
                <w:szCs w:val="20"/>
                <w:color w:val="auto"/>
              </w:rPr>
              <w:t>101,109</w:t>
            </w:r>
          </w:p>
        </w:tc>
        <w:tc>
          <w:tcPr>
            <w:tcW w:w="120" w:type="dxa"/>
            <w:vAlign w:val="bottom"/>
            <w:tcBorders>
              <w:bottom w:val="single" w:sz="8" w:color="E2E2E2"/>
            </w:tcBorders>
          </w:tcPr>
          <w:p>
            <w:pPr>
              <w:spacing w:after="0"/>
              <w:rPr>
                <w:sz w:val="21"/>
                <w:szCs w:val="21"/>
                <w:color w:val="auto"/>
              </w:rPr>
            </w:pPr>
          </w:p>
        </w:tc>
        <w:tc>
          <w:tcPr>
            <w:tcW w:w="280" w:type="dxa"/>
            <w:vAlign w:val="bottom"/>
            <w:tcBorders>
              <w:bottom w:val="single" w:sz="8" w:color="E2E2E2"/>
            </w:tcBorders>
          </w:tcPr>
          <w:p>
            <w:pPr>
              <w:spacing w:after="0"/>
              <w:rPr>
                <w:sz w:val="21"/>
                <w:szCs w:val="21"/>
                <w:color w:val="auto"/>
              </w:rPr>
            </w:pPr>
          </w:p>
        </w:tc>
        <w:tc>
          <w:tcPr>
            <w:tcW w:w="98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auto"/>
              </w:rPr>
              <w:t>40.4%</w:t>
            </w:r>
          </w:p>
        </w:tc>
      </w:tr>
      <w:tr>
        <w:trPr>
          <w:trHeight w:val="245"/>
        </w:trPr>
        <w:tc>
          <w:tcPr>
            <w:tcW w:w="5440" w:type="dxa"/>
            <w:vAlign w:val="bottom"/>
            <w:tcBorders>
              <w:bottom w:val="single" w:sz="8" w:color="E2E2E2"/>
            </w:tcBorders>
            <w:shd w:val="clear" w:color="auto" w:fill="E2E2E2"/>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rPr>
              <w:t>Total net sales</w:t>
            </w:r>
          </w:p>
        </w:tc>
        <w:tc>
          <w:tcPr>
            <w:tcW w:w="16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2E2E2"/>
          </w:tcPr>
          <w:p>
            <w:pPr>
              <w:jc w:val="right"/>
              <w:ind w:right="10"/>
              <w:spacing w:after="0" w:line="225" w:lineRule="exact"/>
              <w:rPr>
                <w:sz w:val="20"/>
                <w:szCs w:val="20"/>
                <w:color w:val="auto"/>
              </w:rPr>
            </w:pPr>
            <w:r>
              <w:rPr>
                <w:rFonts w:ascii="Times New Roman" w:cs="Times New Roman" w:eastAsia="Times New Roman" w:hAnsi="Times New Roman"/>
                <w:sz w:val="20"/>
                <w:szCs w:val="20"/>
                <w:color w:val="auto"/>
              </w:rPr>
              <w:t>890,096</w:t>
            </w:r>
          </w:p>
        </w:tc>
        <w:tc>
          <w:tcPr>
            <w:tcW w:w="14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auto"/>
            </w:tcBorders>
            <w:shd w:val="clear" w:color="auto" w:fill="E2E2E2"/>
          </w:tcPr>
          <w:p>
            <w:pPr>
              <w:spacing w:after="0"/>
              <w:rPr>
                <w:sz w:val="21"/>
                <w:szCs w:val="21"/>
                <w:color w:val="auto"/>
              </w:rPr>
            </w:pPr>
          </w:p>
        </w:tc>
        <w:tc>
          <w:tcPr>
            <w:tcW w:w="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E2E2E2"/>
          </w:tcPr>
          <w:p>
            <w:pPr>
              <w:jc w:val="center"/>
              <w:ind w:left="130"/>
              <w:spacing w:after="0" w:line="225" w:lineRule="exact"/>
              <w:rPr>
                <w:sz w:val="20"/>
                <w:szCs w:val="20"/>
                <w:color w:val="auto"/>
              </w:rPr>
            </w:pPr>
            <w:r>
              <w:rPr>
                <w:rFonts w:ascii="Times New Roman" w:cs="Times New Roman" w:eastAsia="Times New Roman" w:hAnsi="Times New Roman"/>
                <w:sz w:val="20"/>
                <w:szCs w:val="20"/>
                <w:color w:val="auto"/>
              </w:rPr>
              <w:t>725,006</w:t>
            </w:r>
          </w:p>
        </w:tc>
        <w:tc>
          <w:tcPr>
            <w:tcW w:w="12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auto"/>
            </w:tcBorders>
            <w:shd w:val="clear" w:color="auto" w:fill="E2E2E2"/>
          </w:tcPr>
          <w:p>
            <w:pPr>
              <w:spacing w:after="0"/>
              <w:rPr>
                <w:sz w:val="21"/>
                <w:szCs w:val="21"/>
                <w:color w:val="auto"/>
              </w:rPr>
            </w:pPr>
          </w:p>
        </w:tc>
        <w:tc>
          <w:tcPr>
            <w:tcW w:w="180" w:type="dxa"/>
            <w:vAlign w:val="bottom"/>
            <w:tcBorders>
              <w:bottom w:val="single" w:sz="8" w:color="auto"/>
            </w:tcBorders>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E2E2E2"/>
          </w:tcPr>
          <w:p>
            <w:pPr>
              <w:jc w:val="right"/>
              <w:ind w:right="28"/>
              <w:spacing w:after="0" w:line="225" w:lineRule="exact"/>
              <w:rPr>
                <w:sz w:val="20"/>
                <w:szCs w:val="20"/>
                <w:color w:val="auto"/>
              </w:rPr>
            </w:pPr>
            <w:r>
              <w:rPr>
                <w:rFonts w:ascii="Times New Roman" w:cs="Times New Roman" w:eastAsia="Times New Roman" w:hAnsi="Times New Roman"/>
                <w:sz w:val="20"/>
                <w:szCs w:val="20"/>
                <w:color w:val="auto"/>
              </w:rPr>
              <w:t>165,090</w:t>
            </w:r>
          </w:p>
        </w:tc>
        <w:tc>
          <w:tcPr>
            <w:tcW w:w="120" w:type="dxa"/>
            <w:vAlign w:val="bottom"/>
            <w:tcBorders>
              <w:bottom w:val="single" w:sz="8" w:color="E2E2E2"/>
            </w:tcBorders>
            <w:shd w:val="clear" w:color="auto" w:fill="E2E2E2"/>
          </w:tcPr>
          <w:p>
            <w:pPr>
              <w:spacing w:after="0"/>
              <w:rPr>
                <w:sz w:val="21"/>
                <w:szCs w:val="21"/>
                <w:color w:val="auto"/>
              </w:rPr>
            </w:pPr>
          </w:p>
        </w:tc>
        <w:tc>
          <w:tcPr>
            <w:tcW w:w="280" w:type="dxa"/>
            <w:vAlign w:val="bottom"/>
            <w:tcBorders>
              <w:bottom w:val="single" w:sz="8" w:color="E2E2E2"/>
            </w:tcBorders>
            <w:shd w:val="clear" w:color="auto" w:fill="E2E2E2"/>
          </w:tcPr>
          <w:p>
            <w:pPr>
              <w:spacing w:after="0"/>
              <w:rPr>
                <w:sz w:val="21"/>
                <w:szCs w:val="21"/>
                <w:color w:val="auto"/>
              </w:rPr>
            </w:pPr>
          </w:p>
        </w:tc>
        <w:tc>
          <w:tcPr>
            <w:tcW w:w="980" w:type="dxa"/>
            <w:vAlign w:val="bottom"/>
            <w:tcBorders>
              <w:bottom w:val="single" w:sz="8" w:color="E2E2E2"/>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22.8%</w:t>
            </w: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-868680</wp:posOffset>
            </wp:positionV>
            <wp:extent cx="17018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extLst>
                    </a:blip>
                    <a:srcRect/>
                    <a:stretch>
                      <a:fillRect/>
                    </a:stretch>
                  </pic:blipFill>
                  <pic:spPr bwMode="auto">
                    <a:xfrm>
                      <a:off x="0" y="0"/>
                      <a:ext cx="1701800" cy="38100"/>
                    </a:xfrm>
                    <a:prstGeom prst="rect">
                      <a:avLst/>
                    </a:prstGeom>
                    <a:noFill/>
                  </pic:spPr>
                </pic:pic>
              </a:graphicData>
            </a:graphic>
          </wp:anchor>
        </w:drawing>
      </w:r>
    </w:p>
    <w:p>
      <w:pPr>
        <w:spacing w:after="0" w:line="99"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The increase in MS was primarily due to an increase in demand for our current and isolator products, magnetic speed sensors, TMR sensor solutions and magnetic position sensors. The increase in PIC sales was primarily driven by a demand for our motor and high performance power products.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 by Geographic Location</w:t>
      </w:r>
    </w:p>
    <w:p>
      <w:pPr>
        <w:spacing w:after="0" w:line="1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summarizes net sales by geographic location based on ship-to location.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5"/>
          </w:tcPr>
          <w:p>
            <w:pPr>
              <w:jc w:val="right"/>
              <w:ind w:right="625"/>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bottom w:val="single" w:sz="8" w:color="auto"/>
            </w:tcBorders>
          </w:tcPr>
          <w:p>
            <w:pPr>
              <w:spacing w:after="0"/>
              <w:rPr>
                <w:sz w:val="17"/>
                <w:szCs w:val="17"/>
                <w:color w:val="auto"/>
              </w:rPr>
            </w:pPr>
          </w:p>
        </w:tc>
      </w:tr>
      <w:tr>
        <w:trPr>
          <w:trHeight w:val="174"/>
        </w:trPr>
        <w:tc>
          <w:tcPr>
            <w:tcW w:w="5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45"/>
              <w:spacing w:after="0" w:line="174"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25"/>
              <w:spacing w:after="0" w:line="174"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3"/>
        </w:trPr>
        <w:tc>
          <w:tcPr>
            <w:tcW w:w="5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44"/>
        </w:trPr>
        <w:tc>
          <w:tcPr>
            <w:tcW w:w="54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Americas:</w:t>
            </w:r>
          </w:p>
        </w:tc>
        <w:tc>
          <w:tcPr>
            <w:tcW w:w="140" w:type="dxa"/>
            <w:vAlign w:val="bottom"/>
            <w:shd w:val="clear" w:color="auto" w:fill="E2E2E2"/>
          </w:tcPr>
          <w:p>
            <w:pPr>
              <w:spacing w:after="0"/>
              <w:rPr>
                <w:sz w:val="21"/>
                <w:szCs w:val="21"/>
                <w:color w:val="auto"/>
              </w:rPr>
            </w:pPr>
          </w:p>
        </w:tc>
        <w:tc>
          <w:tcPr>
            <w:tcW w:w="1080" w:type="dxa"/>
            <w:vAlign w:val="bottom"/>
            <w:shd w:val="clear" w:color="auto" w:fill="E2E2E2"/>
          </w:tcPr>
          <w:p>
            <w:pPr>
              <w:spacing w:after="0"/>
              <w:rPr>
                <w:sz w:val="21"/>
                <w:szCs w:val="21"/>
                <w:color w:val="auto"/>
              </w:rPr>
            </w:pPr>
          </w:p>
        </w:tc>
        <w:tc>
          <w:tcPr>
            <w:tcW w:w="12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1080" w:type="dxa"/>
            <w:vAlign w:val="bottom"/>
            <w:shd w:val="clear" w:color="auto" w:fill="E2E2E2"/>
          </w:tcPr>
          <w:p>
            <w:pPr>
              <w:spacing w:after="0"/>
              <w:rPr>
                <w:sz w:val="21"/>
                <w:szCs w:val="21"/>
                <w:color w:val="auto"/>
              </w:rPr>
            </w:pPr>
          </w:p>
        </w:tc>
        <w:tc>
          <w:tcPr>
            <w:tcW w:w="12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02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060" w:type="dxa"/>
            <w:vAlign w:val="bottom"/>
            <w:shd w:val="clear" w:color="auto" w:fill="E2E2E2"/>
          </w:tcPr>
          <w:p>
            <w:pPr>
              <w:spacing w:after="0"/>
              <w:rPr>
                <w:sz w:val="21"/>
                <w:szCs w:val="21"/>
                <w:color w:val="auto"/>
              </w:rPr>
            </w:pPr>
          </w:p>
        </w:tc>
      </w:tr>
      <w:tr>
        <w:trPr>
          <w:trHeight w:val="244"/>
        </w:trPr>
        <w:tc>
          <w:tcPr>
            <w:tcW w:w="54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91,412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92,458</w:t>
            </w:r>
          </w:p>
        </w:tc>
        <w:tc>
          <w:tcPr>
            <w:tcW w:w="3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(1,046)</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8"/>
        </w:trPr>
        <w:tc>
          <w:tcPr>
            <w:tcW w:w="542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Other Americas</w:t>
            </w:r>
          </w:p>
        </w:tc>
        <w:tc>
          <w:tcPr>
            <w:tcW w:w="140" w:type="dxa"/>
            <w:vAlign w:val="bottom"/>
            <w:shd w:val="clear" w:color="auto" w:fill="E2E2E2"/>
          </w:tcPr>
          <w:p>
            <w:pPr>
              <w:spacing w:after="0"/>
              <w:rPr>
                <w:sz w:val="22"/>
                <w:szCs w:val="22"/>
                <w:color w:val="auto"/>
              </w:rPr>
            </w:pPr>
          </w:p>
        </w:tc>
        <w:tc>
          <w:tcPr>
            <w:tcW w:w="108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41,778</w:t>
            </w:r>
          </w:p>
        </w:tc>
        <w:tc>
          <w:tcPr>
            <w:tcW w:w="1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108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24,851</w:t>
            </w:r>
          </w:p>
        </w:tc>
        <w:tc>
          <w:tcPr>
            <w:tcW w:w="1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1020" w:type="dxa"/>
            <w:vAlign w:val="bottom"/>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16,927</w:t>
            </w:r>
          </w:p>
        </w:tc>
        <w:tc>
          <w:tcPr>
            <w:tcW w:w="140" w:type="dxa"/>
            <w:vAlign w:val="bottom"/>
            <w:shd w:val="clear" w:color="auto" w:fill="E2E2E2"/>
          </w:tcPr>
          <w:p>
            <w:pPr>
              <w:spacing w:after="0"/>
              <w:rPr>
                <w:sz w:val="22"/>
                <w:szCs w:val="22"/>
                <w:color w:val="auto"/>
              </w:rPr>
            </w:pPr>
          </w:p>
        </w:tc>
        <w:tc>
          <w:tcPr>
            <w:tcW w:w="260" w:type="dxa"/>
            <w:vAlign w:val="bottom"/>
            <w:shd w:val="clear" w:color="auto" w:fill="E2E2E2"/>
          </w:tcPr>
          <w:p>
            <w:pPr>
              <w:spacing w:after="0"/>
              <w:rPr>
                <w:sz w:val="22"/>
                <w:szCs w:val="22"/>
                <w:color w:val="auto"/>
              </w:rPr>
            </w:pPr>
          </w:p>
        </w:tc>
        <w:tc>
          <w:tcPr>
            <w:tcW w:w="1060" w:type="dxa"/>
            <w:vAlign w:val="bottom"/>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68.1%</w:t>
            </w:r>
          </w:p>
        </w:tc>
      </w:tr>
      <w:tr>
        <w:trPr>
          <w:trHeight w:val="258"/>
        </w:trPr>
        <w:tc>
          <w:tcPr>
            <w:tcW w:w="5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EMEA:</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8"/>
        </w:trPr>
        <w:tc>
          <w:tcPr>
            <w:tcW w:w="542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Europe</w:t>
            </w:r>
          </w:p>
        </w:tc>
        <w:tc>
          <w:tcPr>
            <w:tcW w:w="140" w:type="dxa"/>
            <w:vAlign w:val="bottom"/>
            <w:shd w:val="clear" w:color="auto" w:fill="E2E2E2"/>
          </w:tcPr>
          <w:p>
            <w:pPr>
              <w:spacing w:after="0"/>
              <w:rPr>
                <w:sz w:val="22"/>
                <w:szCs w:val="22"/>
                <w:color w:val="auto"/>
              </w:rPr>
            </w:pPr>
          </w:p>
        </w:tc>
        <w:tc>
          <w:tcPr>
            <w:tcW w:w="108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120,562</w:t>
            </w:r>
          </w:p>
        </w:tc>
        <w:tc>
          <w:tcPr>
            <w:tcW w:w="1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108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106,726</w:t>
            </w:r>
          </w:p>
        </w:tc>
        <w:tc>
          <w:tcPr>
            <w:tcW w:w="1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1020" w:type="dxa"/>
            <w:vAlign w:val="bottom"/>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13,836</w:t>
            </w:r>
          </w:p>
        </w:tc>
        <w:tc>
          <w:tcPr>
            <w:tcW w:w="140" w:type="dxa"/>
            <w:vAlign w:val="bottom"/>
            <w:shd w:val="clear" w:color="auto" w:fill="E2E2E2"/>
          </w:tcPr>
          <w:p>
            <w:pPr>
              <w:spacing w:after="0"/>
              <w:rPr>
                <w:sz w:val="22"/>
                <w:szCs w:val="22"/>
                <w:color w:val="auto"/>
              </w:rPr>
            </w:pPr>
          </w:p>
        </w:tc>
        <w:tc>
          <w:tcPr>
            <w:tcW w:w="260" w:type="dxa"/>
            <w:vAlign w:val="bottom"/>
            <w:shd w:val="clear" w:color="auto" w:fill="E2E2E2"/>
          </w:tcPr>
          <w:p>
            <w:pPr>
              <w:spacing w:after="0"/>
              <w:rPr>
                <w:sz w:val="22"/>
                <w:szCs w:val="22"/>
                <w:color w:val="auto"/>
              </w:rPr>
            </w:pPr>
          </w:p>
        </w:tc>
        <w:tc>
          <w:tcPr>
            <w:tcW w:w="1060" w:type="dxa"/>
            <w:vAlign w:val="bottom"/>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13.0%</w:t>
            </w:r>
          </w:p>
        </w:tc>
      </w:tr>
      <w:tr>
        <w:trPr>
          <w:trHeight w:val="258"/>
        </w:trPr>
        <w:tc>
          <w:tcPr>
            <w:tcW w:w="5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Asia:</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8"/>
        </w:trPr>
        <w:tc>
          <w:tcPr>
            <w:tcW w:w="542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Greater China</w:t>
            </w:r>
          </w:p>
        </w:tc>
        <w:tc>
          <w:tcPr>
            <w:tcW w:w="140" w:type="dxa"/>
            <w:vAlign w:val="bottom"/>
            <w:shd w:val="clear" w:color="auto" w:fill="E2E2E2"/>
          </w:tcPr>
          <w:p>
            <w:pPr>
              <w:spacing w:after="0"/>
              <w:rPr>
                <w:sz w:val="22"/>
                <w:szCs w:val="22"/>
                <w:color w:val="auto"/>
              </w:rPr>
            </w:pPr>
          </w:p>
        </w:tc>
        <w:tc>
          <w:tcPr>
            <w:tcW w:w="108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249,417</w:t>
            </w:r>
          </w:p>
        </w:tc>
        <w:tc>
          <w:tcPr>
            <w:tcW w:w="1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108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183,033</w:t>
            </w:r>
          </w:p>
        </w:tc>
        <w:tc>
          <w:tcPr>
            <w:tcW w:w="1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1020" w:type="dxa"/>
            <w:vAlign w:val="bottom"/>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66,384</w:t>
            </w:r>
          </w:p>
        </w:tc>
        <w:tc>
          <w:tcPr>
            <w:tcW w:w="140" w:type="dxa"/>
            <w:vAlign w:val="bottom"/>
            <w:shd w:val="clear" w:color="auto" w:fill="E2E2E2"/>
          </w:tcPr>
          <w:p>
            <w:pPr>
              <w:spacing w:after="0"/>
              <w:rPr>
                <w:sz w:val="22"/>
                <w:szCs w:val="22"/>
                <w:color w:val="auto"/>
              </w:rPr>
            </w:pPr>
          </w:p>
        </w:tc>
        <w:tc>
          <w:tcPr>
            <w:tcW w:w="260" w:type="dxa"/>
            <w:vAlign w:val="bottom"/>
            <w:shd w:val="clear" w:color="auto" w:fill="E2E2E2"/>
          </w:tcPr>
          <w:p>
            <w:pPr>
              <w:spacing w:after="0"/>
              <w:rPr>
                <w:sz w:val="22"/>
                <w:szCs w:val="22"/>
                <w:color w:val="auto"/>
              </w:rPr>
            </w:pPr>
          </w:p>
        </w:tc>
        <w:tc>
          <w:tcPr>
            <w:tcW w:w="1060" w:type="dxa"/>
            <w:vAlign w:val="bottom"/>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36.3%</w:t>
            </w:r>
          </w:p>
        </w:tc>
      </w:tr>
      <w:tr>
        <w:trPr>
          <w:trHeight w:val="258"/>
        </w:trPr>
        <w:tc>
          <w:tcPr>
            <w:tcW w:w="54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Japan</w:t>
            </w:r>
          </w:p>
        </w:tc>
        <w:tc>
          <w:tcPr>
            <w:tcW w:w="140" w:type="dxa"/>
            <w:vAlign w:val="bottom"/>
          </w:tcPr>
          <w:p>
            <w:pPr>
              <w:spacing w:after="0"/>
              <w:rPr>
                <w:sz w:val="22"/>
                <w:szCs w:val="22"/>
                <w:color w:val="auto"/>
              </w:rPr>
            </w:pPr>
          </w:p>
        </w:tc>
        <w:tc>
          <w:tcPr>
            <w:tcW w:w="108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150,946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153,842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8"/>
        </w:trPr>
        <w:tc>
          <w:tcPr>
            <w:tcW w:w="542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South Korea</w:t>
            </w:r>
          </w:p>
        </w:tc>
        <w:tc>
          <w:tcPr>
            <w:tcW w:w="140" w:type="dxa"/>
            <w:vAlign w:val="bottom"/>
            <w:shd w:val="clear" w:color="auto" w:fill="E2E2E2"/>
          </w:tcPr>
          <w:p>
            <w:pPr>
              <w:spacing w:after="0"/>
              <w:rPr>
                <w:sz w:val="22"/>
                <w:szCs w:val="22"/>
                <w:color w:val="auto"/>
              </w:rPr>
            </w:pPr>
          </w:p>
        </w:tc>
        <w:tc>
          <w:tcPr>
            <w:tcW w:w="108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77,976</w:t>
            </w:r>
          </w:p>
        </w:tc>
        <w:tc>
          <w:tcPr>
            <w:tcW w:w="1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108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73,702</w:t>
            </w:r>
          </w:p>
        </w:tc>
        <w:tc>
          <w:tcPr>
            <w:tcW w:w="1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1020" w:type="dxa"/>
            <w:vAlign w:val="bottom"/>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4,274</w:t>
            </w:r>
          </w:p>
        </w:tc>
        <w:tc>
          <w:tcPr>
            <w:tcW w:w="140" w:type="dxa"/>
            <w:vAlign w:val="bottom"/>
            <w:shd w:val="clear" w:color="auto" w:fill="E2E2E2"/>
          </w:tcPr>
          <w:p>
            <w:pPr>
              <w:spacing w:after="0"/>
              <w:rPr>
                <w:sz w:val="22"/>
                <w:szCs w:val="22"/>
                <w:color w:val="auto"/>
              </w:rPr>
            </w:pPr>
          </w:p>
        </w:tc>
        <w:tc>
          <w:tcPr>
            <w:tcW w:w="260" w:type="dxa"/>
            <w:vAlign w:val="bottom"/>
            <w:shd w:val="clear" w:color="auto" w:fill="E2E2E2"/>
          </w:tcPr>
          <w:p>
            <w:pPr>
              <w:spacing w:after="0"/>
              <w:rPr>
                <w:sz w:val="22"/>
                <w:szCs w:val="22"/>
                <w:color w:val="auto"/>
              </w:rPr>
            </w:pPr>
          </w:p>
        </w:tc>
        <w:tc>
          <w:tcPr>
            <w:tcW w:w="1060" w:type="dxa"/>
            <w:vAlign w:val="bottom"/>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5.8%</w:t>
            </w:r>
          </w:p>
        </w:tc>
      </w:tr>
      <w:tr>
        <w:trPr>
          <w:trHeight w:val="258"/>
        </w:trPr>
        <w:tc>
          <w:tcPr>
            <w:tcW w:w="5420" w:type="dxa"/>
            <w:vAlign w:val="bottom"/>
            <w:tcBorders>
              <w:bottom w:val="single" w:sz="8" w:color="E2E2E2"/>
            </w:tcBorders>
            <w:gridSpan w:val="2"/>
          </w:tcPr>
          <w:p>
            <w:pPr>
              <w:ind w:left="200"/>
              <w:spacing w:after="0"/>
              <w:rPr>
                <w:sz w:val="20"/>
                <w:szCs w:val="20"/>
                <w:color w:val="auto"/>
              </w:rPr>
            </w:pPr>
            <w:r>
              <w:rPr>
                <w:rFonts w:ascii="Times New Roman" w:cs="Times New Roman" w:eastAsia="Times New Roman" w:hAnsi="Times New Roman"/>
                <w:sz w:val="20"/>
                <w:szCs w:val="20"/>
                <w:color w:val="auto"/>
              </w:rPr>
              <w:t>Other Asia</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color w:val="auto"/>
              </w:rPr>
              <w:t>158,005</w:t>
            </w:r>
          </w:p>
        </w:tc>
        <w:tc>
          <w:tcPr>
            <w:tcW w:w="120" w:type="dxa"/>
            <w:vAlign w:val="bottom"/>
            <w:tcBorders>
              <w:bottom w:val="single" w:sz="8" w:color="E2E2E2"/>
            </w:tcBorders>
          </w:tcPr>
          <w:p>
            <w:pPr>
              <w:spacing w:after="0"/>
              <w:rPr>
                <w:sz w:val="22"/>
                <w:szCs w:val="22"/>
                <w:color w:val="auto"/>
              </w:rPr>
            </w:pPr>
          </w:p>
        </w:tc>
        <w:tc>
          <w:tcPr>
            <w:tcW w:w="20" w:type="dxa"/>
            <w:vAlign w:val="bottom"/>
            <w:tcBorders>
              <w:bottom w:val="single" w:sz="8" w:color="E2E2E2"/>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color w:val="auto"/>
              </w:rPr>
              <w:t>90,394</w:t>
            </w:r>
          </w:p>
        </w:tc>
        <w:tc>
          <w:tcPr>
            <w:tcW w:w="120" w:type="dxa"/>
            <w:vAlign w:val="bottom"/>
            <w:tcBorders>
              <w:bottom w:val="single" w:sz="8" w:color="E2E2E2"/>
            </w:tcBorders>
          </w:tcPr>
          <w:p>
            <w:pPr>
              <w:spacing w:after="0"/>
              <w:rPr>
                <w:sz w:val="22"/>
                <w:szCs w:val="22"/>
                <w:color w:val="auto"/>
              </w:rPr>
            </w:pPr>
          </w:p>
        </w:tc>
        <w:tc>
          <w:tcPr>
            <w:tcW w:w="20" w:type="dxa"/>
            <w:vAlign w:val="bottom"/>
            <w:tcBorders>
              <w:bottom w:val="single" w:sz="8" w:color="E2E2E2"/>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67,611</w:t>
            </w:r>
          </w:p>
        </w:tc>
        <w:tc>
          <w:tcPr>
            <w:tcW w:w="140" w:type="dxa"/>
            <w:vAlign w:val="bottom"/>
            <w:tcBorders>
              <w:bottom w:val="single" w:sz="8" w:color="E2E2E2"/>
            </w:tcBorders>
          </w:tcPr>
          <w:p>
            <w:pPr>
              <w:spacing w:after="0"/>
              <w:rPr>
                <w:sz w:val="22"/>
                <w:szCs w:val="22"/>
                <w:color w:val="auto"/>
              </w:rPr>
            </w:pPr>
          </w:p>
        </w:tc>
        <w:tc>
          <w:tcPr>
            <w:tcW w:w="260" w:type="dxa"/>
            <w:vAlign w:val="bottom"/>
            <w:tcBorders>
              <w:bottom w:val="single" w:sz="8" w:color="E2E2E2"/>
            </w:tcBorders>
          </w:tcPr>
          <w:p>
            <w:pPr>
              <w:spacing w:after="0"/>
              <w:rPr>
                <w:sz w:val="22"/>
                <w:szCs w:val="22"/>
                <w:color w:val="auto"/>
              </w:rPr>
            </w:pPr>
          </w:p>
        </w:tc>
        <w:tc>
          <w:tcPr>
            <w:tcW w:w="1060" w:type="dxa"/>
            <w:vAlign w:val="bottom"/>
            <w:tcBorders>
              <w:bottom w:val="single" w:sz="8" w:color="E2E2E2"/>
            </w:tcBorders>
          </w:tcPr>
          <w:p>
            <w:pPr>
              <w:jc w:val="right"/>
              <w:ind w:right="22"/>
              <w:spacing w:after="0"/>
              <w:rPr>
                <w:sz w:val="20"/>
                <w:szCs w:val="20"/>
                <w:color w:val="auto"/>
              </w:rPr>
            </w:pPr>
            <w:r>
              <w:rPr>
                <w:rFonts w:ascii="Times New Roman" w:cs="Times New Roman" w:eastAsia="Times New Roman" w:hAnsi="Times New Roman"/>
                <w:sz w:val="20"/>
                <w:szCs w:val="20"/>
                <w:color w:val="auto"/>
              </w:rPr>
              <w:t>74.8%</w:t>
            </w:r>
          </w:p>
        </w:tc>
      </w:tr>
      <w:tr>
        <w:trPr>
          <w:trHeight w:val="259"/>
        </w:trPr>
        <w:tc>
          <w:tcPr>
            <w:tcW w:w="5420" w:type="dxa"/>
            <w:vAlign w:val="bottom"/>
            <w:gridSpan w:val="2"/>
            <w:shd w:val="clear" w:color="auto" w:fill="E2E2E2"/>
          </w:tcPr>
          <w:p>
            <w:pPr>
              <w:ind w:left="400"/>
              <w:spacing w:after="0"/>
              <w:rPr>
                <w:sz w:val="20"/>
                <w:szCs w:val="20"/>
                <w:color w:val="auto"/>
              </w:rPr>
            </w:pPr>
            <w:r>
              <w:rPr>
                <w:rFonts w:ascii="Times New Roman" w:cs="Times New Roman" w:eastAsia="Times New Roman" w:hAnsi="Times New Roman"/>
                <w:sz w:val="20"/>
                <w:szCs w:val="20"/>
                <w:b w:val="1"/>
                <w:bCs w:val="1"/>
                <w:color w:val="auto"/>
              </w:rPr>
              <w:t>Total net sales</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890,096</w:t>
            </w:r>
          </w:p>
        </w:tc>
        <w:tc>
          <w:tcPr>
            <w:tcW w:w="1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725,006</w:t>
            </w:r>
          </w:p>
        </w:tc>
        <w:tc>
          <w:tcPr>
            <w:tcW w:w="1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165,090</w:t>
            </w:r>
          </w:p>
        </w:tc>
        <w:tc>
          <w:tcPr>
            <w:tcW w:w="140" w:type="dxa"/>
            <w:vAlign w:val="bottom"/>
            <w:shd w:val="clear" w:color="auto" w:fill="E2E2E2"/>
          </w:tcPr>
          <w:p>
            <w:pPr>
              <w:spacing w:after="0"/>
              <w:rPr>
                <w:sz w:val="22"/>
                <w:szCs w:val="22"/>
                <w:color w:val="auto"/>
              </w:rPr>
            </w:pPr>
          </w:p>
        </w:tc>
        <w:tc>
          <w:tcPr>
            <w:tcW w:w="260" w:type="dxa"/>
            <w:vAlign w:val="bottom"/>
            <w:shd w:val="clear" w:color="auto" w:fill="E2E2E2"/>
          </w:tcPr>
          <w:p>
            <w:pPr>
              <w:spacing w:after="0"/>
              <w:rPr>
                <w:sz w:val="22"/>
                <w:szCs w:val="22"/>
                <w:color w:val="auto"/>
              </w:rPr>
            </w:pPr>
          </w:p>
        </w:tc>
        <w:tc>
          <w:tcPr>
            <w:tcW w:w="1060" w:type="dxa"/>
            <w:vAlign w:val="bottom"/>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22.8%</w:t>
            </w:r>
          </w:p>
        </w:tc>
      </w:tr>
      <w:tr>
        <w:trPr>
          <w:trHeight w:val="20"/>
        </w:trPr>
        <w:tc>
          <w:tcPr>
            <w:tcW w:w="540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E2E2E2"/>
            </w:tcBorders>
          </w:tcPr>
          <w:p>
            <w:pPr>
              <w:spacing w:after="0" w:line="20" w:lineRule="exact"/>
              <w:rPr>
                <w:sz w:val="1"/>
                <w:szCs w:val="1"/>
                <w:color w:val="auto"/>
              </w:rPr>
            </w:pPr>
          </w:p>
        </w:tc>
        <w:tc>
          <w:tcPr>
            <w:tcW w:w="1060" w:type="dxa"/>
            <w:vAlign w:val="bottom"/>
            <w:tcBorders>
              <w:top w:val="single" w:sz="8" w:color="E2E2E2"/>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-2214880</wp:posOffset>
            </wp:positionV>
            <wp:extent cx="16884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extLst>
                    </a:blip>
                    <a:srcRect/>
                    <a:stretch>
                      <a:fillRect/>
                    </a:stretch>
                  </pic:blipFill>
                  <pic:spPr bwMode="auto">
                    <a:xfrm>
                      <a:off x="0" y="0"/>
                      <a:ext cx="1688465" cy="38100"/>
                    </a:xfrm>
                    <a:prstGeom prst="rect">
                      <a:avLst/>
                    </a:prstGeom>
                    <a:noFill/>
                  </pic:spPr>
                </pic:pic>
              </a:graphicData>
            </a:graphic>
          </wp:anchor>
        </w:drawing>
      </w:r>
    </w:p>
    <w:p>
      <w:pPr>
        <w:spacing w:after="0" w:line="219"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Other Asia net sales increased in data center applications, medical applications and safety, comfort and convenience applications, partially offset by a decrease in consumer products. Greater China net sales increased primarily driven by ADAS and xEV components, industrial automation and robotics products, safety, comfort and convenience applications and data center applications, partially offset by a decrease in consumer products. Other Americas net sales increased in both Automotive and Industrial and Other applications, primarily in ADAS components and clean energy applications. Europe net sales increased primarily in Automotive markets, driven by ADAS and xEV components, as well as growth in industrial automation and robotics and internal combustion engine products, partially offset by decreases in consumer products, clean energy applications, and safety, comfort and convenience applications. South Korea net sales increased primarily in xEV components and safety, comfort and convenience applications, partially offset by a decrease in ADAS components. Japan net sales declined primarily in personal and industrial transport products, and safety, comfort and convenience applications, partially offset by an increase in data center applications and ADAS components.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goods sold, gross profit and gross margin</w:t>
      </w:r>
    </w:p>
    <w:p>
      <w:pPr>
        <w:spacing w:after="0" w:line="120"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Cost of goods sold increased in the fiscal year ended March 27, 2026 compared to the fiscal year ended March 28, 2025. The increase in cost of goods sold was primarily due to higher production volume in support of higher product sales and increase in materials and commodity costs.</w:t>
      </w:r>
    </w:p>
    <w:p>
      <w:pPr>
        <w:spacing w:after="0" w:line="68"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Gross profit increased in the fiscal year ended March 27, 2026 compared to the fiscal year ended March 28, 2025, primarily due to the increase in net sales and a change in product mix.</w:t>
      </w:r>
    </w:p>
    <w:p>
      <w:pPr>
        <w:spacing w:after="0" w:line="49"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Gross margin was 46.3% and 44.3% for the fiscal years ended March 27, 2026 and March 28, 2025, respectively. The increase was primarily due to the increase in net sales and a change in product mix.</w:t>
      </w: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800"/>
          </w:cols>
          <w:pgMar w:left="720" w:top="932" w:right="720" w:bottom="175"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i w:val="1"/>
          <w:iCs w:val="1"/>
          <w:color w:val="auto"/>
        </w:rPr>
        <w:t>R&amp;D expenses</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R&amp;D expenses increased in the fiscal year ended March 27, 2026 compared to the fiscal year ended March 28, 2025. This increase was primarily due to an increase in personnel costs, including the funding of the annual incentive program.</w:t>
      </w:r>
    </w:p>
    <w:p>
      <w:pPr>
        <w:spacing w:after="0" w:line="49"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R&amp;D expenses represented 23.1% of our total net sales for the fiscal year ended March 27, 2026, a decrease from 24.8% of our total net sales for the fiscal year ended March 28, 2025. The decrease as a percentage of total net sales was primarily due to the increase in net sales, partially offset by an increase in the funding of the annual incentive program.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SG&amp;A expenses</w:t>
      </w:r>
    </w:p>
    <w:p>
      <w:pPr>
        <w:spacing w:after="0" w:line="120"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SG&amp;A expenses increased in the fiscal year ended March 27, 2026 compared to the fiscal year ended March 28, 2025. This increase was primarily due to an increase in personnel costs, including the funding of the annual incentive program, outside services and legal fees.</w:t>
      </w:r>
    </w:p>
    <w:p>
      <w:pPr>
        <w:spacing w:after="0" w:line="68"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SG&amp;A expenses represented 20.3% of our total net sales for the fiscal year ended March 27, 2026, representing a decrease from 22.3% of our total net sales for the fiscal year ended March 28, 2025. The decrease as a percentage of total net sales was primarily due to the increase in net sales, partially offset by an increase in the funding of the annual incentive program, outside services and legal fees.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assets held for sale</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We recorded an impairment of assets held for sale in the fiscal year ended March 27, 2026. We determined that the carrying value of these assets exceeded their fair value, less costs to sell.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Interest expense decreased in the fiscal year ended March 27, 2026 compared to the fiscal year ended March 28, 2025. The decrease was primarily due to the voluntary payments applied to the outstanding balance of our Term Loan Facility.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Interest income decreased in the fiscal year ended March 27, 2026 compared to the fiscal year ended March 28, 2025, primarily due to reduced average excess cash balances year over year and lower interest rates realized during the year.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transaction (loss) gain</w:t>
      </w:r>
    </w:p>
    <w:p>
      <w:pPr>
        <w:spacing w:after="0" w:line="120"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We recorded a foreign currency transaction loss in both fiscal years ended March 27, 2026 and March 28, 2025. The foreign currency transaction loss recorded in the fiscal year ended March 27, 2026 was primarily due to the U.S. Dollar weakening against various currencies, including the Euro and the Philippine Peso. The foreign currency transaction loss recorded in the fiscal year ended March 28, 2025 was primarily due to realized and unrealized losses from our Philippine locations.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income in earnings of equity investment</w:t>
      </w:r>
    </w:p>
    <w:p>
      <w:pPr>
        <w:spacing w:after="0" w:line="120"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(Loss) income in earnings of equity investment reflected loss of $9.4 million and income of $1.2 million in the fiscal years ended March 27, 2026 and March 28, 2025, respectively, related to our equity investment in PSL (PSL Parent following its recapitalization in September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change in fair value of forward repurchase contract</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We recorded a loss on the change in fair value of a forward repurchase contract in the fiscal year ended March 28, 2025, primarily due to the various settlement dates under the Share Repurchase Agreement with Sanken.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120"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We recorded $1.4 million of gains related to earnings in our money market fund deposits, partially offset by other expense of $0.8 million in the fiscal year ended March 27, 2026. We recorded a net loss of $2.8 million as a result of the PSL Closing in the fiscal year ended March 28, 2025 related to the difference between the selling price per share and its carrying amount per share and after a gain from the conversion of PSL Promissory Notes that we held, partially offset by $1.6 million of gains related to earnings in our money market fund deposits.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(benefit) provision</w:t>
      </w:r>
    </w:p>
    <w:p>
      <w:pPr>
        <w:spacing w:after="0" w:line="120"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For the fiscal years ended March 27, 2026 and March 28, 2025, our income tax benefits and the ETR was $(0.2) million and 1.7%, and $(12.9) million and 15.1%, respectively. The ETR decrease primarily results from (i) lower pre-tax GAAP loss in the fiscal year ended March 27, 2026, which was driven in part, by the $34.8 million nondeductible loss on change in fair value of forward repurchase contract recorded in the fiscal year ended March 28, 2025 and (ii) the OBBB impacts described above in the “Components of Our Results of Operations.”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800"/>
          </w:cols>
          <w:pgMar w:left="720" w:top="930" w:right="720" w:bottom="175"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4"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As of March 27, 2026, we had $168.8 million of cash and cash equivalents and $357.7 million of working capital, compared to $121.3 million of cash and cash equivalents and $370.8 million of working capital as of March 28, 2025. Working capital is impacted by the timing and extent of our business needs.</w:t>
      </w:r>
    </w:p>
    <w:p>
      <w:pPr>
        <w:spacing w:after="0" w:line="68"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Our primary requirements for liquidity and capital resources besides our growth initiatives, are working capital, capital expenditures, principal and interest payments on our outstanding debt, and other general corporate needs. Historically, these cash requirements have been met through cash provided by operating activities and cash and cash equivalents. Our current capital deployment strategy for fiscal year 2027 is to utilize cash on hand and capacity under our revolving credit facility to support our continued growth initiatives into select markets and planned capital expenditures, as well as consider potential acquisitions. As of March 27, 2026, the Company was not party to any off-balance sheet arrangements that have had or are reasonably likely to have a current or future material effect on our financial condition, results of operations, liquidity, capital expenditures, or capital resources. The cash requirements for the upcoming fiscal year relate to our operating leases, operating and capital purchase commitments, and expected contributions to our defined benefit and contribution plans. Additionally, we expect to continue to strategically invest in expanding our operations in China, Europe, Japan and India in order to directly manage and service our customers in these markets, which could result in increases in our total net sales, cost of goods sold and operating expenses. For information regarding the Company’s expected cash requirements and timing of payments related to leases and noncancellable purchase commitments, see Note 12, “Leases” and Note 16, “Commitments and Contingencies” to the audited consolidated financial statements. See Note 15, “Retirement Plans” to the audited consolidated financial statements for more information related to the Company’s pension and defined contribution plans. Additionally, refer to Note 13, “Debt and Other Borrowings” for information regarding the Company’s management of our third-party debt capacity.</w:t>
      </w:r>
    </w:p>
    <w:p>
      <w:pPr>
        <w:spacing w:after="0" w:line="90"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We believe that our existing cash will be sufficient to finance our continued operations, growth strategy, planned capital expenditures and the additional expenses that we expect to incur during the next 12 months. In order to support and achieve our future growth plans, we may need or advantageously seek to obtain additional funding through equity or debt financing. We believe that our current operating structure will facilitate sufficient cash flows from operations to satisfy our expected long-term liquidity requirements beyond the next 12 months. If these resources are not sufficient to satisfy our liquidity requirements due to changes in circumstances, we may be required to borrow under our revolving credit facility or seek additional financing. If we raise additional funds by issuing equity securities that are not used to repurchase existing shares outstanding,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We made advance payments on our borrowings in the fiscal year ended March 28, 2025, which has eliminated future minimum quarterly payments.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Investing and Financing Activities</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summarizes our cash flows for the fiscal years ended 2026 and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1046"/>
              <w:spacing w:after="0"/>
              <w:rPr>
                <w:sz w:val="20"/>
                <w:szCs w:val="20"/>
                <w:color w:val="auto"/>
              </w:rPr>
            </w:pPr>
            <w:r>
              <w:rPr>
                <w:rFonts w:ascii="Times New Roman" w:cs="Times New Roman" w:eastAsia="Times New Roman" w:hAnsi="Times New Roman"/>
                <w:sz w:val="16"/>
                <w:szCs w:val="16"/>
                <w:b w:val="1"/>
                <w:bCs w:val="1"/>
                <w:color w:val="auto"/>
              </w:rPr>
              <w:t>Fiscal Year Ended</w:t>
            </w:r>
          </w:p>
        </w:tc>
      </w:tr>
      <w:tr>
        <w:trPr>
          <w:trHeight w:val="160"/>
        </w:trPr>
        <w:tc>
          <w:tcPr>
            <w:tcW w:w="6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429"/>
              <w:spacing w:after="0" w:line="160"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ind w:right="406"/>
              <w:spacing w:after="0" w:line="160" w:lineRule="exact"/>
              <w:rPr>
                <w:sz w:val="20"/>
                <w:szCs w:val="20"/>
                <w:color w:val="auto"/>
              </w:rPr>
            </w:pPr>
            <w:r>
              <w:rPr>
                <w:rFonts w:ascii="Times New Roman" w:cs="Times New Roman" w:eastAsia="Times New Roman" w:hAnsi="Times New Roman"/>
                <w:sz w:val="16"/>
                <w:szCs w:val="16"/>
                <w:b w:val="1"/>
                <w:bCs w:val="1"/>
                <w:color w:val="auto"/>
              </w:rPr>
              <w:t>March 28,</w:t>
            </w:r>
          </w:p>
        </w:tc>
      </w:tr>
      <w:tr>
        <w:trPr>
          <w:trHeight w:val="203"/>
        </w:trPr>
        <w:tc>
          <w:tcPr>
            <w:tcW w:w="6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79"/>
        </w:trPr>
        <w:tc>
          <w:tcPr>
            <w:tcW w:w="6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(dollars in</w:t>
            </w:r>
          </w:p>
        </w:tc>
        <w:tc>
          <w:tcPr>
            <w:tcW w:w="180" w:type="dxa"/>
            <w:vAlign w:val="bottom"/>
          </w:tcPr>
          <w:p>
            <w:pPr>
              <w:spacing w:after="0"/>
              <w:rPr>
                <w:sz w:val="15"/>
                <w:szCs w:val="15"/>
                <w:color w:val="auto"/>
              </w:rPr>
            </w:pPr>
          </w:p>
        </w:tc>
        <w:tc>
          <w:tcPr>
            <w:tcW w:w="162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thousands)</w:t>
            </w:r>
          </w:p>
        </w:tc>
      </w:tr>
      <w:tr>
        <w:trPr>
          <w:trHeight w:val="230"/>
        </w:trPr>
        <w:tc>
          <w:tcPr>
            <w:tcW w:w="69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7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ind w:right="9"/>
              <w:spacing w:after="0"/>
              <w:rPr>
                <w:sz w:val="20"/>
                <w:szCs w:val="20"/>
                <w:color w:val="auto"/>
              </w:rPr>
            </w:pPr>
            <w:r>
              <w:rPr>
                <w:rFonts w:ascii="Times New Roman" w:cs="Times New Roman" w:eastAsia="Times New Roman" w:hAnsi="Times New Roman"/>
                <w:sz w:val="20"/>
                <w:szCs w:val="20"/>
                <w:color w:val="auto"/>
              </w:rPr>
              <w:t>163,069</w:t>
            </w:r>
          </w:p>
        </w:tc>
        <w:tc>
          <w:tcPr>
            <w:tcW w:w="44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61,913</w:t>
            </w:r>
          </w:p>
        </w:tc>
      </w:tr>
      <w:tr>
        <w:trPr>
          <w:trHeight w:val="244"/>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(41,717)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(40,816)</w:t>
            </w:r>
          </w:p>
        </w:tc>
      </w:tr>
      <w:tr>
        <w:trPr>
          <w:trHeight w:val="244"/>
        </w:trPr>
        <w:tc>
          <w:tcPr>
            <w:tcW w:w="69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Net cash used in financing activities</w:t>
            </w:r>
          </w:p>
        </w:tc>
        <w:tc>
          <w:tcPr>
            <w:tcW w:w="46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(77,379)</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(112,062)</w:t>
            </w:r>
          </w:p>
        </w:tc>
      </w:tr>
      <w:tr>
        <w:trPr>
          <w:trHeight w:val="244"/>
        </w:trPr>
        <w:tc>
          <w:tcPr>
            <w:tcW w:w="690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Effect of exchange rate changes on cash and cash equivalents and restricted cash</w:t>
            </w:r>
          </w:p>
        </w:tc>
        <w:tc>
          <w:tcPr>
            <w:tcW w:w="460" w:type="dxa"/>
            <w:vAlign w:val="bottom"/>
            <w:tcBorders>
              <w:bottom w:val="single" w:sz="8" w:color="E2E2E2"/>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20"/>
                <w:szCs w:val="20"/>
                <w:color w:val="auto"/>
              </w:rPr>
              <w:t>277</w:t>
            </w:r>
          </w:p>
        </w:tc>
        <w:tc>
          <w:tcPr>
            <w:tcW w:w="180" w:type="dxa"/>
            <w:vAlign w:val="bottom"/>
            <w:tcBorders>
              <w:bottom w:val="single" w:sz="8" w:color="E2E2E2"/>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25"/>
        </w:trPr>
        <w:tc>
          <w:tcPr>
            <w:tcW w:w="690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Net increase (decrease) in cash and cash equivalents and restricted cash</w:t>
            </w:r>
          </w:p>
        </w:tc>
        <w:tc>
          <w:tcPr>
            <w:tcW w:w="460" w:type="dxa"/>
            <w:vAlign w:val="bottom"/>
            <w:shd w:val="clear" w:color="auto" w:fill="E2E2E2"/>
          </w:tcPr>
          <w:p>
            <w:pPr>
              <w:spacing w:after="0"/>
              <w:rPr>
                <w:sz w:val="19"/>
                <w:szCs w:val="19"/>
                <w:color w:val="auto"/>
              </w:rPr>
            </w:pPr>
          </w:p>
        </w:tc>
        <w:tc>
          <w:tcPr>
            <w:tcW w:w="260" w:type="dxa"/>
            <w:vAlign w:val="bottom"/>
            <w:tcBorders>
              <w:bottom w:val="single" w:sz="8" w:color="auto"/>
            </w:tcBorders>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shd w:val="clear" w:color="auto" w:fill="E2E2E2"/>
          </w:tcPr>
          <w:p>
            <w:pPr>
              <w:jc w:val="right"/>
              <w:ind w:right="9"/>
              <w:spacing w:after="0" w:line="225" w:lineRule="exact"/>
              <w:rPr>
                <w:sz w:val="20"/>
                <w:szCs w:val="20"/>
                <w:color w:val="auto"/>
              </w:rPr>
            </w:pPr>
            <w:r>
              <w:rPr>
                <w:rFonts w:ascii="Times New Roman" w:cs="Times New Roman" w:eastAsia="Times New Roman" w:hAnsi="Times New Roman"/>
                <w:sz w:val="20"/>
                <w:szCs w:val="20"/>
                <w:color w:val="auto"/>
              </w:rPr>
              <w:t>44,250</w:t>
            </w:r>
          </w:p>
        </w:tc>
        <w:tc>
          <w:tcPr>
            <w:tcW w:w="180" w:type="dxa"/>
            <w:vAlign w:val="bottom"/>
            <w:shd w:val="clear" w:color="auto" w:fill="E2E2E2"/>
          </w:tcPr>
          <w:p>
            <w:pPr>
              <w:spacing w:after="0"/>
              <w:rPr>
                <w:sz w:val="19"/>
                <w:szCs w:val="19"/>
                <w:color w:val="auto"/>
              </w:rPr>
            </w:pPr>
          </w:p>
        </w:tc>
        <w:tc>
          <w:tcPr>
            <w:tcW w:w="260" w:type="dxa"/>
            <w:vAlign w:val="bottom"/>
            <w:tcBorders>
              <w:bottom w:val="single" w:sz="8" w:color="auto"/>
            </w:tcBorders>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(91,054)</w:t>
            </w:r>
          </w:p>
        </w:tc>
      </w:tr>
      <w:tr>
        <w:trPr>
          <w:trHeight w:val="20"/>
        </w:trPr>
        <w:tc>
          <w:tcPr>
            <w:tcW w:w="6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800"/>
          </w:cols>
          <w:pgMar w:left="720" w:top="926" w:right="720" w:bottom="175"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20"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Net cash provided by operating activities was $163.1 million in fiscal year 2026, resulting primarily from a net loss of $ 14.7 million and non-cash charges of $123.0 million, further adjusted by a net increase in cash from a decrease in net operating assets and liabilities of $54.7 million. Noncash charges primarily include increases for $67.6 million for depreciation and amortization, $47.9 million of stock-based compensation, $10.0 million for provisions for inventory and expected credit losses and $6.6 million for impairment of assets held for sale, partially offset by $12.0 million of deferred income taxes. The decrease in net operating assets and liabilities consisted of a $49.4 million decrease in prepaid expenses and other assets, a $41.3 million decrease in other changes in operating assets and liabilities, net, and a $6.0 million increase in trade accounts payable, partially offset by a $15.0 million increase in payment to related party, a $9.8 million increase in accounts receivable - other, a $9.2 million increase in trade accounts receivable, net, a $6.3 million increase in inventories, and a $1.7 million decrease in net amounts due to related party. The decrease in prepaid expenses and other assets was primarily due to the receipt of a tax refund and the additional planning related to the OBBB. The decrease in other changes in operating assets and liabilities, net was primarily the result of accrued income taxes and accrued personnel costs, including $2.1 million of accrued capital expenditures. Trade accounts payable increased primarily due to the timing of payments to suppliers and vendors, including unpaid capital expenditures of $1.9 million. The increase in payment to related party was primarily the result of advanced payment on products. The increase in accounts receivable - other was primarily related to the timing of tax receipts. The increase in trade accounts receivable, net was primarily a result of increased sales year-over-year and timing of collections. The increase in inventories was primarily the result of the increase in production to support the increase in net sales. The decrease in net amounts due to related party was primarily due to variations in the timing of such payments in the ordinary course of business.</w:t>
      </w:r>
    </w:p>
    <w:p>
      <w:pPr>
        <w:spacing w:after="0" w:line="86"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Net cash provided by operating activities was $ 61.9 million in fiscal year 2025, resulting primarily from a net loss of $72.8 million and non-cash charges of $143.5 million, further adjusted by a net decrease in cash from an increase in net operating assets and liabilities of $8.9 million. Noncash charges primarily include increases for $64.5 million of depreciation and amortization, $41.9 million of stock-based compensation, $ 34.8 million for loss on the change in fair value of a forward repurchase contract, $9.2 million provisions for inventory and expected credit losses and $7.0 million of other non-cash reconciling items, partially offset by $16.3 million of deferred income taxes. The net increase in operating assets and liabilities consisted of a $30.2 million increase in inventories, $16.3 million decrease in other changes in operating assets and liabilities, net and $4.8 million increase in prepaid expenses and other assets, partially offset by a $33.1 million decrease in trade accounts receivable, net, a $4.0 million increase in trade accounts payable and a $5.1 million increase in net amounts due to related party. The decrease in trade accounts receivable, net was primarily a result of decreased sales year-over-year. Trade accounts payable increased primarily due to the timing of payments to suppliers and vendors, including unpaid capital expenditures of $2.2 million. The increase in net amounts due to related party was primarily due to variations in the timing of such payments in the ordinary course of business. The increase in inventories was primarily the result of inventory builds of standard products to support anticipated sales growth. The decrease in prepaid expenses and other assets was mostly due to the timing of tax payments. The decrease in other changes in operating assets and liabilities, net was primarily the result of a reduction in accrued personnel costs due to the timing of payments pursuant to our annual incentive compensation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Net cash used in investing activities was $41.7 million in fiscal year 2026, consisting of $38.2 million of purchases of property, plant and equipment and $3.5 million of an investment in debt security.</w:t>
      </w:r>
    </w:p>
    <w:p>
      <w:pPr>
        <w:spacing w:after="0" w:line="49"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Net cash used in investing activities was $40.8 million in fiscal year 2025, primarily consisting of purchases of property, plant and equipment.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20"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Net cash used in financing activities was $77.4 million in fiscal year 2026, primarily consisting of $345.0 million of payments on our term loan, $12.6 million of taxes related to the net settlement of equity awards and $ 5.0 million of payments for intangible assets, partially offset by net proceeds of $285.0 million from our financing activities under the 2023 Revolving Credit Agreement.</w:t>
      </w:r>
    </w:p>
    <w:p>
      <w:pPr>
        <w:spacing w:after="0" w:line="68"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Net cash used in financing activities was $112.1 million in fiscal year 2025, consisting of $853.9 million used to repurchase our common stock, $105.0 million of payments on our indebtedness under the 2023 Revolving Credit Agreement and $16.2 million of taxes related to the net settlement of equity awards, partially offset by the issuance of common stock of $665.9 million, net proceeds of $193.1 million from our financing activities under the 2023 Revolving Credit Agreement, proceeds received in connection with the issuance of common stock under our employee stock purchase plan and proceeds received related to the quarterly payment on the PSL Promissory Note (prior to being discharged).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Obligations</w:t>
      </w:r>
    </w:p>
    <w:p>
      <w:pPr>
        <w:spacing w:after="0" w:line="124"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See Note 13, “Debt and Other Borrowings” in the consolidated financial statements included elsewhere in this Annual Report for information regarding our debt obligations, including our term loans and credit facilities.</w:t>
      </w:r>
    </w:p>
    <w:p>
      <w:pPr>
        <w:sectPr>
          <w:pgSz w:w="12240" w:h="15840" w:orient="portrait"/>
          <w:cols w:equalWidth="0" w:num="1">
            <w:col w:w="10800"/>
          </w:cols>
          <w:pgMar w:left="720" w:top="930" w:right="720" w:bottom="175" w:gutter="0" w:footer="0" w:header="0"/>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800"/>
          </w:cols>
          <w:pgMar w:left="720" w:top="930" w:right="720" w:bottom="175"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24"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Refer to Note 2, “Summary of Significant Accounting Policies” to the consolidated financial statements included elsewhere in this Annual Report for information regarding recent accounting pronouncements.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24"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requires management to make estimates and assumptions that affect the reported amounts of assets, liabilities, and disclosures of contingencies at the date of the financial statements and the reported amounts of revenues and expenses during the reporting period. On an ongoing basis, management evaluates its estimates, assumptions and judgments, including those related to the valuation of acquired intangible assets, impairment assessment and valuation of goodwill, intangible assets and tangible long-lived assets, the net realizable value of inventory, income taxes, stock- based compensation, and sales allowances. We base our estimates and assumptions on historical experience and other factors that we believe to be reasonable under the circumstances. Actual results could differ from those estimates, and such differences may be material to our financial statements. We believe that the accounting policies described below require management’s most difficult, subjective or complex judgments. Judgments or uncertainties affecting the application of these policies may result in materially different amounts being reported under different conditions or using different assumptions. Accordingly, we believe these are the most critical to aid in fully understanding and evaluating our financial condition and results of operations. See Note 2, “Summary of Significant Accounting Policies” to the consolidated financial statements included elsewhere in this Annual Report for additional information regarding these and our other significant accounting policies.</w:t>
      </w:r>
    </w:p>
    <w:p>
      <w:pPr>
        <w:spacing w:after="0" w:line="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Sales Allowances</w:t>
      </w:r>
    </w:p>
    <w:p>
      <w:pPr>
        <w:spacing w:after="0" w:line="118"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Sales allowances include sales in which the amount of consideration that we will receive is unknown as of the end of a reporting period. Such consideration primarily includes price protection provisions provided to distributors. We estimate potential future returns, credits, and sales allowances based on historical return rates, anticipated customer claims, credits issued, and changes in product sales to customers. Historical experience can change over time. As a result, estimated sales allowances may differ significantly from amounts recorded in the current and historical periods.</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Goodwill, other intangible assets and other long-lived assets</w:t>
      </w:r>
    </w:p>
    <w:p>
      <w:pPr>
        <w:spacing w:after="0" w:line="118"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Goodwill represents the excess of the purchase price in a business combination over the fair value of the net tangible and intangible assets acquired. Goodwill is not amortized, but rather is assessed for impairment at the reporting unit level annually during the fourth quarter of each fiscal year or more frequently if we believe indicators of impairment exist.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w:t>
      </w:r>
    </w:p>
    <w:p>
      <w:pPr>
        <w:spacing w:after="0" w:line="7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 testing goodwill for impairment, we have the option to first consider qualitative factors to determine whether it is more likely than not that the fair value of a reporting unit is less than its carrying value. Such qualitative factors include industry and market considerations, economic conditions, entity-specific financial performance and other events, such as changes in management, strategy and primary customer base. If based on our qualitative assessment it is more likely than not that the fair value of the reporting unit is less than its carrying amount, quantitative impairment testing is required. However, if we conclude otherwise, quantitative impairment testing is not required.</w:t>
      </w:r>
    </w:p>
    <w:p>
      <w:pPr>
        <w:spacing w:after="0" w:line="80"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We assess indefinite-lived intangible assets for impairment on an annual basis, and more frequently if impairment indicators are identified. We also periodically reassess their continuing classification as indefinite-lived intangible assets. Impairment exists if the fair value of the intangible asset is less than its carrying value. An impairment charge equal to the difference is recorded to reduce the carrying value to its fair value.</w:t>
      </w:r>
    </w:p>
    <w:p>
      <w:pPr>
        <w:spacing w:after="0" w:line="74"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Other long-lived assets primarily consist of property and equipment, operating lease right-of-use assets and intangible assets. Acquired intangible assets consist of completed technologies, customer relationships, trademarks and trade names, and patents. We engage third-party valuation specialists to assist us with the initial measurement of the fair value of acquired intangible assets. We periodically evaluate the recoverability of other long-lived assets whenever events and changes in circumstances, such as reductions in demand or significant economic slowdowns in the industry, indicate that the carrying amount of an asset may not be fully recoverable. When indicators of impairment are present, the carrying values of the asset group are evaluated in relation to the future undiscounted cash flows of the underlying business. The net book value of the underlying asset is adjusted to fair value if the sum of the expected discounted cash flows is less than book value. Fair values are based on estimates of market prices and assumptions concerning the amount and timing of estimated future cash flows and assumed discount rates, reflecting varying degrees of perceived risk.</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800"/>
          </w:cols>
          <w:pgMar w:left="720" w:top="926" w:right="720" w:bottom="175" w:gutter="0" w:footer="0" w:header="0"/>
          <w:type w:val="continuous"/>
        </w:sectPr>
      </w:pPr>
    </w:p>
    <w:bookmarkStart w:id="56" w:name="page57"/>
    <w:bookmarkEnd w:id="56"/>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The impairment assessment of goodwill, other intangible assets and other long-lived assets involves significant estimates and assumptions, which may be unpredictable and inherently uncertain. These estimates and assumptions may include identification of reporting units and asset groups, long-term growth rates, profitability, estimated useful lives, comparable market multiples, and discount rates. Any changes in these assumptions could impact the result of the impairment assessment. Impairment assessments of goodwill, other intangible assets and other long-lived assets are performed in the fourth quarter of each fiscal year. No impairments of goodwill, other intangible assets and other long-lived assets were identified for fiscal year 2026.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2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We are exposed to market risk in the ordinary course of business, consisting primarily of interest rates risk associated with our cash and cash equivalents and our debt, foreign currency risk and the impact of inflation. We do not engage in speculative trading activities. The following analysis provides additional information regarding these risks.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20"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Our investments have limited exposure to market risk. At March 27, 2026, we maintained a portfolio of cash and cash equivalents, consisting primarily of money market fund deposits. None of these investments have a maturity date in excess of one year. Certain interest rates are variable and fluctuate with current market conditions. Because of the short-term nature of these instruments, we would not expect a sudden change in market interest rates to have a material impact on our financial condition or results of operations.</w:t>
      </w:r>
    </w:p>
    <w:p>
      <w:pPr>
        <w:spacing w:after="0" w:line="77"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We are also exposed to market risk as a result of increases or decreases in the amount of interest expense we must pay on our 2026 Refinanced Loans and borrowings on our bank credit facilities. Although our 2026 Refinanced Loans and credit facilities have variable rates, as of March 27, 2026, we do not believe that a 10% change in market interest rates would have a material impact on our financial position or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w:t>
      </w:r>
    </w:p>
    <w:p>
      <w:pPr>
        <w:spacing w:after="0" w:line="120"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Due to our international operations, a significant portion of our cost of sales and operating expenses is denominated in currencies other than the U.S. dollar, principally the Euro and the Philippine peso. As a result, our international operations give rise to transactional market risk associated with exchange rate movements of the U.S. dollar, the Euro and the Philippine peso. We reflected foreign exchange losses of $3.2 million and $2.2 million for fiscal years 2026 and 2025, respectively. Based on fiscal year 2026 performance, a hypothetical appreciation (decline) in the value of the Euro in relation to the U.S. dollar of 10% would immaterially impact our operating income. A hypothetical 10% appreciation (decline) in the value of the Philippine peso in relation to the U.S. dollar would immaterially impact our operating income. The individual impacts to our operating income of hypothetical currency fluctuations have been calculated in isolation from any potential responses to address such exchange rate changes in our foreign markets.</w:t>
      </w:r>
    </w:p>
    <w:p>
      <w:pPr>
        <w:spacing w:after="0" w:line="86"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In addition, we are exposed to foreign currency translation risk for those subsidiaries whose functional currency is not the U.S. dollar, as changes in the value of their functional currency relative to the U.S. dollar can adversely affect the translated amounts of our sales, expenses, net income, assets and liabilities. This can, in turn, affect the reported value and relative growth of sales and net income from one period to the next. In addition, changes in the translated value of assets and liabilities due to changes in functional currency exchange rates relative to the U.S. dollar result in foreign currency translation adjustments that are a component of other comprehensive income or loss. Foreign currency derivative instruments can be used to hedge exposures and reduce the risks of certain foreign currency transactions; however, these instruments provide only limited protection and can carry significant cost. We have no foreign currency derivative instrument hedges as of March 27, 2026. We will continue to analyze our exposure to currency exchange rate fluctuations and may engage in financial hedging techniques in the future to attempt to minimize the effect of these potential fluctuations. Exchange rate fluctuations may adversely affect our financial results in the future.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Impact of Inflation</w:t>
      </w:r>
    </w:p>
    <w:p>
      <w:pPr>
        <w:spacing w:after="0" w:line="120"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Inflationary factors, such as increases in overhead costs or the costs of other core operating resources, may adversely affect our operating results. While it is difficult to accurately measure the impact of inflation due to the imprecise nature of the estimates required, we do not believe the effects of inflation, if any, on our historical results of operations and financial condition have been material. We cannot assure that future inflationary or other cost pressures will not have an adverse impact on our results of operations and financial condition in the future.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24"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Our audited consolidated financial statements, together with the report of our independent registered public accounting firm, appear at pages F-1 through F-45 of this Annual Report.</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800"/>
          </w:cols>
          <w:pgMar w:left="720" w:top="930" w:right="720" w:bottom="175"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Limitations on Effectiveness of Controls and Procedures</w:t>
      </w:r>
    </w:p>
    <w:p>
      <w:pPr>
        <w:spacing w:after="0" w:line="124"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In designing and evaluating our disclosure controls and procedures (as defined in Rules 13a-15(e) and 15d-15(e) under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24"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27, 2026. Based on the evaluation of our disclosure controls and procedures as of March 27, 2026, our Chief Executive Officer and Chief Financial Officer concluded that, as of such date, our disclosure controls and procedures were effective at the reasonable assurance level.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24"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Rules 13a-15(f) and 15(d)-15(f) under the Exchange Act) that occurred during the three months ended March 27, 2026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124"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for the Company. With the participation of the Chief Executive Officer and the Chief Financial Officer, our management conducted an evaluation of the effectiveness of our internal control over financial reporting using the criteria established in Internal Control—Integrated Framework (2013), issued by the Committee of Sponsoring Organizations of the Treadway Commission. Based on this evaluation, our management has concluded that our internal control over financial reporting was effective as of March 27, 2026. The effectiveness of the Company’s internal control over financial reporting as of March 27, 2026 has been audited by PricewaterhouseCoopers LLP, an independent registered public accounting firm, as stated in their attestation report which appears on page F-2 of this Annual Report.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Trading Arrangements</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During the three-month period ended March 27, 2026, no director or officer of the Company adopted or terminated a “Rule 10b5-1 trading arrangement” or “non-Rule 10b5-1 trading arrangement” as each term is defined in Item 408 of Regulations S-K.</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800"/>
          </w:cols>
          <w:pgMar w:left="720" w:top="926" w:right="720" w:bottom="175" w:gutter="0" w:footer="0" w:header="0"/>
          <w:type w:val="continuous"/>
        </w:sectPr>
      </w:pPr>
    </w:p>
    <w:bookmarkStart w:id="58" w:name="page59"/>
    <w:bookmarkEnd w:id="58"/>
    <w:p>
      <w:pPr>
        <w:ind w:left="4900"/>
        <w:spacing w:after="0"/>
        <w:rPr>
          <w:sz w:val="20"/>
          <w:szCs w:val="20"/>
          <w:color w:val="auto"/>
        </w:rPr>
      </w:pPr>
      <w:r>
        <w:rPr>
          <w:rFonts w:ascii="Times New Roman" w:cs="Times New Roman" w:eastAsia="Times New Roman" w:hAnsi="Times New Roman"/>
          <w:sz w:val="24"/>
          <w:szCs w:val="24"/>
          <w:b w:val="1"/>
          <w:bCs w:val="1"/>
          <w:color w:val="auto"/>
        </w:rPr>
        <w:t>PART III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4"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Certain of the information required hereunder is incorporated herein by reference to our definitive proxy statement to be filed pursuant to Regulation 14A, which proxy statement is anticipated to be filed with the SEC within 120 days after March 27, 2026. Pursuant to General Instruction G(3) of Form 10-K, additional information required hereunder relating to our executive officers is contained in Part I of this Annual Report under the caption “Information about our Executive Officers.”</w:t>
      </w:r>
    </w:p>
    <w:p>
      <w:pPr>
        <w:spacing w:after="0" w:line="74"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 xml:space="preserve">Our Board has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our website, </w:t>
      </w:r>
      <w:r>
        <w:rPr>
          <w:rFonts w:ascii="Times New Roman" w:cs="Times New Roman" w:eastAsia="Times New Roman" w:hAnsi="Times New Roman"/>
          <w:sz w:val="20"/>
          <w:szCs w:val="20"/>
          <w:i w:val="1"/>
          <w:iCs w:val="1"/>
          <w:color w:val="auto"/>
        </w:rPr>
        <w:t>www.allegromicro.com</w:t>
      </w:r>
      <w:r>
        <w:rPr>
          <w:rFonts w:ascii="Times New Roman" w:cs="Times New Roman" w:eastAsia="Times New Roman" w:hAnsi="Times New Roman"/>
          <w:sz w:val="20"/>
          <w:szCs w:val="20"/>
          <w:color w:val="auto"/>
        </w:rPr>
        <w:t>. We intend to satisfy the disclosure requirement under Item 5.05 of Form 8-K regarding amendment to, or waiver from, a provision of our Code of Business Conduct and Ethics by posting such information on our website at the address specified above. The information contained on our website is not incorporated by reference into this Annual Report.</w:t>
      </w:r>
    </w:p>
    <w:p>
      <w:pPr>
        <w:spacing w:after="0" w:line="80"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We are committed to promoting high standards of ethical business conduct and compliance with applicable laws, rules and regulations. As part of this commitment, we have adopted our Insider Trading Compliance Policy governing the purchase, sale, and/or other dispositions of our securities by our directors, officers, employees and other Covered Persons (as defined in the Insider Trading Compliance Policy), that we believe is reasonably designed to promote compliance with insider trading laws, rules and regulations, and the exchange listing standards applicable to us. A copy of our Insider Trading Compliance Policy, including any amendments thereto, is filed as Exhibit 19.1 to this Annual Report.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4"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information required hereunder is incorporated herein by reference to our definitive proxy statement to be filed pursuant to Regulation 14A, which proxy statement is anticipated to be filed with the SEC within 120 days after March 27, 2026.</w:t>
      </w:r>
    </w:p>
    <w:p>
      <w:pPr>
        <w:sectPr>
          <w:pgSz w:w="12240" w:h="15840" w:orient="portrait"/>
          <w:cols w:equalWidth="0" w:num="1">
            <w:col w:w="10800"/>
          </w:cols>
          <w:pgMar w:left="720" w:top="92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800"/>
          </w:cols>
          <w:pgMar w:left="720" w:top="922" w:right="720" w:bottom="175"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24"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The information required hereunder is incorporated herein by reference to our definitive proxy statement to be filed pursuant to Regulation 14A, which proxy statement is anticipated to be filed with the SEC within 120 days after March 27, 2026, with the exception of the information regarding securities authorized for issuance under our equity compensation plans, which is set forth below.</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24"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following table sets forth information with respect to securities authorized for issuance under our equity compensation plans as of March 27, 2026:</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184"/>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r>
      <w:tr>
        <w:trPr>
          <w:trHeight w:val="184"/>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r>
      <w:tr>
        <w:trPr>
          <w:trHeight w:val="184"/>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Available for</w:t>
            </w:r>
          </w:p>
        </w:tc>
      </w:tr>
      <w:tr>
        <w:trPr>
          <w:trHeight w:val="184"/>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Future Issuance</w:t>
            </w:r>
          </w:p>
        </w:tc>
      </w:tr>
      <w:tr>
        <w:trPr>
          <w:trHeight w:val="184"/>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Securities to be</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Equity</w:t>
            </w:r>
          </w:p>
        </w:tc>
      </w:tr>
      <w:tr>
        <w:trPr>
          <w:trHeight w:val="184"/>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issued upon</w:t>
            </w: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r>
      <w:tr>
        <w:trPr>
          <w:trHeight w:val="184"/>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140" w:type="dxa"/>
            <w:vAlign w:val="bottom"/>
          </w:tcPr>
          <w:p>
            <w:pPr>
              <w:spacing w:after="0"/>
              <w:rPr>
                <w:sz w:val="16"/>
                <w:szCs w:val="16"/>
                <w:color w:val="auto"/>
              </w:rPr>
            </w:pPr>
          </w:p>
        </w:tc>
        <w:tc>
          <w:tcPr>
            <w:tcW w:w="144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1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Plans (Excluding</w:t>
            </w:r>
          </w:p>
        </w:tc>
      </w:tr>
      <w:tr>
        <w:trPr>
          <w:trHeight w:val="184"/>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40" w:type="dxa"/>
            <w:vAlign w:val="bottom"/>
          </w:tcPr>
          <w:p>
            <w:pPr>
              <w:spacing w:after="0"/>
              <w:rPr>
                <w:sz w:val="16"/>
                <w:szCs w:val="16"/>
                <w:color w:val="auto"/>
              </w:rPr>
            </w:pPr>
          </w:p>
        </w:tc>
        <w:tc>
          <w:tcPr>
            <w:tcW w:w="144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r>
      <w:tr>
        <w:trPr>
          <w:trHeight w:val="184"/>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Options, Warrants,</w:t>
            </w:r>
          </w:p>
        </w:tc>
        <w:tc>
          <w:tcPr>
            <w:tcW w:w="140" w:type="dxa"/>
            <w:vAlign w:val="bottom"/>
          </w:tcPr>
          <w:p>
            <w:pPr>
              <w:spacing w:after="0"/>
              <w:rPr>
                <w:sz w:val="16"/>
                <w:szCs w:val="16"/>
                <w:color w:val="auto"/>
              </w:rPr>
            </w:pPr>
          </w:p>
        </w:tc>
        <w:tc>
          <w:tcPr>
            <w:tcW w:w="144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Options, Warrants,</w:t>
            </w:r>
          </w:p>
        </w:tc>
        <w:tc>
          <w:tcPr>
            <w:tcW w:w="1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w:t>
            </w:r>
          </w:p>
        </w:tc>
      </w:tr>
      <w:tr>
        <w:trPr>
          <w:trHeight w:val="184"/>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and Rights</w:t>
            </w:r>
          </w:p>
        </w:tc>
        <w:tc>
          <w:tcPr>
            <w:tcW w:w="140" w:type="dxa"/>
            <w:vAlign w:val="bottom"/>
          </w:tcPr>
          <w:p>
            <w:pPr>
              <w:spacing w:after="0"/>
              <w:rPr>
                <w:sz w:val="16"/>
                <w:szCs w:val="16"/>
                <w:color w:val="auto"/>
              </w:rPr>
            </w:pPr>
          </w:p>
        </w:tc>
        <w:tc>
          <w:tcPr>
            <w:tcW w:w="144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and Rights</w:t>
            </w:r>
          </w:p>
        </w:tc>
        <w:tc>
          <w:tcPr>
            <w:tcW w:w="1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Column (a))</w:t>
            </w:r>
          </w:p>
        </w:tc>
      </w:tr>
      <w:tr>
        <w:trPr>
          <w:trHeight w:val="203"/>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40" w:type="dxa"/>
            <w:vAlign w:val="bottom"/>
            <w:tcBorders>
              <w:bottom w:val="single" w:sz="8" w:color="E2E2E2"/>
            </w:tcBorders>
          </w:tcPr>
          <w:p>
            <w:pPr>
              <w:spacing w:after="0"/>
              <w:rPr>
                <w:sz w:val="17"/>
                <w:szCs w:val="17"/>
                <w:color w:val="auto"/>
              </w:rPr>
            </w:pPr>
          </w:p>
        </w:tc>
        <w:tc>
          <w:tcPr>
            <w:tcW w:w="1460" w:type="dxa"/>
            <w:vAlign w:val="bottom"/>
            <w:tcBorders>
              <w:bottom w:val="single" w:sz="8" w:color="auto"/>
            </w:tcBorders>
          </w:tcPr>
          <w:p>
            <w:pPr>
              <w:jc w:val="center"/>
              <w:ind w:right="15"/>
              <w:spacing w:after="0" w:line="204" w:lineRule="exact"/>
              <w:rPr>
                <w:sz w:val="20"/>
                <w:szCs w:val="20"/>
                <w:color w:val="auto"/>
              </w:rPr>
            </w:pPr>
            <w:r>
              <w:rPr>
                <w:rFonts w:ascii="Times New Roman" w:cs="Times New Roman" w:eastAsia="Times New Roman" w:hAnsi="Times New Roman"/>
                <w:sz w:val="16"/>
                <w:szCs w:val="16"/>
                <w:b w:val="1"/>
                <w:bCs w:val="1"/>
                <w:color w:val="auto"/>
                <w:w w:val="94"/>
              </w:rPr>
              <w:t>(a)</w:t>
            </w:r>
            <w:r>
              <w:rPr>
                <w:rFonts w:ascii="Times New Roman" w:cs="Times New Roman" w:eastAsia="Times New Roman" w:hAnsi="Times New Roman"/>
                <w:sz w:val="20"/>
                <w:szCs w:val="20"/>
                <w:b w:val="1"/>
                <w:bCs w:val="1"/>
                <w:color w:val="auto"/>
                <w:w w:val="94"/>
                <w:vertAlign w:val="superscript"/>
              </w:rPr>
              <w:t>2</w:t>
            </w:r>
          </w:p>
        </w:tc>
        <w:tc>
          <w:tcPr>
            <w:tcW w:w="140" w:type="dxa"/>
            <w:vAlign w:val="bottom"/>
            <w:tcBorders>
              <w:bottom w:val="single" w:sz="8" w:color="E2E2E2"/>
            </w:tcBorders>
          </w:tcPr>
          <w:p>
            <w:pPr>
              <w:spacing w:after="0"/>
              <w:rPr>
                <w:sz w:val="17"/>
                <w:szCs w:val="17"/>
                <w:color w:val="auto"/>
              </w:rPr>
            </w:pPr>
          </w:p>
        </w:tc>
        <w:tc>
          <w:tcPr>
            <w:tcW w:w="1440" w:type="dxa"/>
            <w:vAlign w:val="bottom"/>
            <w:tcBorders>
              <w:bottom w:val="single" w:sz="8" w:color="auto"/>
            </w:tcBorders>
          </w:tcPr>
          <w:p>
            <w:pPr>
              <w:jc w:val="center"/>
              <w:ind w:right="17"/>
              <w:spacing w:after="0" w:line="204" w:lineRule="exact"/>
              <w:rPr>
                <w:sz w:val="20"/>
                <w:szCs w:val="20"/>
                <w:color w:val="auto"/>
              </w:rPr>
            </w:pPr>
            <w:r>
              <w:rPr>
                <w:rFonts w:ascii="Times New Roman" w:cs="Times New Roman" w:eastAsia="Times New Roman" w:hAnsi="Times New Roman"/>
                <w:sz w:val="16"/>
                <w:szCs w:val="16"/>
                <w:b w:val="1"/>
                <w:bCs w:val="1"/>
                <w:color w:val="auto"/>
                <w:w w:val="98"/>
              </w:rPr>
              <w:t>(b)</w:t>
            </w:r>
            <w:r>
              <w:rPr>
                <w:rFonts w:ascii="Times New Roman" w:cs="Times New Roman" w:eastAsia="Times New Roman" w:hAnsi="Times New Roman"/>
                <w:sz w:val="20"/>
                <w:szCs w:val="20"/>
                <w:b w:val="1"/>
                <w:bCs w:val="1"/>
                <w:color w:val="auto"/>
                <w:w w:val="98"/>
                <w:vertAlign w:val="superscript"/>
              </w:rPr>
              <w:t>3</w:t>
            </w:r>
          </w:p>
        </w:tc>
        <w:tc>
          <w:tcPr>
            <w:tcW w:w="160" w:type="dxa"/>
            <w:vAlign w:val="bottom"/>
            <w:tcBorders>
              <w:bottom w:val="single" w:sz="8" w:color="E2E2E2"/>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264"/>
        </w:trPr>
        <w:tc>
          <w:tcPr>
            <w:tcW w:w="6060" w:type="dxa"/>
            <w:vAlign w:val="bottom"/>
            <w:shd w:val="clear" w:color="auto" w:fill="E2E2E2"/>
          </w:tcPr>
          <w:p>
            <w:pPr>
              <w:spacing w:after="0" w:line="263" w:lineRule="exact"/>
              <w:rPr>
                <w:sz w:val="20"/>
                <w:szCs w:val="20"/>
                <w:color w:val="auto"/>
              </w:rPr>
            </w:pPr>
            <w:r>
              <w:rPr>
                <w:rFonts w:ascii="Times New Roman" w:cs="Times New Roman" w:eastAsia="Times New Roman" w:hAnsi="Times New Roman"/>
                <w:sz w:val="20"/>
                <w:szCs w:val="20"/>
                <w:color w:val="auto"/>
              </w:rPr>
              <w:t>Equity Compensation Plans Approved by Security Holders</w:t>
            </w:r>
            <w:r>
              <w:rPr>
                <w:rFonts w:ascii="Times New Roman" w:cs="Times New Roman" w:eastAsia="Times New Roman" w:hAnsi="Times New Roman"/>
                <w:sz w:val="26"/>
                <w:szCs w:val="26"/>
                <w:color w:val="auto"/>
                <w:vertAlign w:val="superscript"/>
              </w:rPr>
              <w:t>1</w:t>
            </w:r>
          </w:p>
        </w:tc>
        <w:tc>
          <w:tcPr>
            <w:tcW w:w="140" w:type="dxa"/>
            <w:vAlign w:val="bottom"/>
            <w:shd w:val="clear" w:color="auto" w:fill="E2E2E2"/>
          </w:tcPr>
          <w:p>
            <w:pPr>
              <w:spacing w:after="0"/>
              <w:rPr>
                <w:sz w:val="22"/>
                <w:szCs w:val="22"/>
                <w:color w:val="auto"/>
              </w:rPr>
            </w:pPr>
          </w:p>
        </w:tc>
        <w:tc>
          <w:tcPr>
            <w:tcW w:w="146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20"/>
                <w:szCs w:val="20"/>
                <w:color w:val="auto"/>
              </w:rPr>
              <w:t>4,417,631</w:t>
            </w:r>
          </w:p>
        </w:tc>
        <w:tc>
          <w:tcPr>
            <w:tcW w:w="140" w:type="dxa"/>
            <w:vAlign w:val="bottom"/>
            <w:shd w:val="clear" w:color="auto" w:fill="E2E2E2"/>
          </w:tcPr>
          <w:p>
            <w:pPr>
              <w:spacing w:after="0"/>
              <w:rPr>
                <w:sz w:val="22"/>
                <w:szCs w:val="22"/>
                <w:color w:val="auto"/>
              </w:rPr>
            </w:pPr>
          </w:p>
        </w:tc>
        <w:tc>
          <w:tcPr>
            <w:tcW w:w="1440" w:type="dxa"/>
            <w:vAlign w:val="bottom"/>
            <w:shd w:val="clear" w:color="auto" w:fill="E2E2E2"/>
          </w:tcPr>
          <w:p>
            <w:pPr>
              <w:ind w:left="11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2E2E2"/>
          </w:tcPr>
          <w:p>
            <w:pPr>
              <w:spacing w:after="0"/>
              <w:rPr>
                <w:sz w:val="22"/>
                <w:szCs w:val="22"/>
                <w:color w:val="auto"/>
              </w:rPr>
            </w:pP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30,364,903</w:t>
            </w:r>
          </w:p>
        </w:tc>
      </w:tr>
      <w:tr>
        <w:trPr>
          <w:trHeight w:val="230"/>
        </w:trPr>
        <w:tc>
          <w:tcPr>
            <w:tcW w:w="606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Equity Compensation Plans Not Approved by Security Holders</w:t>
            </w:r>
          </w:p>
        </w:tc>
        <w:tc>
          <w:tcPr>
            <w:tcW w:w="140" w:type="dxa"/>
            <w:vAlign w:val="bottom"/>
            <w:tcBorders>
              <w:bottom w:val="single" w:sz="8" w:color="E2E2E2"/>
            </w:tcBorders>
          </w:tcPr>
          <w:p>
            <w:pPr>
              <w:spacing w:after="0"/>
              <w:rPr>
                <w:sz w:val="20"/>
                <w:szCs w:val="20"/>
                <w:color w:val="auto"/>
              </w:rPr>
            </w:pP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2E2E2"/>
            </w:tcBorders>
          </w:tcPr>
          <w:p>
            <w:pPr>
              <w:spacing w:after="0"/>
              <w:rPr>
                <w:sz w:val="20"/>
                <w:szCs w:val="20"/>
                <w:color w:val="auto"/>
              </w:rPr>
            </w:pPr>
          </w:p>
        </w:tc>
        <w:tc>
          <w:tcPr>
            <w:tcW w:w="1440" w:type="dxa"/>
            <w:vAlign w:val="bottom"/>
            <w:tcBorders>
              <w:bottom w:val="single" w:sz="8" w:color="E2E2E2"/>
            </w:tcBorders>
          </w:tcPr>
          <w:p>
            <w:pPr>
              <w:spacing w:after="0"/>
              <w:rPr>
                <w:sz w:val="20"/>
                <w:szCs w:val="20"/>
                <w:color w:val="auto"/>
              </w:rPr>
            </w:pPr>
          </w:p>
        </w:tc>
        <w:tc>
          <w:tcPr>
            <w:tcW w:w="160" w:type="dxa"/>
            <w:vAlign w:val="bottom"/>
            <w:tcBorders>
              <w:bottom w:val="single" w:sz="8" w:color="E2E2E2"/>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5"/>
        </w:trPr>
        <w:tc>
          <w:tcPr>
            <w:tcW w:w="606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140" w:type="dxa"/>
            <w:vAlign w:val="bottom"/>
            <w:shd w:val="clear" w:color="auto" w:fill="E2E2E2"/>
          </w:tcPr>
          <w:p>
            <w:pPr>
              <w:spacing w:after="0"/>
              <w:rPr>
                <w:sz w:val="19"/>
                <w:szCs w:val="19"/>
                <w:color w:val="auto"/>
              </w:rPr>
            </w:pPr>
          </w:p>
        </w:tc>
        <w:tc>
          <w:tcPr>
            <w:tcW w:w="1460" w:type="dxa"/>
            <w:vAlign w:val="bottom"/>
            <w:tcBorders>
              <w:bottom w:val="single" w:sz="8" w:color="auto"/>
            </w:tcBorders>
            <w:shd w:val="clear" w:color="auto" w:fill="E2E2E2"/>
          </w:tcPr>
          <w:p>
            <w:pPr>
              <w:jc w:val="right"/>
              <w:ind w:right="35"/>
              <w:spacing w:after="0" w:line="225" w:lineRule="exact"/>
              <w:rPr>
                <w:sz w:val="20"/>
                <w:szCs w:val="20"/>
                <w:color w:val="auto"/>
              </w:rPr>
            </w:pPr>
            <w:r>
              <w:rPr>
                <w:rFonts w:ascii="Times New Roman" w:cs="Times New Roman" w:eastAsia="Times New Roman" w:hAnsi="Times New Roman"/>
                <w:sz w:val="20"/>
                <w:szCs w:val="20"/>
                <w:color w:val="auto"/>
              </w:rPr>
              <w:t>4,417,631</w:t>
            </w:r>
          </w:p>
        </w:tc>
        <w:tc>
          <w:tcPr>
            <w:tcW w:w="140" w:type="dxa"/>
            <w:vAlign w:val="bottom"/>
            <w:shd w:val="clear" w:color="auto" w:fill="E2E2E2"/>
          </w:tcPr>
          <w:p>
            <w:pPr>
              <w:spacing w:after="0"/>
              <w:rPr>
                <w:sz w:val="19"/>
                <w:szCs w:val="19"/>
                <w:color w:val="auto"/>
              </w:rPr>
            </w:pPr>
          </w:p>
        </w:tc>
        <w:tc>
          <w:tcPr>
            <w:tcW w:w="144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14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30,364,903</w:t>
            </w:r>
          </w:p>
        </w:tc>
      </w:tr>
      <w:tr>
        <w:trPr>
          <w:trHeight w:val="20"/>
        </w:trPr>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jc w:val="both"/>
        <w:ind w:left="360" w:hanging="360"/>
        <w:spacing w:after="0" w:line="229" w:lineRule="auto"/>
        <w:tabs>
          <w:tab w:leader="none" w:pos="360" w:val="left"/>
        </w:tabs>
        <w:numPr>
          <w:ilvl w:val="0"/>
          <w:numId w:val="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As of March 27, 2026, there were 26,041,192 shares available for future issuance under the Allegro MicroSystems, Inc. 2020 Omnibus Incentive Compensation Plan, and 4,323,711 shares available for future issuance under the Allegro MicroSystems, Inc. 2020 Employee Stock Purchase Plan.</w:t>
      </w:r>
    </w:p>
    <w:p>
      <w:pPr>
        <w:spacing w:after="0" w:line="25" w:lineRule="exact"/>
        <w:rPr>
          <w:rFonts w:ascii="Times New Roman" w:cs="Times New Roman" w:eastAsia="Times New Roman" w:hAnsi="Times New Roman"/>
          <w:sz w:val="26"/>
          <w:szCs w:val="26"/>
          <w:color w:val="auto"/>
          <w:vertAlign w:val="superscript"/>
        </w:rPr>
      </w:pPr>
    </w:p>
    <w:p>
      <w:pPr>
        <w:jc w:val="both"/>
        <w:ind w:left="360" w:hanging="360"/>
        <w:spacing w:after="0" w:line="229" w:lineRule="auto"/>
        <w:tabs>
          <w:tab w:leader="none" w:pos="360" w:val="left"/>
        </w:tabs>
        <w:numPr>
          <w:ilvl w:val="0"/>
          <w:numId w:val="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As of March 27, 2026, there were 1,325,188 PSUs issued at target and 3,092,443 RSUs included in this amount. PSUs were calculated at target, except for PSUs with performance periods ending as of March 27, 2026, which were calculated at actual performance.</w:t>
      </w:r>
    </w:p>
    <w:p>
      <w:pPr>
        <w:spacing w:after="0" w:line="2" w:lineRule="exact"/>
        <w:rPr>
          <w:rFonts w:ascii="Times New Roman" w:cs="Times New Roman" w:eastAsia="Times New Roman" w:hAnsi="Times New Roman"/>
          <w:sz w:val="26"/>
          <w:szCs w:val="26"/>
          <w:color w:val="auto"/>
          <w:vertAlign w:val="superscript"/>
        </w:rPr>
      </w:pPr>
    </w:p>
    <w:p>
      <w:pPr>
        <w:ind w:left="360" w:hanging="360"/>
        <w:spacing w:after="0" w:line="232" w:lineRule="auto"/>
        <w:tabs>
          <w:tab w:leader="none" w:pos="360" w:val="left"/>
        </w:tabs>
        <w:numPr>
          <w:ilvl w:val="0"/>
          <w:numId w:val="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No exercise price has been derived as a result of all derivatives issued being PSUs and RSUs.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24" w:lineRule="exact"/>
        <w:rPr>
          <w:sz w:val="20"/>
          <w:szCs w:val="20"/>
          <w:color w:val="auto"/>
        </w:rPr>
      </w:pPr>
    </w:p>
    <w:p>
      <w:pPr>
        <w:ind w:firstLine="547"/>
        <w:spacing w:after="0" w:line="277" w:lineRule="auto"/>
        <w:rPr>
          <w:sz w:val="20"/>
          <w:szCs w:val="20"/>
          <w:color w:val="auto"/>
        </w:rPr>
      </w:pPr>
      <w:r>
        <w:rPr>
          <w:rFonts w:ascii="Times New Roman" w:cs="Times New Roman" w:eastAsia="Times New Roman" w:hAnsi="Times New Roman"/>
          <w:sz w:val="20"/>
          <w:szCs w:val="20"/>
          <w:color w:val="auto"/>
        </w:rPr>
        <w:t>The information required hereunder is incorporated herein by reference to our definitive proxy statement to be filed pursuant to Regulation 14A, which proxy statement is anticipated to be filed with the SEC within 120 days after March 27, 2026.</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24" w:lineRule="exact"/>
        <w:rPr>
          <w:sz w:val="20"/>
          <w:szCs w:val="20"/>
          <w:color w:val="auto"/>
        </w:rPr>
      </w:pPr>
    </w:p>
    <w:p>
      <w:pPr>
        <w:ind w:firstLine="547"/>
        <w:spacing w:after="0" w:line="277" w:lineRule="auto"/>
        <w:rPr>
          <w:sz w:val="20"/>
          <w:szCs w:val="20"/>
          <w:color w:val="auto"/>
        </w:rPr>
      </w:pPr>
      <w:r>
        <w:rPr>
          <w:rFonts w:ascii="Times New Roman" w:cs="Times New Roman" w:eastAsia="Times New Roman" w:hAnsi="Times New Roman"/>
          <w:sz w:val="20"/>
          <w:szCs w:val="20"/>
          <w:color w:val="auto"/>
        </w:rPr>
        <w:t>The information required hereunder is incorporated herein by reference to our definitive proxy statement to be filed pursuant to Regulation 14A, which proxy statement is anticipated to be filed with the SEC within 120 days after March 27, 2026.</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800"/>
          </w:cols>
          <w:pgMar w:left="720" w:top="926" w:right="720" w:bottom="175"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24"/>
          <w:szCs w:val="24"/>
          <w:b w:val="1"/>
          <w:bCs w:val="1"/>
          <w:color w:val="auto"/>
        </w:rPr>
        <w:t>PART IV</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 and Financial Statement Schedules.</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documents are filed as part of this Annual Report:</w:t>
      </w:r>
    </w:p>
    <w:p>
      <w:pPr>
        <w:spacing w:after="0" w:line="120" w:lineRule="exact"/>
        <w:rPr>
          <w:sz w:val="20"/>
          <w:szCs w:val="20"/>
          <w:color w:val="auto"/>
        </w:rPr>
      </w:pPr>
    </w:p>
    <w:p>
      <w:pPr>
        <w:ind w:left="1000" w:hanging="352"/>
        <w:spacing w:after="0"/>
        <w:tabs>
          <w:tab w:leader="none" w:pos="10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w:t>
      </w:r>
    </w:p>
    <w:p>
      <w:pPr>
        <w:spacing w:after="0" w:line="120" w:lineRule="exact"/>
        <w:rPr>
          <w:rFonts w:ascii="Times New Roman" w:cs="Times New Roman" w:eastAsia="Times New Roman" w:hAnsi="Times New Roman"/>
          <w:sz w:val="20"/>
          <w:szCs w:val="20"/>
          <w:color w:val="auto"/>
        </w:rPr>
      </w:pPr>
    </w:p>
    <w:p>
      <w:pPr>
        <w:ind w:left="1440" w:right="1880" w:hanging="432"/>
        <w:spacing w:after="0" w:line="30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financial statements are included in this Annual Report from page F-1 to page F-45: Report of Independent Registered Public Accounting Firm (PCAOB ID Number 238) Consolidated Balance Sheets</w:t>
      </w:r>
    </w:p>
    <w:p>
      <w:pPr>
        <w:spacing w:after="0" w:line="1" w:lineRule="exact"/>
        <w:rPr>
          <w:rFonts w:ascii="Times New Roman" w:cs="Times New Roman" w:eastAsia="Times New Roman" w:hAnsi="Times New Roman"/>
          <w:sz w:val="20"/>
          <w:szCs w:val="20"/>
          <w:color w:val="auto"/>
        </w:rPr>
      </w:pPr>
    </w:p>
    <w:p>
      <w:pPr>
        <w:ind w:left="1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Operations</w:t>
      </w:r>
    </w:p>
    <w:p>
      <w:pPr>
        <w:spacing w:after="0" w:line="60" w:lineRule="exact"/>
        <w:rPr>
          <w:rFonts w:ascii="Times New Roman" w:cs="Times New Roman" w:eastAsia="Times New Roman" w:hAnsi="Times New Roman"/>
          <w:sz w:val="20"/>
          <w:szCs w:val="20"/>
          <w:color w:val="auto"/>
        </w:rPr>
      </w:pPr>
    </w:p>
    <w:p>
      <w:pPr>
        <w:ind w:left="1440" w:right="4480"/>
        <w:spacing w:after="0" w:line="30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Comprehensive (Loss) Income Consolidated Statements of Changes in Stockholders’ Equity Consolidated Statements of Cash Flows</w:t>
      </w:r>
    </w:p>
    <w:p>
      <w:pPr>
        <w:spacing w:after="0" w:line="1" w:lineRule="exact"/>
        <w:rPr>
          <w:rFonts w:ascii="Times New Roman" w:cs="Times New Roman" w:eastAsia="Times New Roman" w:hAnsi="Times New Roman"/>
          <w:sz w:val="20"/>
          <w:szCs w:val="20"/>
          <w:color w:val="auto"/>
        </w:rPr>
      </w:pPr>
    </w:p>
    <w:p>
      <w:pPr>
        <w:ind w:left="1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120" w:lineRule="exact"/>
        <w:rPr>
          <w:rFonts w:ascii="Times New Roman" w:cs="Times New Roman" w:eastAsia="Times New Roman" w:hAnsi="Times New Roman"/>
          <w:sz w:val="20"/>
          <w:szCs w:val="20"/>
          <w:color w:val="auto"/>
        </w:rPr>
      </w:pPr>
    </w:p>
    <w:p>
      <w:pPr>
        <w:ind w:left="1000" w:hanging="352"/>
        <w:spacing w:after="0" w:line="277" w:lineRule="auto"/>
        <w:tabs>
          <w:tab w:leader="none" w:pos="10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All schedules are omitted because they are not applicable or the required information is shown on the financial statements or notes thereto.</w:t>
      </w:r>
    </w:p>
    <w:p>
      <w:pPr>
        <w:spacing w:after="0" w:line="49" w:lineRule="exact"/>
        <w:rPr>
          <w:rFonts w:ascii="Times New Roman" w:cs="Times New Roman" w:eastAsia="Times New Roman" w:hAnsi="Times New Roman"/>
          <w:sz w:val="20"/>
          <w:szCs w:val="20"/>
          <w:color w:val="auto"/>
        </w:rPr>
      </w:pPr>
    </w:p>
    <w:p>
      <w:pPr>
        <w:ind w:left="1000" w:hanging="352"/>
        <w:spacing w:after="0"/>
        <w:tabs>
          <w:tab w:leader="none" w:pos="10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ectPr>
          <w:pgSz w:w="12240" w:h="15840" w:orient="portrait"/>
          <w:cols w:equalWidth="0" w:num="1">
            <w:col w:w="10800"/>
          </w:cols>
          <w:pgMar w:left="720" w:top="92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800"/>
          </w:cols>
          <w:pgMar w:left="720" w:top="922" w:right="720" w:bottom="175"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03"/>
        </w:trPr>
        <w:tc>
          <w:tcPr>
            <w:tcW w:w="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Pr>
          <w:p>
            <w:pPr>
              <w:spacing w:after="0"/>
              <w:rPr>
                <w:sz w:val="17"/>
                <w:szCs w:val="17"/>
                <w:color w:val="auto"/>
              </w:rPr>
            </w:pPr>
          </w:p>
        </w:tc>
        <w:tc>
          <w:tcPr>
            <w:tcW w:w="9780" w:type="dxa"/>
            <w:vAlign w:val="bottom"/>
            <w:gridSpan w:val="2"/>
          </w:tcPr>
          <w:p>
            <w:pPr>
              <w:ind w:left="412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r>
      <w:tr>
        <w:trPr>
          <w:trHeight w:val="201"/>
        </w:trPr>
        <w:tc>
          <w:tcPr>
            <w:tcW w:w="86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3.1</w:t>
            </w:r>
          </w:p>
        </w:tc>
        <w:tc>
          <w:tcPr>
            <w:tcW w:w="120" w:type="dxa"/>
            <w:vAlign w:val="bottom"/>
          </w:tcPr>
          <w:p>
            <w:pPr>
              <w:spacing w:after="0"/>
              <w:rPr>
                <w:sz w:val="17"/>
                <w:szCs w:val="17"/>
                <w:color w:val="auto"/>
              </w:rPr>
            </w:pPr>
          </w:p>
        </w:tc>
        <w:tc>
          <w:tcPr>
            <w:tcW w:w="976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Third Amended and Restated Certificate of Incorporation of Allegro MicroSystems, Inc. (incorporated by reference from</w:t>
            </w:r>
          </w:p>
        </w:tc>
        <w:tc>
          <w:tcPr>
            <w:tcW w:w="20" w:type="dxa"/>
            <w:vAlign w:val="bottom"/>
          </w:tcPr>
          <w:p>
            <w:pPr>
              <w:spacing w:after="0"/>
              <w:rPr>
                <w:sz w:val="17"/>
                <w:szCs w:val="17"/>
                <w:color w:val="auto"/>
              </w:rPr>
            </w:pP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3.1 to the Company’s Current Report on Form 8-K filed on November 2, 2020)</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Second Amended and Restated Bylaws of Allegro MicroSystems, Inc. (incorporated by reference from Exhibit 3.2 to the</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Company’s Annual Report on Form 10-K filed on May 25, 2023)</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Specimen Stock Certificate evidencing the shares of common stock (incorporated by reference from Exhibit 4.1 to the</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Company’s Registration Statement on Form S-1/A filed on October 21, 2020)</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Second Amended and Restated Stockholders Agreement, dated as of July 23, 2024, by and between Allegro</w:t>
            </w:r>
          </w:p>
        </w:tc>
      </w:tr>
      <w:tr>
        <w:trPr>
          <w:trHeight w:val="230"/>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MicroSystems, Inc. and Sanken Electric Co., Ltd. (incorporated by reference from Exhibit 10.2 to the Company’s Current</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Report on Form 8-K filed on July 23, 2024)†</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Registration Rights Agreement, by and among the Allegro MicroSystems, Inc., Sanken Electric</w:t>
            </w:r>
          </w:p>
        </w:tc>
      </w:tr>
      <w:tr>
        <w:trPr>
          <w:trHeight w:val="230"/>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 and OEP SKNA, L.P. (incorporated by reference from Exhibit 10.1 to the Company’s Current Report on Form 8-K</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filed on November 2, 2020)</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 of securities (incorporated by reference from Exhibit 4.4 to the Company’s Annual Report on Form 10-K on</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May 19, 2021)</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Indenture (incorporated by reference from Exhibit 4.3 to the Company’s Registration Statement on Form S-</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3ASR filed on November 1, 2021)</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Contract of Lease, dated as of April 1, 2004, by and between Allegro MicroSystems Phils. Realty, Inc. and Allegro</w:t>
            </w:r>
          </w:p>
        </w:tc>
      </w:tr>
      <w:tr>
        <w:trPr>
          <w:trHeight w:val="230"/>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MicroSystems Philippines, Inc. (incorporated by reference from Exhibit 10.20 to the Company’s Registration Statement</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on Form S-1 filed on October 6, 2020)</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Contract of Lease, dated as of May 23, 2008, by and between Allegro MicroSystems Phils. Realty, Inc. and Allegro</w:t>
            </w:r>
          </w:p>
        </w:tc>
      </w:tr>
      <w:tr>
        <w:trPr>
          <w:trHeight w:val="230"/>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MicroSystems Philippines, Inc. (incorporated by reference from Exhibit 10.21 to the Company’s Registration Statement</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on Form S-1 filed on October 6, 2020)</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Contract of Lease, dated as of February 10, 2010, by and between Allegro MicroSystems Phils. Realty, Inc. and Allegro</w:t>
            </w:r>
          </w:p>
        </w:tc>
      </w:tr>
      <w:tr>
        <w:trPr>
          <w:trHeight w:val="230"/>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MicroSystems Philippines, Inc. (incorporated by reference from Exhibit 10.22 to the Company’s Registration Statement</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on Form S-1 filed on October 6, 2020)</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Contract of Lease, dated as of December 29, 2017, by and between Allegro MicroSystems Phils. Realty, Inc. and Allegro</w:t>
            </w:r>
          </w:p>
        </w:tc>
      </w:tr>
      <w:tr>
        <w:trPr>
          <w:trHeight w:val="230"/>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MicroSystems Philippines, Inc. (incorporated by reference from Exhibit 10.23 to the Company’s Registration Statement</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on Form S-1 filed on October 6, 2020)</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Allegro MicroSystems, LLC Executive Deferred Compensation Plan, dated as of September 15,</w:t>
            </w:r>
          </w:p>
        </w:tc>
      </w:tr>
      <w:tr>
        <w:trPr>
          <w:trHeight w:val="230"/>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2015 (incorporated by reference from Exhibit 10.30 to the Company’s Registration Statement on Form S-1/A filed on</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October 13, 2020)*</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Allegro MicroSystems, Inc. Non-Employee Director Deferred Compensation Plan (incorporated by reference from</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10.2 to the Company’s Quarterly Report on Form 10-Q filed on January 30, 2026)*</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Allegro MicroSystems, Inc. 2020 Omnibus Incentive Compensation Plan (incorporated by reference from</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10.7 to the Company’s Annual Report on Form 10-K on May 23, 2024)*</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Allegro MicroSystems, Inc. Annual Incentive Plan (incorporated by reference from Exhibit 10.8 to the</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Company’s Annual Report on Form 10-K on May 23, 2024)*</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Restricted Stock Unit Agreement under Allegro MicroSystems, Inc. 2020 Omnibus Incentive Compensation</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Plan (Employees)*</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Restricted Stock Unit Agreement under Allegro MicroSystems, Inc. 2020 Omnibus Incentive Compensation</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Plan (Executives)*</w:t>
            </w:r>
          </w:p>
        </w:tc>
      </w:tr>
    </w:tbl>
    <w:p>
      <w:pPr>
        <w:spacing w:after="0" w:line="200" w:lineRule="exact"/>
        <w:rPr>
          <w:sz w:val="20"/>
          <w:szCs w:val="20"/>
          <w:color w:val="auto"/>
        </w:rPr>
      </w:pPr>
    </w:p>
    <w:p>
      <w:pPr>
        <w:sectPr>
          <w:pgSz w:w="12240" w:h="15840" w:orient="portrait"/>
          <w:cols w:equalWidth="0" w:num="1">
            <w:col w:w="10740"/>
          </w:cols>
          <w:pgMar w:left="720" w:top="1206" w:right="780" w:bottom="175" w:gutter="0" w:footer="0" w:header="0"/>
        </w:sectPr>
      </w:pP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740"/>
          </w:cols>
          <w:pgMar w:left="720" w:top="1206" w:right="780" w:bottom="175" w:gutter="0" w:footer="0" w:header="0"/>
          <w:type w:val="continuous"/>
        </w:sectPr>
      </w:pPr>
    </w:p>
    <w:bookmarkStart w:id="62" w:name="page63"/>
    <w:bookmarkEnd w:id="62"/>
    <w:p>
      <w:pPr>
        <w:jc w:val="both"/>
        <w:ind w:left="260" w:hanging="971"/>
        <w:spacing w:after="0" w:line="258" w:lineRule="auto"/>
        <w:tabs>
          <w:tab w:leader="none" w:pos="24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Form of Restricted Stock Unit Agreement under Allegro MicroSystems, Inc. 2020 Omnibus Incentive Compensation Plan (Board of Directors) (incorporated by reference from Exhibit 10.34 to the Company’s Registration Statement on Form S-1/A filed on October 21, 2020)*</w:t>
      </w:r>
    </w:p>
    <w:p>
      <w:pPr>
        <w:spacing w:after="0" w:line="178" w:lineRule="exact"/>
        <w:rPr>
          <w:sz w:val="20"/>
          <w:szCs w:val="20"/>
          <w:color w:val="auto"/>
        </w:rPr>
      </w:pPr>
    </w:p>
    <w:p>
      <w:pPr>
        <w:jc w:val="both"/>
        <w:ind w:left="260" w:hanging="971"/>
        <w:spacing w:after="0" w:line="277" w:lineRule="auto"/>
        <w:tabs>
          <w:tab w:leader="none" w:pos="24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Form of Performance Stock Unit Agreement under Allegro MicroSystems, Inc. 2020 Omnibus Incentive Compensation Plan*</w:t>
      </w:r>
    </w:p>
    <w:p>
      <w:pPr>
        <w:spacing w:after="0" w:line="159" w:lineRule="exact"/>
        <w:rPr>
          <w:sz w:val="20"/>
          <w:szCs w:val="20"/>
          <w:color w:val="auto"/>
        </w:rPr>
      </w:pPr>
    </w:p>
    <w:p>
      <w:pPr>
        <w:jc w:val="both"/>
        <w:ind w:left="260" w:hanging="971"/>
        <w:spacing w:after="0" w:line="277" w:lineRule="auto"/>
        <w:tabs>
          <w:tab w:leader="none" w:pos="24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Form of Allegro MicroSystems, Inc. 2020 Employee Stock Purchase Plan (incorporated by reference from Exhibit 99.5 to the Company’s Registration Statement on Form S-8 filed on October 30, 2020)*</w:t>
      </w:r>
    </w:p>
    <w:p>
      <w:pPr>
        <w:spacing w:after="0" w:line="159" w:lineRule="exact"/>
        <w:rPr>
          <w:sz w:val="20"/>
          <w:szCs w:val="20"/>
          <w:color w:val="auto"/>
        </w:rPr>
      </w:pPr>
    </w:p>
    <w:p>
      <w:pPr>
        <w:jc w:val="both"/>
        <w:ind w:left="260" w:hanging="971"/>
        <w:spacing w:after="0" w:line="277" w:lineRule="auto"/>
        <w:tabs>
          <w:tab w:leader="none" w:pos="24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Form of Severance Agreement between Allegro MicroSystems, Inc. and its executive officers (incorporated by reference from Exhibit 10.32 to the Company’s Annual Report on Form 10-K filed on May 25, 2023)*</w:t>
      </w:r>
    </w:p>
    <w:p>
      <w:pPr>
        <w:spacing w:after="0" w:line="159" w:lineRule="exact"/>
        <w:rPr>
          <w:sz w:val="20"/>
          <w:szCs w:val="20"/>
          <w:color w:val="auto"/>
        </w:rPr>
      </w:pPr>
    </w:p>
    <w:p>
      <w:pPr>
        <w:ind w:left="260" w:right="200" w:hanging="971"/>
        <w:spacing w:after="0" w:line="305" w:lineRule="auto"/>
        <w:tabs>
          <w:tab w:leader="none" w:pos="24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19"/>
          <w:szCs w:val="19"/>
          <w:color w:val="auto"/>
        </w:rPr>
        <w:t>Amended and Restated Form of Severance Agreement between Allegro MicroSystems, Inc. and its executive officers (incorporated by reference from Exhibit 10.14 to the Company's Annual Report on Form 10-K filed on May 22, 2025)*</w:t>
      </w:r>
    </w:p>
    <w:p>
      <w:pPr>
        <w:spacing w:after="0" w:line="135" w:lineRule="exact"/>
        <w:rPr>
          <w:sz w:val="20"/>
          <w:szCs w:val="20"/>
          <w:color w:val="auto"/>
        </w:rPr>
      </w:pPr>
    </w:p>
    <w:p>
      <w:pPr>
        <w:jc w:val="both"/>
        <w:ind w:left="260" w:hanging="971"/>
        <w:spacing w:after="0" w:line="277" w:lineRule="auto"/>
        <w:tabs>
          <w:tab w:leader="none" w:pos="24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Summary of Allegro MicroSystems, Inc. Non-Employee Director Compensation, as amended (incorporated by reference from Exhibit 10.1 to the Company’s Quarterly Report on Form 10-Q filed on January 30, 2026)*</w:t>
      </w:r>
    </w:p>
    <w:p>
      <w:pPr>
        <w:spacing w:after="0" w:line="159" w:lineRule="exact"/>
        <w:rPr>
          <w:sz w:val="20"/>
          <w:szCs w:val="20"/>
          <w:color w:val="auto"/>
        </w:rPr>
      </w:pPr>
    </w:p>
    <w:p>
      <w:pPr>
        <w:jc w:val="both"/>
        <w:ind w:left="260" w:hanging="971"/>
        <w:spacing w:after="0" w:line="277" w:lineRule="auto"/>
        <w:tabs>
          <w:tab w:leader="none" w:pos="24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Form of Indemnification Agreement between Allegro MicroSystems, Inc. and its directors and officers (incorporated by reference from Exhibit 10.43 to the Company’s Registration Statement on Form S-1/A filed on October 21, 2020)*</w:t>
      </w:r>
    </w:p>
    <w:p>
      <w:pPr>
        <w:spacing w:after="0" w:line="159" w:lineRule="exact"/>
        <w:rPr>
          <w:sz w:val="20"/>
          <w:szCs w:val="20"/>
          <w:color w:val="auto"/>
        </w:rPr>
      </w:pPr>
    </w:p>
    <w:p>
      <w:pPr>
        <w:jc w:val="both"/>
        <w:ind w:left="260" w:hanging="971"/>
        <w:spacing w:after="0" w:line="258" w:lineRule="auto"/>
        <w:tabs>
          <w:tab w:leader="none" w:pos="24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Employment Agreement, dated February 23, 2025, by and between Allegro MicroSystems, Inc. and Michael C. Doogue (incorporated by reference from Exhibit 10.1 to the Company’s Current Report on Form 8-K filed on February 24, 2025)*</w:t>
      </w:r>
    </w:p>
    <w:p>
      <w:pPr>
        <w:spacing w:after="0" w:line="178" w:lineRule="exact"/>
        <w:rPr>
          <w:sz w:val="20"/>
          <w:szCs w:val="20"/>
          <w:color w:val="auto"/>
        </w:rPr>
      </w:pPr>
    </w:p>
    <w:p>
      <w:pPr>
        <w:jc w:val="both"/>
        <w:ind w:left="260" w:hanging="971"/>
        <w:spacing w:after="0" w:line="258" w:lineRule="auto"/>
        <w:tabs>
          <w:tab w:leader="none" w:pos="24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Separation Agreement and General Release of Claims, dated February 23, 2025, by and between Allegro MicroSystems, Inc. and Vineet Nargolwala (incorporated by reference from Exhibit 10.2 to the Company’s Current Report on Form 8-K filed on February 24, 2025)*</w:t>
      </w:r>
    </w:p>
    <w:p>
      <w:pPr>
        <w:spacing w:after="0" w:line="178" w:lineRule="exact"/>
        <w:rPr>
          <w:sz w:val="20"/>
          <w:szCs w:val="20"/>
          <w:color w:val="auto"/>
        </w:rPr>
      </w:pPr>
    </w:p>
    <w:p>
      <w:pPr>
        <w:jc w:val="both"/>
        <w:ind w:left="260" w:hanging="971"/>
        <w:spacing w:after="0" w:line="258" w:lineRule="auto"/>
        <w:tabs>
          <w:tab w:leader="none" w:pos="24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Wafer Foundry Agreement, effective January 26, 2023, by and between Allegro MicroSystems, Inc. and Polar Semiconductor, LLC (incorporated by reference from Exhibit 10.6 to the Company’s Quarterly Report on Form 10-Q filed on February 1, 2023)†</w:t>
      </w:r>
    </w:p>
    <w:p>
      <w:pPr>
        <w:spacing w:after="0" w:line="178" w:lineRule="exact"/>
        <w:rPr>
          <w:sz w:val="20"/>
          <w:szCs w:val="20"/>
          <w:color w:val="auto"/>
        </w:rPr>
      </w:pPr>
    </w:p>
    <w:p>
      <w:pPr>
        <w:jc w:val="both"/>
        <w:ind w:left="260" w:hanging="971"/>
        <w:spacing w:after="0" w:line="252" w:lineRule="auto"/>
        <w:tabs>
          <w:tab w:leader="none" w:pos="24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Amended and Restated Limited Partnership Agreement of Polar Semiconductor, L.P. by and among Polar Semiconductor, LP, Polar Semiconductor GP I, LLC, Allegro MicroSystems, Inc., Sanken Electric Co., Ltd, and PS Investment Aggregator, LP dated as of September 20, 2024 (incorporated by reference from Exhibit 10.1 to the Company’s Current Report on Form 8-K filed on September 24, 2024)</w:t>
      </w:r>
    </w:p>
    <w:p>
      <w:pPr>
        <w:spacing w:after="0" w:line="184" w:lineRule="exact"/>
        <w:rPr>
          <w:sz w:val="20"/>
          <w:szCs w:val="20"/>
          <w:color w:val="auto"/>
        </w:rPr>
      </w:pPr>
    </w:p>
    <w:p>
      <w:pPr>
        <w:jc w:val="both"/>
        <w:ind w:left="260" w:hanging="971"/>
        <w:spacing w:after="0" w:line="252" w:lineRule="auto"/>
        <w:tabs>
          <w:tab w:leader="none" w:pos="24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Revolving Facility Credit Agreement, dated as of June 21, 2023, by and among Allegro MicroSystems, Inc., as borrower, Morgan Stanley Senior Funding, Inc. as administrative agent and collateral agent, and the other lenders from time to time party thereto (incorporated by reference from Exhibit 10.1 to the Company’s Current Report on Form 8-K Filed on June 23, 2023)</w:t>
      </w:r>
      <w:r>
        <w:rPr>
          <w:rFonts w:ascii="Times New Roman" w:cs="Times New Roman" w:eastAsia="Times New Roman" w:hAnsi="Times New Roman"/>
          <w:sz w:val="20"/>
          <w:szCs w:val="20"/>
          <w:color w:val="434343"/>
        </w:rPr>
        <w:t>^</w:t>
      </w:r>
    </w:p>
    <w:p>
      <w:pPr>
        <w:spacing w:after="0" w:line="184" w:lineRule="exact"/>
        <w:rPr>
          <w:sz w:val="20"/>
          <w:szCs w:val="20"/>
          <w:color w:val="auto"/>
        </w:rPr>
      </w:pPr>
    </w:p>
    <w:p>
      <w:pPr>
        <w:jc w:val="both"/>
        <w:ind w:left="260" w:hanging="971"/>
        <w:spacing w:after="0" w:line="258" w:lineRule="auto"/>
        <w:tabs>
          <w:tab w:leader="none" w:pos="24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auto"/>
        </w:rPr>
        <w:t>Term Loan Credit Agreement - First Amendment, dated as of June 28, 2023, by and between Allegro MicroSystems, Inc. and Credit Suisse AG, Cayman Islands Branch (incorporated by reference from Exhibit 10.5 to the Company’s Quarterly Report on Form 10-Q filed on August 4, 2023)</w:t>
      </w:r>
    </w:p>
    <w:p>
      <w:pPr>
        <w:spacing w:after="0" w:line="178" w:lineRule="exact"/>
        <w:rPr>
          <w:sz w:val="20"/>
          <w:szCs w:val="20"/>
          <w:color w:val="auto"/>
        </w:rPr>
      </w:pPr>
    </w:p>
    <w:p>
      <w:pPr>
        <w:jc w:val="both"/>
        <w:ind w:left="260" w:hanging="971"/>
        <w:spacing w:after="0" w:line="252" w:lineRule="auto"/>
        <w:tabs>
          <w:tab w:leader="none" w:pos="24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rPr>
        <w:t>First Amendment to Revolving Facility Credit Agreement, dated October 31, 2023, by and among Allegro MicroSystems, Inc., as borrower, Morgan Stanley Senior Funding, Inc., as administrative agent and collateral agent, and the other lenders from time to time party thereto (incorporated by reference from Exhibit 10.1 to the Company’s Current Report on Form 8-K filed on November 1, 2023)</w:t>
      </w:r>
      <w:r>
        <w:rPr>
          <w:rFonts w:ascii="Times New Roman" w:cs="Times New Roman" w:eastAsia="Times New Roman" w:hAnsi="Times New Roman"/>
          <w:sz w:val="20"/>
          <w:szCs w:val="20"/>
          <w:color w:val="434343"/>
        </w:rPr>
        <w:t>^</w:t>
      </w:r>
    </w:p>
    <w:p>
      <w:pPr>
        <w:spacing w:after="0" w:line="184" w:lineRule="exact"/>
        <w:rPr>
          <w:sz w:val="20"/>
          <w:szCs w:val="20"/>
          <w:color w:val="auto"/>
        </w:rPr>
      </w:pPr>
    </w:p>
    <w:p>
      <w:pPr>
        <w:jc w:val="both"/>
        <w:ind w:left="260" w:hanging="971"/>
        <w:spacing w:after="0" w:line="252" w:lineRule="auto"/>
        <w:tabs>
          <w:tab w:leader="none" w:pos="24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20"/>
          <w:szCs w:val="20"/>
          <w:color w:val="auto"/>
        </w:rPr>
        <w:t>Second Amendment to the Credit Agreement, dated August 6, 2024, by and among Allegro MicroSystems, Inc., Allegro MicroSystems, LLC, Morgan Stanley Senior Funding, Inc. and each lender from time to time party thereto, effective as of August 6, 2024 (incorporated by reference from Exhibit 10.1 to the Company's Current Report on Form 8-K filed on August 7, 2024)</w:t>
      </w:r>
    </w:p>
    <w:p>
      <w:pPr>
        <w:sectPr>
          <w:pgSz w:w="12240" w:h="15840" w:orient="portrait"/>
          <w:cols w:equalWidth="0" w:num="1">
            <w:col w:w="10020"/>
          </w:cols>
          <w:pgMar w:left="1440" w:top="1160" w:right="780" w:bottom="175"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020"/>
          </w:cols>
          <w:pgMar w:left="1440" w:top="1160" w:right="780" w:bottom="175"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Third Amendment to the Credit Agreement by and among Allegro MicroSystems, Inc., Allegro MicroSystems, LLC,</w:t>
            </w:r>
          </w:p>
        </w:tc>
      </w:tr>
      <w:tr>
        <w:trPr>
          <w:trHeight w:val="230"/>
        </w:trPr>
        <w:tc>
          <w:tcPr>
            <w:tcW w:w="860" w:type="dxa"/>
            <w:vAlign w:val="bottom"/>
          </w:tcPr>
          <w:p>
            <w:pPr>
              <w:spacing w:after="0"/>
              <w:rPr>
                <w:sz w:val="20"/>
                <w:szCs w:val="20"/>
                <w:color w:val="auto"/>
              </w:rPr>
            </w:pP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Morgan Stanley Senior Funding, Inc. and each lender from time to time party thereto, effective as of February 6, 2025</w:t>
            </w:r>
          </w:p>
        </w:tc>
      </w:tr>
      <w:tr>
        <w:trPr>
          <w:trHeight w:val="266"/>
        </w:trPr>
        <w:tc>
          <w:tcPr>
            <w:tcW w:w="860" w:type="dxa"/>
            <w:vAlign w:val="bottom"/>
          </w:tcPr>
          <w:p>
            <w:pPr>
              <w:spacing w:after="0"/>
              <w:rPr>
                <w:sz w:val="23"/>
                <w:szCs w:val="23"/>
                <w:color w:val="auto"/>
              </w:rPr>
            </w:pP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(incorporated by reference from Exhibit 10.1 to the Company’s Current Report on Form 8-K filed on February 6, 2025)</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Fourth Amendment to the Credit Agreement by and among Allegro MicroSystems, Inc., Allegro MicroSystems, LLC,</w:t>
            </w:r>
          </w:p>
        </w:tc>
      </w:tr>
      <w:tr>
        <w:trPr>
          <w:trHeight w:val="230"/>
        </w:trPr>
        <w:tc>
          <w:tcPr>
            <w:tcW w:w="860" w:type="dxa"/>
            <w:vAlign w:val="bottom"/>
          </w:tcPr>
          <w:p>
            <w:pPr>
              <w:spacing w:after="0"/>
              <w:rPr>
                <w:sz w:val="20"/>
                <w:szCs w:val="20"/>
                <w:color w:val="auto"/>
              </w:rPr>
            </w:pP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Morgan Stanley Senior Funding, Inc. and each lender from time to time party thereto, effective as of January 21, 2026</w:t>
            </w:r>
          </w:p>
        </w:tc>
      </w:tr>
      <w:tr>
        <w:trPr>
          <w:trHeight w:val="266"/>
        </w:trPr>
        <w:tc>
          <w:tcPr>
            <w:tcW w:w="860" w:type="dxa"/>
            <w:vAlign w:val="bottom"/>
          </w:tcPr>
          <w:p>
            <w:pPr>
              <w:spacing w:after="0"/>
              <w:rPr>
                <w:sz w:val="23"/>
                <w:szCs w:val="23"/>
                <w:color w:val="auto"/>
              </w:rPr>
            </w:pP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(incorporated by reference from Exhibit 10.1 to the Company’s Current Report on Form 8-K filed on January 21, 2026)</w:t>
            </w:r>
          </w:p>
        </w:tc>
      </w:tr>
      <w:tr>
        <w:trPr>
          <w:trHeight w:val="46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Insider Trading Compliance Policy of Allegro MicroSystems, Inc., as amended</w:t>
            </w:r>
          </w:p>
        </w:tc>
      </w:tr>
      <w:tr>
        <w:trPr>
          <w:trHeight w:val="46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Subsidiaries of Allegro MicroSystems, Inc.</w:t>
            </w:r>
          </w:p>
        </w:tc>
      </w:tr>
      <w:tr>
        <w:trPr>
          <w:trHeight w:val="46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Consent of PricewaterhouseCoopers LLP</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Certification of Principal Executive Officer Pursuant to Rules 13a-14(a) and 15d-14(a) under the Securities Exchange Act</w:t>
            </w:r>
          </w:p>
        </w:tc>
      </w:tr>
      <w:tr>
        <w:trPr>
          <w:trHeight w:val="266"/>
        </w:trPr>
        <w:tc>
          <w:tcPr>
            <w:tcW w:w="860" w:type="dxa"/>
            <w:vAlign w:val="bottom"/>
          </w:tcPr>
          <w:p>
            <w:pPr>
              <w:spacing w:after="0"/>
              <w:rPr>
                <w:sz w:val="23"/>
                <w:szCs w:val="23"/>
                <w:color w:val="auto"/>
              </w:rPr>
            </w:pP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of 1934, as Adopted Pursuant to Section 302 of the Sarbanes-Oxley Act of 2002</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Rules 13a-14(a) and 15d-14(a) under the Securities Exchange Act</w:t>
            </w:r>
          </w:p>
        </w:tc>
      </w:tr>
      <w:tr>
        <w:trPr>
          <w:trHeight w:val="266"/>
        </w:trPr>
        <w:tc>
          <w:tcPr>
            <w:tcW w:w="860" w:type="dxa"/>
            <w:vAlign w:val="bottom"/>
          </w:tcPr>
          <w:p>
            <w:pPr>
              <w:spacing w:after="0"/>
              <w:rPr>
                <w:sz w:val="23"/>
                <w:szCs w:val="23"/>
                <w:color w:val="auto"/>
              </w:rPr>
            </w:pP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of 1934, as Adopted Pursuant to Section 302 of the Sarbanes-Oxley Act of 2002</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18 U.S.C. Section 1350, as Adopted Pursuant to Section 906 of</w:t>
            </w:r>
          </w:p>
        </w:tc>
      </w:tr>
      <w:tr>
        <w:trPr>
          <w:trHeight w:val="266"/>
        </w:trPr>
        <w:tc>
          <w:tcPr>
            <w:tcW w:w="860" w:type="dxa"/>
            <w:vAlign w:val="bottom"/>
          </w:tcPr>
          <w:p>
            <w:pPr>
              <w:spacing w:after="0"/>
              <w:rPr>
                <w:sz w:val="23"/>
                <w:szCs w:val="23"/>
                <w:color w:val="auto"/>
              </w:rPr>
            </w:pP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 Sarbanes-Oxley Act of 2002**</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 U.S.C. Section 1350, as Adopted Pursuant to Section 906 of</w:t>
            </w:r>
          </w:p>
        </w:tc>
      </w:tr>
      <w:tr>
        <w:trPr>
          <w:trHeight w:val="266"/>
        </w:trPr>
        <w:tc>
          <w:tcPr>
            <w:tcW w:w="860" w:type="dxa"/>
            <w:vAlign w:val="bottom"/>
          </w:tcPr>
          <w:p>
            <w:pPr>
              <w:spacing w:after="0"/>
              <w:rPr>
                <w:sz w:val="23"/>
                <w:szCs w:val="23"/>
                <w:color w:val="auto"/>
              </w:rPr>
            </w:pP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 Sarbanes-Oxley Act of 2002**</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Policy for Recovery of Erroneously Awarded Compensation of Allegro MicroSystems, Inc. (incorporated by reference</w:t>
            </w:r>
          </w:p>
        </w:tc>
      </w:tr>
      <w:tr>
        <w:trPr>
          <w:trHeight w:val="266"/>
        </w:trPr>
        <w:tc>
          <w:tcPr>
            <w:tcW w:w="860" w:type="dxa"/>
            <w:vAlign w:val="bottom"/>
          </w:tcPr>
          <w:p>
            <w:pPr>
              <w:spacing w:after="0"/>
              <w:rPr>
                <w:sz w:val="23"/>
                <w:szCs w:val="23"/>
                <w:color w:val="auto"/>
              </w:rPr>
            </w:pP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from Exhibit 97.1 to the Company’s Annual Report on Form 10-K filed on May 23, 2024</w:t>
            </w:r>
          </w:p>
        </w:tc>
      </w:tr>
      <w:tr>
        <w:trPr>
          <w:trHeight w:val="4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Instance Document. The instance document does not appear in the interactive data file because its XBRL</w:t>
            </w:r>
          </w:p>
        </w:tc>
      </w:tr>
      <w:tr>
        <w:trPr>
          <w:trHeight w:val="266"/>
        </w:trPr>
        <w:tc>
          <w:tcPr>
            <w:tcW w:w="860" w:type="dxa"/>
            <w:vAlign w:val="bottom"/>
          </w:tcPr>
          <w:p>
            <w:pPr>
              <w:spacing w:after="0"/>
              <w:rPr>
                <w:sz w:val="23"/>
                <w:szCs w:val="23"/>
                <w:color w:val="auto"/>
              </w:rPr>
            </w:pP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tags are embedded within the inline XBRL document</w:t>
            </w:r>
          </w:p>
        </w:tc>
      </w:tr>
      <w:tr>
        <w:trPr>
          <w:trHeight w:val="46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Schema With Embedded Linkbase Documents</w:t>
            </w:r>
          </w:p>
        </w:tc>
      </w:tr>
      <w:tr>
        <w:trPr>
          <w:trHeight w:val="46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 filed herewith)</w:t>
            </w:r>
          </w:p>
        </w:tc>
      </w:tr>
    </w:tbl>
    <w:p>
      <w:pPr>
        <w:spacing w:after="0" w:line="166" w:lineRule="exact"/>
        <w:rPr>
          <w:sz w:val="20"/>
          <w:szCs w:val="20"/>
          <w:color w:val="auto"/>
        </w:rPr>
      </w:pPr>
    </w:p>
    <w:p>
      <w:pPr>
        <w:ind w:left="120" w:hanging="120"/>
        <w:spacing w:after="0"/>
        <w:tabs>
          <w:tab w:leader="none" w:pos="1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 contract or arrangement.</w:t>
      </w:r>
    </w:p>
    <w:p>
      <w:pPr>
        <w:spacing w:after="0" w:line="60" w:lineRule="exact"/>
        <w:rPr>
          <w:rFonts w:ascii="Times New Roman" w:cs="Times New Roman" w:eastAsia="Times New Roman" w:hAnsi="Times New Roman"/>
          <w:sz w:val="16"/>
          <w:szCs w:val="16"/>
          <w:color w:val="auto"/>
        </w:rPr>
      </w:pPr>
    </w:p>
    <w:p>
      <w:pPr>
        <w:jc w:val="both"/>
        <w:spacing w:after="0" w:line="258" w:lineRule="auto"/>
        <w:tabs>
          <w:tab w:leader="none" w:pos="218"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Certification is not deemed “filed” for purposes of Section 18 of the Exchange Act or otherwise subject to the liability of that section. Such certification is not deemed to be incorporated by reference into any filing under the Securities Act or the Exchange Act except to the extent that the registrant specifically incorporates it by reference.</w:t>
      </w:r>
    </w:p>
    <w:p>
      <w:pPr>
        <w:spacing w:after="0" w:line="19" w:lineRule="exact"/>
        <w:rPr>
          <w:sz w:val="20"/>
          <w:szCs w:val="20"/>
          <w:color w:val="auto"/>
        </w:rPr>
      </w:pPr>
    </w:p>
    <w:p>
      <w:pPr>
        <w:spacing w:after="0" w:line="277" w:lineRule="auto"/>
        <w:tabs>
          <w:tab w:leader="none" w:pos="125"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(indicated by “[XXX]” or “[***]”) have been omitted pursuant to Item 601(b)(10)(iv) of Regulation S-K under the Securities Act of 1933, as amended, because they are both (i) not material and (ii) the type of information that the Company customarily and actually treats as private and confidential.</w:t>
      </w:r>
    </w:p>
    <w:p>
      <w:pPr>
        <w:spacing w:after="0" w:line="3" w:lineRule="exact"/>
        <w:rPr>
          <w:sz w:val="20"/>
          <w:szCs w:val="20"/>
          <w:color w:val="auto"/>
        </w:rPr>
      </w:pPr>
    </w:p>
    <w:p>
      <w:pPr>
        <w:ind w:right="460"/>
        <w:spacing w:after="0" w:line="277" w:lineRule="auto"/>
        <w:tabs>
          <w:tab w:leader="none" w:pos="115" w:val="left"/>
        </w:tabs>
        <w:numPr>
          <w:ilvl w:val="0"/>
          <w:numId w:val="20"/>
        </w:numPr>
        <w:rPr>
          <w:rFonts w:ascii="Times New Roman" w:cs="Times New Roman" w:eastAsia="Times New Roman" w:hAnsi="Times New Roman"/>
          <w:sz w:val="16"/>
          <w:szCs w:val="16"/>
          <w:color w:val="434343"/>
        </w:rPr>
      </w:pPr>
      <w:r>
        <w:rPr>
          <w:rFonts w:ascii="Times New Roman" w:cs="Times New Roman" w:eastAsia="Times New Roman" w:hAnsi="Times New Roman"/>
          <w:sz w:val="16"/>
          <w:szCs w:val="16"/>
          <w:color w:val="auto"/>
        </w:rPr>
        <w:t>Certain annexes, schedules and exhibits have been omitted pursuant to Item 601(a)(5) of Regulation S-K. The Company will furnish copies of any such omitted annexes, schedules and exhibits to the Securities and Exchange Commission upon request.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800"/>
          </w:cols>
          <w:pgMar w:left="720" w:top="930" w:right="720" w:bottom="175"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264" w:lineRule="exact"/>
        <w:rPr>
          <w:sz w:val="20"/>
          <w:szCs w:val="20"/>
          <w:color w:val="auto"/>
        </w:rPr>
      </w:pPr>
    </w:p>
    <w:p>
      <w:pPr>
        <w:ind w:left="20"/>
        <w:spacing w:after="0"/>
        <w:tabs>
          <w:tab w:leader="none" w:pos="5140" w:val="left"/>
        </w:tabs>
        <w:rPr>
          <w:sz w:val="20"/>
          <w:szCs w:val="20"/>
          <w:color w:val="auto"/>
        </w:rPr>
      </w:pPr>
      <w:r>
        <w:rPr>
          <w:rFonts w:ascii="Times New Roman" w:cs="Times New Roman" w:eastAsia="Times New Roman" w:hAnsi="Times New Roman"/>
          <w:sz w:val="20"/>
          <w:szCs w:val="20"/>
          <w:color w:val="auto"/>
        </w:rPr>
        <w:t>Date: May 21, 2026</w:t>
      </w:r>
      <w:r>
        <w:rPr>
          <w:sz w:val="20"/>
          <w:szCs w:val="20"/>
          <w:color w:val="auto"/>
        </w:rPr>
        <w:tab/>
      </w:r>
      <w:r>
        <w:rPr>
          <w:rFonts w:ascii="Times New Roman" w:cs="Times New Roman" w:eastAsia="Times New Roman" w:hAnsi="Times New Roman"/>
          <w:sz w:val="19"/>
          <w:szCs w:val="19"/>
          <w:color w:val="auto"/>
        </w:rPr>
        <w:t>By: /s/ Michael C. Doogue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3482975</wp:posOffset>
                </wp:positionH>
                <wp:positionV relativeFrom="paragraph">
                  <wp:posOffset>18415</wp:posOffset>
                </wp:positionV>
                <wp:extent cx="337502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750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25pt,1.45pt" to="540pt,1.45pt" o:allowincell="f" strokecolor="#000000" strokeweight="1pt"/>
            </w:pict>
          </mc:Fallback>
        </mc:AlternateContent>
      </w:r>
    </w:p>
    <w:p>
      <w:pPr>
        <w:spacing w:after="0" w:line="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Michael C. Doogue</w:t>
      </w:r>
    </w:p>
    <w:p>
      <w:pPr>
        <w:spacing w:after="0" w:line="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President, Chief Executive Officer (Principal Executive Officer)</w:t>
      </w:r>
    </w:p>
    <w:p>
      <w:pPr>
        <w:spacing w:after="0" w:line="230"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and the capacities and on the dates indicated. Each person whose signature appears below constitutes and appoints Derek P. D’Antilio and Sharon S. Briansky, and each or any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report,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680" w:type="dxa"/>
            <w:vAlign w:val="bottom"/>
          </w:tcPr>
          <w:p>
            <w:pPr>
              <w:spacing w:after="0"/>
              <w:rPr>
                <w:sz w:val="17"/>
                <w:szCs w:val="17"/>
                <w:color w:val="auto"/>
              </w:rPr>
            </w:pPr>
          </w:p>
        </w:tc>
        <w:tc>
          <w:tcPr>
            <w:tcW w:w="468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414"/>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Michael C. Doogue</w:t>
            </w:r>
          </w:p>
        </w:tc>
        <w:tc>
          <w:tcPr>
            <w:tcW w:w="6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President and Chief Executive Officer (Principal</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21, 2026</w:t>
            </w:r>
          </w:p>
        </w:tc>
      </w:tr>
      <w:tr>
        <w:trPr>
          <w:trHeight w:val="293"/>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Michael C. Doogue</w:t>
            </w:r>
          </w:p>
        </w:tc>
        <w:tc>
          <w:tcPr>
            <w:tcW w:w="6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Executive Officer) and Director</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9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Derek P. D’Antilio</w:t>
            </w:r>
          </w:p>
        </w:tc>
        <w:tc>
          <w:tcPr>
            <w:tcW w:w="6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 (Principal Financial Officer)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21, 2026</w:t>
            </w:r>
          </w:p>
        </w:tc>
      </w:tr>
      <w:tr>
        <w:trPr>
          <w:trHeight w:val="270"/>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Derek P. D’Antilio</w:t>
            </w:r>
          </w:p>
        </w:tc>
        <w:tc>
          <w:tcPr>
            <w:tcW w:w="68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42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Roald G. Webster</w:t>
            </w:r>
          </w:p>
        </w:tc>
        <w:tc>
          <w:tcPr>
            <w:tcW w:w="6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Vice President, Chief Accounting Officer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21, 2026</w:t>
            </w:r>
          </w:p>
        </w:tc>
      </w:tr>
      <w:tr>
        <w:trPr>
          <w:trHeight w:val="270"/>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Roald G. Webster</w:t>
            </w:r>
          </w:p>
        </w:tc>
        <w:tc>
          <w:tcPr>
            <w:tcW w:w="68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42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Joseph R. Martin</w:t>
            </w:r>
          </w:p>
        </w:tc>
        <w:tc>
          <w:tcPr>
            <w:tcW w:w="6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21, 2026</w:t>
            </w:r>
          </w:p>
        </w:tc>
      </w:tr>
      <w:tr>
        <w:trPr>
          <w:trHeight w:val="270"/>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Joseph R. Martin</w:t>
            </w:r>
          </w:p>
        </w:tc>
        <w:tc>
          <w:tcPr>
            <w:tcW w:w="68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42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Katsumi Kawashima</w:t>
            </w:r>
          </w:p>
        </w:tc>
        <w:tc>
          <w:tcPr>
            <w:tcW w:w="6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21, 2026</w:t>
            </w:r>
          </w:p>
        </w:tc>
      </w:tr>
      <w:tr>
        <w:trPr>
          <w:trHeight w:val="293"/>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Katsumi Kawashima</w:t>
            </w:r>
          </w:p>
        </w:tc>
        <w:tc>
          <w:tcPr>
            <w:tcW w:w="6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9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Richard R. Lury</w:t>
            </w:r>
          </w:p>
        </w:tc>
        <w:tc>
          <w:tcPr>
            <w:tcW w:w="6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21, 2026</w:t>
            </w:r>
          </w:p>
        </w:tc>
      </w:tr>
      <w:tr>
        <w:trPr>
          <w:trHeight w:val="270"/>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Richard R. Lury</w:t>
            </w:r>
          </w:p>
        </w:tc>
        <w:tc>
          <w:tcPr>
            <w:tcW w:w="68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42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Susan D. Lynch</w:t>
            </w:r>
          </w:p>
        </w:tc>
        <w:tc>
          <w:tcPr>
            <w:tcW w:w="6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21, 2026</w:t>
            </w:r>
          </w:p>
        </w:tc>
      </w:tr>
      <w:tr>
        <w:trPr>
          <w:trHeight w:val="270"/>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Susan D. Lynch</w:t>
            </w:r>
          </w:p>
        </w:tc>
        <w:tc>
          <w:tcPr>
            <w:tcW w:w="68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42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Krishna G. Palepu</w:t>
            </w:r>
          </w:p>
        </w:tc>
        <w:tc>
          <w:tcPr>
            <w:tcW w:w="6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21, 2026</w:t>
            </w:r>
          </w:p>
        </w:tc>
      </w:tr>
      <w:tr>
        <w:trPr>
          <w:trHeight w:val="270"/>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Krishna G. Palepu</w:t>
            </w:r>
          </w:p>
        </w:tc>
        <w:tc>
          <w:tcPr>
            <w:tcW w:w="68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74"/>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Mary G. Puma</w:t>
            </w:r>
          </w:p>
        </w:tc>
        <w:tc>
          <w:tcPr>
            <w:tcW w:w="6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21, 2026</w:t>
            </w:r>
          </w:p>
        </w:tc>
      </w:tr>
      <w:tr>
        <w:trPr>
          <w:trHeight w:val="266"/>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Mary G. Puma</w:t>
            </w:r>
          </w:p>
        </w:tc>
        <w:tc>
          <w:tcPr>
            <w:tcW w:w="68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78"/>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Jennie M. Raubacher</w:t>
            </w:r>
          </w:p>
        </w:tc>
        <w:tc>
          <w:tcPr>
            <w:tcW w:w="6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21, 2026</w:t>
            </w:r>
          </w:p>
        </w:tc>
      </w:tr>
      <w:tr>
        <w:trPr>
          <w:trHeight w:val="270"/>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Jennie M. Raubacher</w:t>
            </w:r>
          </w:p>
        </w:tc>
        <w:tc>
          <w:tcPr>
            <w:tcW w:w="68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74"/>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Yoshihiro (Zen) Suzuki</w:t>
            </w:r>
          </w:p>
        </w:tc>
        <w:tc>
          <w:tcPr>
            <w:tcW w:w="6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21, 2026</w:t>
            </w:r>
          </w:p>
        </w:tc>
      </w:tr>
      <w:tr>
        <w:trPr>
          <w:trHeight w:val="266"/>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Yoshihiro (Zen) Suzuki</w:t>
            </w:r>
          </w:p>
        </w:tc>
        <w:tc>
          <w:tcPr>
            <w:tcW w:w="68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32"/>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Robert J. Willett</w:t>
            </w:r>
          </w:p>
        </w:tc>
        <w:tc>
          <w:tcPr>
            <w:tcW w:w="6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21, 2026</w:t>
            </w:r>
          </w:p>
        </w:tc>
      </w:tr>
      <w:tr>
        <w:trPr>
          <w:trHeight w:val="266"/>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Robert J. Willett</w:t>
            </w:r>
          </w:p>
        </w:tc>
        <w:tc>
          <w:tcPr>
            <w:tcW w:w="68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800"/>
          </w:cols>
          <w:pgMar w:left="720" w:top="926" w:right="720" w:bottom="175"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800"/>
          </w:cols>
          <w:pgMar w:left="720" w:top="926" w:right="720" w:bottom="175"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93980</wp:posOffset>
                </wp:positionV>
                <wp:extent cx="68580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4pt" to="540pt,7.4pt" o:allowincell="f" strokecolor="#000000" strokeweight="0.5pt"/>
            </w:pict>
          </mc:Fallback>
        </mc:AlternateConten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64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Number 238)</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F-2</w:t>
            </w:r>
          </w:p>
        </w:tc>
      </w:tr>
      <w:tr>
        <w:trPr>
          <w:trHeight w:val="330"/>
        </w:trPr>
        <w:tc>
          <w:tcPr>
            <w:tcW w:w="86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F-4</w:t>
            </w:r>
          </w:p>
        </w:tc>
      </w:tr>
      <w:tr>
        <w:trPr>
          <w:trHeight w:val="330"/>
        </w:trPr>
        <w:tc>
          <w:tcPr>
            <w:tcW w:w="86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F-5</w:t>
            </w:r>
          </w:p>
        </w:tc>
      </w:tr>
      <w:tr>
        <w:trPr>
          <w:trHeight w:val="330"/>
        </w:trPr>
        <w:tc>
          <w:tcPr>
            <w:tcW w:w="86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(Loss) Income</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F-6</w:t>
            </w:r>
          </w:p>
        </w:tc>
      </w:tr>
      <w:tr>
        <w:trPr>
          <w:trHeight w:val="330"/>
        </w:trPr>
        <w:tc>
          <w:tcPr>
            <w:tcW w:w="86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Changes in Stockholders’ Equity</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F-7</w:t>
            </w:r>
          </w:p>
        </w:tc>
      </w:tr>
      <w:tr>
        <w:trPr>
          <w:trHeight w:val="330"/>
        </w:trPr>
        <w:tc>
          <w:tcPr>
            <w:tcW w:w="86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F-8</w:t>
            </w:r>
          </w:p>
        </w:tc>
      </w:tr>
      <w:tr>
        <w:trPr>
          <w:trHeight w:val="330"/>
        </w:trPr>
        <w:tc>
          <w:tcPr>
            <w:tcW w:w="864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F-10</w:t>
            </w:r>
          </w:p>
        </w:tc>
      </w:tr>
    </w:tbl>
    <w:p>
      <w:pPr>
        <w:spacing w:after="0" w:line="200" w:lineRule="exact"/>
        <w:rPr>
          <w:sz w:val="20"/>
          <w:szCs w:val="20"/>
          <w:color w:val="auto"/>
        </w:rPr>
      </w:pP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800"/>
          </w:cols>
          <w:pgMar w:left="720" w:top="926" w:right="720" w:bottom="175" w:gutter="0" w:footer="0" w:header="0"/>
          <w:type w:val="continuous"/>
        </w:sectPr>
      </w:pPr>
    </w:p>
    <w:bookmarkStart w:id="66" w:name="page67"/>
    <w:bookmarkEnd w:id="66"/>
    <w:p>
      <w:pPr>
        <w:ind w:left="29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Allegro MicroSystems, Inc.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Allegro MicroSystems, Inc. and its subsidiaries (the “Company”) as of March 27, 2026 and March 28, 2025, and the related consolidated statements of operations, of comprehensive (loss) income, of changes in stockholders’ equity and of cash flows for each of the three years in the period ended March 27, 2026, including the related notes (collectively referred to as the “consolidated financial statements”). We also have audited the Company’s internal control over financial reporting as of March 27, 2026,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Committee of Sponsoring Organizations of the Treadway Commission (COSO).</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March 27, 2026 and March 28, 2025, and the results of its operations and its cash flows for each of the three years in the period ended March 27, 2026 in conformity with accounting principles generally accepted in the United States of America. Also in our opinion, the Company maintained, in all material respects, effective internal control over financial reporting as of March 27, 2026,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COSO.</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800"/>
          </w:cols>
          <w:pgMar w:left="720" w:top="926" w:right="720" w:bottom="175"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 – Sales Allowance</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described in Notes 2 and 4 to the consolidated financial statements, variable consideration, such as sales allowances, includes sales in which the amount of consideration that the Company will receive is unknown as of the end of the reporting period. Such consideration primarily includes price protection provisions provided to distributors, sales under agreements that allow rights of return, referred to as stock rotation, provided to distributors, discounts and credits provided to distributors and returns provisions offered to direct customers, which make up a portion of total net sales of $890.1 million for the year ended March 27, 2026. The liability for returns and sales allowances was $48.6 million as of March 27, 2026, of which a significant portion relates to a certain sales allowance program. Management estimates potential future returns, credits, and sales allowances based on historical return rates, anticipated customer claims, credits issued, and changes in product sales to customers.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revenue recognition - sales allowance is a critical audit matter are a high degree of auditor effort in performing procedures and evaluating audit evidence related to the sales allowance and the liability related to the sales allowance transactions.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a certain sales allowance program, including controls over the sales allowance and the liability related to the sales allowance transactions. These procedures also included, among others, testing the completeness, accuracy, and occurrence of a sample of sales allowance and the liability related to the sales allowance transactions by obtaining and inspecting source documents, including invoices and invoice credits related to the sales allowance program, and customer arrangements or promotional practices, where applicable.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rPr>
          <w:sz w:val="20"/>
          <w:szCs w:val="20"/>
          <w:color w:val="auto"/>
        </w:rPr>
      </w:pPr>
      <w:r>
        <w:rPr>
          <w:rFonts w:ascii="Times New Roman" w:cs="Times New Roman" w:eastAsia="Times New Roman" w:hAnsi="Times New Roman"/>
          <w:sz w:val="20"/>
          <w:szCs w:val="20"/>
          <w:color w:val="auto"/>
        </w:rPr>
        <w:t>May 21,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2022.</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0800"/>
          </w:cols>
          <w:pgMar w:left="720" w:top="930" w:right="720" w:bottom="175"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par value and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March 28,</w:t>
            </w:r>
          </w:p>
        </w:tc>
      </w:tr>
      <w:tr>
        <w:trPr>
          <w:trHeight w:val="203"/>
        </w:trPr>
        <w:tc>
          <w:tcPr>
            <w:tcW w:w="7140" w:type="dxa"/>
            <w:vAlign w:val="bottom"/>
            <w:tcBorders>
              <w:bottom w:val="single" w:sz="8" w:color="E2E2E2"/>
            </w:tcBorders>
          </w:tcPr>
          <w:p>
            <w:pPr>
              <w:spacing w:after="0"/>
              <w:rPr>
                <w:sz w:val="17"/>
                <w:szCs w:val="17"/>
                <w:color w:val="auto"/>
              </w:rPr>
            </w:pPr>
          </w:p>
        </w:tc>
        <w:tc>
          <w:tcPr>
            <w:tcW w:w="22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71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2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138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1360" w:type="dxa"/>
            <w:vAlign w:val="bottom"/>
            <w:shd w:val="clear" w:color="auto" w:fill="E2E2E2"/>
          </w:tcPr>
          <w:p>
            <w:pPr>
              <w:spacing w:after="0"/>
              <w:rPr>
                <w:sz w:val="20"/>
                <w:szCs w:val="20"/>
                <w:color w:val="auto"/>
              </w:rPr>
            </w:pPr>
          </w:p>
        </w:tc>
      </w:tr>
      <w:tr>
        <w:trPr>
          <w:trHeight w:val="244"/>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4"/>
        </w:trPr>
        <w:tc>
          <w:tcPr>
            <w:tcW w:w="71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168,753</w:t>
            </w:r>
          </w:p>
        </w:tc>
        <w:tc>
          <w:tcPr>
            <w:tcW w:w="4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121,334</w:t>
            </w:r>
          </w:p>
        </w:tc>
      </w:tr>
      <w:tr>
        <w:trPr>
          <w:trHeight w:val="244"/>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cash</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6,604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9,773</w:t>
            </w:r>
          </w:p>
        </w:tc>
      </w:tr>
      <w:tr>
        <w:trPr>
          <w:trHeight w:val="244"/>
        </w:trPr>
        <w:tc>
          <w:tcPr>
            <w:tcW w:w="71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Trade accounts receivable, net</w:t>
            </w:r>
          </w:p>
        </w:tc>
        <w:tc>
          <w:tcPr>
            <w:tcW w:w="2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93,248</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84,598</w:t>
            </w:r>
          </w:p>
        </w:tc>
      </w:tr>
      <w:tr>
        <w:trPr>
          <w:trHeight w:val="244"/>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 - other</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21,735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2,559</w:t>
            </w:r>
          </w:p>
        </w:tc>
      </w:tr>
      <w:tr>
        <w:trPr>
          <w:trHeight w:val="244"/>
        </w:trPr>
        <w:tc>
          <w:tcPr>
            <w:tcW w:w="71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Inventories</w:t>
            </w:r>
          </w:p>
        </w:tc>
        <w:tc>
          <w:tcPr>
            <w:tcW w:w="2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181,752</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183,914</w:t>
            </w:r>
          </w:p>
        </w:tc>
      </w:tr>
      <w:tr>
        <w:trPr>
          <w:trHeight w:val="244"/>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income taxes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1,179</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36,662</w:t>
            </w:r>
          </w:p>
        </w:tc>
      </w:tr>
      <w:tr>
        <w:trPr>
          <w:trHeight w:val="244"/>
        </w:trPr>
        <w:tc>
          <w:tcPr>
            <w:tcW w:w="71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30,335</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27,688</w:t>
            </w:r>
          </w:p>
        </w:tc>
      </w:tr>
      <w:tr>
        <w:trPr>
          <w:trHeight w:val="244"/>
        </w:trPr>
        <w:tc>
          <w:tcPr>
            <w:tcW w:w="714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Assets held for sale</w:t>
            </w:r>
          </w:p>
        </w:tc>
        <w:tc>
          <w:tcPr>
            <w:tcW w:w="220" w:type="dxa"/>
            <w:vAlign w:val="bottom"/>
            <w:tcBorders>
              <w:bottom w:val="single" w:sz="8" w:color="E2E2E2"/>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E2E2E2"/>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16,508</w:t>
            </w:r>
          </w:p>
        </w:tc>
      </w:tr>
      <w:tr>
        <w:trPr>
          <w:trHeight w:val="239"/>
        </w:trPr>
        <w:tc>
          <w:tcPr>
            <w:tcW w:w="714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Total current assets</w:t>
            </w:r>
          </w:p>
        </w:tc>
        <w:tc>
          <w:tcPr>
            <w:tcW w:w="22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138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503,606</w:t>
            </w:r>
          </w:p>
        </w:tc>
        <w:tc>
          <w:tcPr>
            <w:tcW w:w="18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136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483,036</w:t>
            </w:r>
          </w:p>
        </w:tc>
      </w:tr>
      <w:tr>
        <w:trPr>
          <w:trHeight w:val="244"/>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308,258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302,919</w:t>
            </w:r>
          </w:p>
        </w:tc>
      </w:tr>
      <w:tr>
        <w:trPr>
          <w:trHeight w:val="244"/>
        </w:trPr>
        <w:tc>
          <w:tcPr>
            <w:tcW w:w="71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Operating lease right-of-use assets, net</w:t>
            </w:r>
          </w:p>
        </w:tc>
        <w:tc>
          <w:tcPr>
            <w:tcW w:w="2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13,587</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20,849</w:t>
            </w:r>
          </w:p>
        </w:tc>
      </w:tr>
      <w:tr>
        <w:trPr>
          <w:trHeight w:val="244"/>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income tax assets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80,221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68,528</w:t>
            </w:r>
          </w:p>
        </w:tc>
      </w:tr>
      <w:tr>
        <w:trPr>
          <w:trHeight w:val="244"/>
        </w:trPr>
        <w:tc>
          <w:tcPr>
            <w:tcW w:w="71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Goodwill</w:t>
            </w:r>
          </w:p>
        </w:tc>
        <w:tc>
          <w:tcPr>
            <w:tcW w:w="2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203,291</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202,475</w:t>
            </w:r>
          </w:p>
        </w:tc>
      </w:tr>
      <w:tr>
        <w:trPr>
          <w:trHeight w:val="244"/>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Intangible assets, net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238,675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262,115</w:t>
            </w:r>
          </w:p>
        </w:tc>
      </w:tr>
      <w:tr>
        <w:trPr>
          <w:trHeight w:val="244"/>
        </w:trPr>
        <w:tc>
          <w:tcPr>
            <w:tcW w:w="71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Equity investment in related party</w:t>
            </w:r>
          </w:p>
        </w:tc>
        <w:tc>
          <w:tcPr>
            <w:tcW w:w="2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22,296</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31,695</w:t>
            </w:r>
          </w:p>
        </w:tc>
      </w:tr>
      <w:tr>
        <w:trPr>
          <w:trHeight w:val="244"/>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Related party - other assets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15,000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714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Other assets</w:t>
            </w:r>
          </w:p>
        </w:tc>
        <w:tc>
          <w:tcPr>
            <w:tcW w:w="22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80" w:type="dxa"/>
            <w:vAlign w:val="bottom"/>
            <w:tcBorders>
              <w:bottom w:val="single" w:sz="8" w:color="auto"/>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31,241</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60" w:type="dxa"/>
            <w:vAlign w:val="bottom"/>
            <w:tcBorders>
              <w:bottom w:val="single" w:sz="8" w:color="auto"/>
            </w:tcBorders>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49,344</w:t>
            </w:r>
          </w:p>
        </w:tc>
      </w:tr>
      <w:tr>
        <w:trPr>
          <w:trHeight w:val="259"/>
        </w:trPr>
        <w:tc>
          <w:tcPr>
            <w:tcW w:w="7140" w:type="dxa"/>
            <w:vAlign w:val="bottom"/>
            <w:tcBorders>
              <w:bottom w:val="single" w:sz="8" w:color="E2E2E2"/>
            </w:tcBorders>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assets</w:t>
            </w:r>
          </w:p>
        </w:tc>
        <w:tc>
          <w:tcPr>
            <w:tcW w:w="220" w:type="dxa"/>
            <w:vAlign w:val="bottom"/>
            <w:tcBorders>
              <w:bottom w:val="single" w:sz="8" w:color="E2E2E2"/>
            </w:tcBorders>
          </w:tcPr>
          <w:p>
            <w:pPr>
              <w:spacing w:after="0"/>
              <w:rPr>
                <w:sz w:val="22"/>
                <w:szCs w:val="22"/>
                <w:color w:val="auto"/>
              </w:rPr>
            </w:pPr>
          </w:p>
        </w:tc>
        <w:tc>
          <w:tcPr>
            <w:tcW w:w="260" w:type="dxa"/>
            <w:vAlign w:val="bottom"/>
            <w:tcBorders>
              <w:bottom w:val="single" w:sz="8" w:color="auto"/>
            </w:tcBorders>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tcPr>
          <w:p>
            <w:pPr>
              <w:jc w:val="right"/>
              <w:ind w:right="21"/>
              <w:spacing w:after="0" w:line="219" w:lineRule="exact"/>
              <w:rPr>
                <w:sz w:val="20"/>
                <w:szCs w:val="20"/>
                <w:color w:val="auto"/>
              </w:rPr>
            </w:pPr>
            <w:r>
              <w:rPr>
                <w:rFonts w:ascii="Times New Roman" w:cs="Times New Roman" w:eastAsia="Times New Roman" w:hAnsi="Times New Roman"/>
                <w:sz w:val="20"/>
                <w:szCs w:val="20"/>
                <w:color w:val="auto"/>
              </w:rPr>
              <w:t>1,416,175</w:t>
            </w:r>
          </w:p>
        </w:tc>
        <w:tc>
          <w:tcPr>
            <w:tcW w:w="180" w:type="dxa"/>
            <w:vAlign w:val="bottom"/>
            <w:tcBorders>
              <w:bottom w:val="single" w:sz="8" w:color="E2E2E2"/>
            </w:tcBorders>
          </w:tcPr>
          <w:p>
            <w:pPr>
              <w:spacing w:after="0"/>
              <w:rPr>
                <w:sz w:val="22"/>
                <w:szCs w:val="22"/>
                <w:color w:val="auto"/>
              </w:rPr>
            </w:pPr>
          </w:p>
        </w:tc>
        <w:tc>
          <w:tcPr>
            <w:tcW w:w="260" w:type="dxa"/>
            <w:vAlign w:val="bottom"/>
            <w:tcBorders>
              <w:bottom w:val="single" w:sz="8" w:color="auto"/>
            </w:tcBorders>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ind w:right="1"/>
              <w:spacing w:after="0" w:line="219" w:lineRule="exact"/>
              <w:rPr>
                <w:sz w:val="20"/>
                <w:szCs w:val="20"/>
                <w:color w:val="auto"/>
              </w:rPr>
            </w:pPr>
            <w:r>
              <w:rPr>
                <w:rFonts w:ascii="Times New Roman" w:cs="Times New Roman" w:eastAsia="Times New Roman" w:hAnsi="Times New Roman"/>
                <w:sz w:val="20"/>
                <w:szCs w:val="20"/>
                <w:color w:val="auto"/>
              </w:rPr>
              <w:t>1,420,961</w:t>
            </w:r>
          </w:p>
        </w:tc>
      </w:tr>
      <w:tr>
        <w:trPr>
          <w:trHeight w:val="229"/>
        </w:trPr>
        <w:tc>
          <w:tcPr>
            <w:tcW w:w="71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Liabilities, Non-Controlling Interest and Stockholders’ Equity</w:t>
            </w:r>
          </w:p>
        </w:tc>
        <w:tc>
          <w:tcPr>
            <w:tcW w:w="22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138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1360" w:type="dxa"/>
            <w:vAlign w:val="bottom"/>
            <w:shd w:val="clear" w:color="auto" w:fill="E2E2E2"/>
          </w:tcPr>
          <w:p>
            <w:pPr>
              <w:spacing w:after="0"/>
              <w:rPr>
                <w:sz w:val="19"/>
                <w:szCs w:val="19"/>
                <w:color w:val="auto"/>
              </w:rPr>
            </w:pPr>
          </w:p>
        </w:tc>
      </w:tr>
      <w:tr>
        <w:trPr>
          <w:trHeight w:val="244"/>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4"/>
        </w:trPr>
        <w:tc>
          <w:tcPr>
            <w:tcW w:w="71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Trade accounts payable</w:t>
            </w:r>
          </w:p>
        </w:tc>
        <w:tc>
          <w:tcPr>
            <w:tcW w:w="4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44,438</w:t>
            </w:r>
          </w:p>
        </w:tc>
        <w:tc>
          <w:tcPr>
            <w:tcW w:w="4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38,733</w:t>
            </w:r>
          </w:p>
        </w:tc>
      </w:tr>
      <w:tr>
        <w:trPr>
          <w:trHeight w:val="244"/>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Amounts due to related party</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4,794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6,535</w:t>
            </w:r>
          </w:p>
        </w:tc>
      </w:tr>
      <w:tr>
        <w:trPr>
          <w:trHeight w:val="244"/>
        </w:trPr>
        <w:tc>
          <w:tcPr>
            <w:tcW w:w="71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2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89,472</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60,083</w:t>
            </w:r>
          </w:p>
        </w:tc>
      </w:tr>
      <w:tr>
        <w:trPr>
          <w:trHeight w:val="244"/>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Current portion of operating lease liabilities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5,691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5,487</w:t>
            </w:r>
          </w:p>
        </w:tc>
      </w:tr>
      <w:tr>
        <w:trPr>
          <w:trHeight w:val="264"/>
        </w:trPr>
        <w:tc>
          <w:tcPr>
            <w:tcW w:w="714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22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80" w:type="dxa"/>
            <w:vAlign w:val="bottom"/>
            <w:tcBorders>
              <w:bottom w:val="single" w:sz="8" w:color="auto"/>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1,530</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60" w:type="dxa"/>
            <w:vAlign w:val="bottom"/>
            <w:tcBorders>
              <w:bottom w:val="single" w:sz="8" w:color="auto"/>
            </w:tcBorders>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1,423</w:t>
            </w:r>
          </w:p>
        </w:tc>
      </w:tr>
      <w:tr>
        <w:trPr>
          <w:trHeight w:val="219"/>
        </w:trPr>
        <w:tc>
          <w:tcPr>
            <w:tcW w:w="714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current liabilities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21"/>
              <w:spacing w:after="0" w:line="219" w:lineRule="exact"/>
              <w:rPr>
                <w:sz w:val="20"/>
                <w:szCs w:val="20"/>
                <w:color w:val="auto"/>
              </w:rPr>
            </w:pPr>
            <w:r>
              <w:rPr>
                <w:rFonts w:ascii="Times New Roman" w:cs="Times New Roman" w:eastAsia="Times New Roman" w:hAnsi="Times New Roman"/>
                <w:sz w:val="20"/>
                <w:szCs w:val="20"/>
                <w:color w:val="auto"/>
              </w:rPr>
              <w:t>145,925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1"/>
              <w:spacing w:after="0" w:line="219" w:lineRule="exact"/>
              <w:rPr>
                <w:sz w:val="20"/>
                <w:szCs w:val="20"/>
                <w:color w:val="auto"/>
              </w:rPr>
            </w:pPr>
            <w:r>
              <w:rPr>
                <w:rFonts w:ascii="Times New Roman" w:cs="Times New Roman" w:eastAsia="Times New Roman" w:hAnsi="Times New Roman"/>
                <w:sz w:val="20"/>
                <w:szCs w:val="20"/>
                <w:color w:val="auto"/>
              </w:rPr>
              <w:t>112,261</w:t>
            </w:r>
          </w:p>
        </w:tc>
      </w:tr>
      <w:tr>
        <w:trPr>
          <w:trHeight w:val="244"/>
        </w:trPr>
        <w:tc>
          <w:tcPr>
            <w:tcW w:w="71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Long-term debt</w:t>
            </w:r>
          </w:p>
        </w:tc>
        <w:tc>
          <w:tcPr>
            <w:tcW w:w="2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285,746</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344,703</w:t>
            </w:r>
          </w:p>
        </w:tc>
      </w:tr>
      <w:tr>
        <w:trPr>
          <w:trHeight w:val="244"/>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less current portion</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12,945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16,878</w:t>
            </w:r>
          </w:p>
        </w:tc>
      </w:tr>
      <w:tr>
        <w:trPr>
          <w:trHeight w:val="264"/>
        </w:trPr>
        <w:tc>
          <w:tcPr>
            <w:tcW w:w="714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22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80" w:type="dxa"/>
            <w:vAlign w:val="bottom"/>
            <w:tcBorders>
              <w:bottom w:val="single" w:sz="8" w:color="auto"/>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15,114</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60" w:type="dxa"/>
            <w:vAlign w:val="bottom"/>
            <w:tcBorders>
              <w:bottom w:val="single" w:sz="8" w:color="auto"/>
            </w:tcBorders>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16,019</w:t>
            </w:r>
          </w:p>
        </w:tc>
      </w:tr>
      <w:tr>
        <w:trPr>
          <w:trHeight w:val="219"/>
        </w:trPr>
        <w:tc>
          <w:tcPr>
            <w:tcW w:w="714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liabilities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21"/>
              <w:spacing w:after="0" w:line="219" w:lineRule="exact"/>
              <w:rPr>
                <w:sz w:val="20"/>
                <w:szCs w:val="20"/>
                <w:color w:val="auto"/>
              </w:rPr>
            </w:pPr>
            <w:r>
              <w:rPr>
                <w:rFonts w:ascii="Times New Roman" w:cs="Times New Roman" w:eastAsia="Times New Roman" w:hAnsi="Times New Roman"/>
                <w:sz w:val="20"/>
                <w:szCs w:val="20"/>
                <w:color w:val="auto"/>
              </w:rPr>
              <w:t>459,730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1"/>
              <w:spacing w:after="0" w:line="219" w:lineRule="exact"/>
              <w:rPr>
                <w:sz w:val="20"/>
                <w:szCs w:val="20"/>
                <w:color w:val="auto"/>
              </w:rPr>
            </w:pPr>
            <w:r>
              <w:rPr>
                <w:rFonts w:ascii="Times New Roman" w:cs="Times New Roman" w:eastAsia="Times New Roman" w:hAnsi="Times New Roman"/>
                <w:sz w:val="20"/>
                <w:szCs w:val="20"/>
                <w:color w:val="auto"/>
              </w:rPr>
              <w:t>489,861</w:t>
            </w:r>
          </w:p>
        </w:tc>
      </w:tr>
      <w:tr>
        <w:trPr>
          <w:trHeight w:val="244"/>
        </w:trPr>
        <w:tc>
          <w:tcPr>
            <w:tcW w:w="71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Commitments and contingencies (Note 16)</w:t>
            </w:r>
          </w:p>
        </w:tc>
        <w:tc>
          <w:tcPr>
            <w:tcW w:w="2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spacing w:after="0"/>
              <w:rPr>
                <w:sz w:val="21"/>
                <w:szCs w:val="21"/>
                <w:color w:val="auto"/>
              </w:rPr>
            </w:pPr>
          </w:p>
        </w:tc>
      </w:tr>
      <w:tr>
        <w:trPr>
          <w:trHeight w:val="244"/>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5"/>
        </w:trPr>
        <w:tc>
          <w:tcPr>
            <w:tcW w:w="714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Preferred Stock, $0.01 par value; 20,000,000 shares authorized, no shares issued or</w:t>
            </w:r>
          </w:p>
        </w:tc>
        <w:tc>
          <w:tcPr>
            <w:tcW w:w="22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138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1360" w:type="dxa"/>
            <w:vAlign w:val="bottom"/>
            <w:shd w:val="clear" w:color="auto" w:fill="E2E2E2"/>
          </w:tcPr>
          <w:p>
            <w:pPr>
              <w:spacing w:after="0"/>
              <w:rPr>
                <w:sz w:val="19"/>
                <w:szCs w:val="19"/>
                <w:color w:val="auto"/>
              </w:rPr>
            </w:pPr>
          </w:p>
        </w:tc>
      </w:tr>
      <w:tr>
        <w:trPr>
          <w:trHeight w:val="249"/>
        </w:trPr>
        <w:tc>
          <w:tcPr>
            <w:tcW w:w="714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auto"/>
              </w:rPr>
              <w:t>outstanding at March 27, 2026 and March 28, 2025</w:t>
            </w:r>
          </w:p>
        </w:tc>
        <w:tc>
          <w:tcPr>
            <w:tcW w:w="2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25"/>
        </w:trPr>
        <w:tc>
          <w:tcPr>
            <w:tcW w:w="71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Common stock, $0.01 par value; 1,000,000,000 shares authorized, 185,357,343 shares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issued and outstanding at March 27, 2026; 1,000,000,000 shares authorized,</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9"/>
        </w:trPr>
        <w:tc>
          <w:tcPr>
            <w:tcW w:w="71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184,286,567 issued and outstanding at March 28, 2025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1,854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1,843</w:t>
            </w:r>
          </w:p>
        </w:tc>
      </w:tr>
      <w:tr>
        <w:trPr>
          <w:trHeight w:val="244"/>
        </w:trPr>
        <w:tc>
          <w:tcPr>
            <w:tcW w:w="71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1,050,582</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1,012,055</w:t>
            </w:r>
          </w:p>
        </w:tc>
      </w:tr>
      <w:tr>
        <w:trPr>
          <w:trHeight w:val="244"/>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(68,488)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(53,591)</w:t>
            </w:r>
          </w:p>
        </w:tc>
      </w:tr>
      <w:tr>
        <w:trPr>
          <w:trHeight w:val="264"/>
        </w:trPr>
        <w:tc>
          <w:tcPr>
            <w:tcW w:w="714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22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(29,201)</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(30,752)</w:t>
            </w:r>
          </w:p>
        </w:tc>
      </w:tr>
      <w:tr>
        <w:trPr>
          <w:trHeight w:val="219"/>
        </w:trPr>
        <w:tc>
          <w:tcPr>
            <w:tcW w:w="714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Equity attributable to Allegro MicroSystems, Inc.</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21"/>
              <w:spacing w:after="0" w:line="219" w:lineRule="exact"/>
              <w:rPr>
                <w:sz w:val="20"/>
                <w:szCs w:val="20"/>
                <w:color w:val="auto"/>
              </w:rPr>
            </w:pPr>
            <w:r>
              <w:rPr>
                <w:rFonts w:ascii="Times New Roman" w:cs="Times New Roman" w:eastAsia="Times New Roman" w:hAnsi="Times New Roman"/>
                <w:sz w:val="20"/>
                <w:szCs w:val="20"/>
                <w:color w:val="auto"/>
              </w:rPr>
              <w:t>954,747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1"/>
              <w:spacing w:after="0" w:line="219" w:lineRule="exact"/>
              <w:rPr>
                <w:sz w:val="20"/>
                <w:szCs w:val="20"/>
                <w:color w:val="auto"/>
              </w:rPr>
            </w:pPr>
            <w:r>
              <w:rPr>
                <w:rFonts w:ascii="Times New Roman" w:cs="Times New Roman" w:eastAsia="Times New Roman" w:hAnsi="Times New Roman"/>
                <w:sz w:val="20"/>
                <w:szCs w:val="20"/>
                <w:color w:val="auto"/>
              </w:rPr>
              <w:t>929,555</w:t>
            </w:r>
          </w:p>
        </w:tc>
      </w:tr>
      <w:tr>
        <w:trPr>
          <w:trHeight w:val="264"/>
        </w:trPr>
        <w:tc>
          <w:tcPr>
            <w:tcW w:w="714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Non-controlling interest</w:t>
            </w:r>
          </w:p>
        </w:tc>
        <w:tc>
          <w:tcPr>
            <w:tcW w:w="22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80" w:type="dxa"/>
            <w:vAlign w:val="bottom"/>
            <w:tcBorders>
              <w:bottom w:val="single" w:sz="8" w:color="auto"/>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1,698</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60" w:type="dxa"/>
            <w:vAlign w:val="bottom"/>
            <w:tcBorders>
              <w:bottom w:val="single" w:sz="8" w:color="auto"/>
            </w:tcBorders>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1,545</w:t>
            </w:r>
          </w:p>
        </w:tc>
      </w:tr>
      <w:tr>
        <w:trPr>
          <w:trHeight w:val="219"/>
        </w:trPr>
        <w:tc>
          <w:tcPr>
            <w:tcW w:w="7140" w:type="dxa"/>
            <w:vAlign w:val="bottom"/>
            <w:tcBorders>
              <w:bottom w:val="single" w:sz="8" w:color="E2E2E2"/>
            </w:tcBorders>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stockholders’ equity</w:t>
            </w:r>
          </w:p>
        </w:tc>
        <w:tc>
          <w:tcPr>
            <w:tcW w:w="220" w:type="dxa"/>
            <w:vAlign w:val="bottom"/>
            <w:tcBorders>
              <w:bottom w:val="single" w:sz="8" w:color="E2E2E2"/>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1"/>
              <w:spacing w:after="0" w:line="219" w:lineRule="exact"/>
              <w:rPr>
                <w:sz w:val="20"/>
                <w:szCs w:val="20"/>
                <w:color w:val="auto"/>
              </w:rPr>
            </w:pPr>
            <w:r>
              <w:rPr>
                <w:rFonts w:ascii="Times New Roman" w:cs="Times New Roman" w:eastAsia="Times New Roman" w:hAnsi="Times New Roman"/>
                <w:sz w:val="20"/>
                <w:szCs w:val="20"/>
                <w:color w:val="auto"/>
              </w:rPr>
              <w:t>956,445</w:t>
            </w:r>
          </w:p>
        </w:tc>
        <w:tc>
          <w:tcPr>
            <w:tcW w:w="180" w:type="dxa"/>
            <w:vAlign w:val="bottom"/>
            <w:tcBorders>
              <w:bottom w:val="single" w:sz="8" w:color="E2E2E2"/>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
              <w:spacing w:after="0" w:line="219" w:lineRule="exact"/>
              <w:rPr>
                <w:sz w:val="20"/>
                <w:szCs w:val="20"/>
                <w:color w:val="auto"/>
              </w:rPr>
            </w:pPr>
            <w:r>
              <w:rPr>
                <w:rFonts w:ascii="Times New Roman" w:cs="Times New Roman" w:eastAsia="Times New Roman" w:hAnsi="Times New Roman"/>
                <w:sz w:val="20"/>
                <w:szCs w:val="20"/>
                <w:color w:val="auto"/>
              </w:rPr>
              <w:t>931,100</w:t>
            </w:r>
          </w:p>
        </w:tc>
      </w:tr>
      <w:tr>
        <w:trPr>
          <w:trHeight w:val="259"/>
        </w:trPr>
        <w:tc>
          <w:tcPr>
            <w:tcW w:w="7140" w:type="dxa"/>
            <w:vAlign w:val="bottom"/>
            <w:tcBorders>
              <w:bottom w:val="single" w:sz="8" w:color="E2E2E2"/>
            </w:tcBorders>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Total liabilities, non-controlling interest and stockholders’ equity</w:t>
            </w:r>
          </w:p>
        </w:tc>
        <w:tc>
          <w:tcPr>
            <w:tcW w:w="22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1,416,175</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1,420,961</w:t>
            </w:r>
          </w:p>
        </w:tc>
      </w:tr>
      <w:tr>
        <w:trPr>
          <w:trHeight w:val="20"/>
        </w:trPr>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0800"/>
          </w:cols>
          <w:pgMar w:left="720" w:top="926" w:right="720" w:bottom="175"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21"/>
              <w:spacing w:after="0" w:line="174"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221"/>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21"/>
              <w:spacing w:after="0" w:line="174"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tcBorders>
              <w:bottom w:val="single" w:sz="8" w:color="E2E2E2"/>
            </w:tcBorders>
          </w:tcPr>
          <w:p>
            <w:pPr>
              <w:spacing w:after="0"/>
              <w:rPr>
                <w:sz w:val="17"/>
                <w:szCs w:val="17"/>
                <w:color w:val="auto"/>
              </w:rPr>
            </w:pPr>
          </w:p>
        </w:tc>
        <w:tc>
          <w:tcPr>
            <w:tcW w:w="14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1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Net sales</w:t>
            </w:r>
          </w:p>
        </w:tc>
        <w:tc>
          <w:tcPr>
            <w:tcW w:w="140" w:type="dxa"/>
            <w:vAlign w:val="bottom"/>
            <w:shd w:val="clear" w:color="auto" w:fill="E2E2E2"/>
          </w:tcPr>
          <w:p>
            <w:pPr>
              <w:spacing w:after="0"/>
              <w:rPr>
                <w:sz w:val="20"/>
                <w:szCs w:val="20"/>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890,096</w:t>
            </w:r>
          </w:p>
        </w:tc>
        <w:tc>
          <w:tcPr>
            <w:tcW w:w="160" w:type="dxa"/>
            <w:vAlign w:val="bottom"/>
            <w:shd w:val="clear" w:color="auto" w:fill="E2E2E2"/>
          </w:tcPr>
          <w:p>
            <w:pPr>
              <w:spacing w:after="0"/>
              <w:rPr>
                <w:sz w:val="20"/>
                <w:szCs w:val="20"/>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725,006</w:t>
            </w:r>
          </w:p>
        </w:tc>
        <w:tc>
          <w:tcPr>
            <w:tcW w:w="160" w:type="dxa"/>
            <w:vAlign w:val="bottom"/>
            <w:shd w:val="clear" w:color="auto" w:fill="E2E2E2"/>
          </w:tcPr>
          <w:p>
            <w:pPr>
              <w:spacing w:after="0"/>
              <w:rPr>
                <w:sz w:val="20"/>
                <w:szCs w:val="20"/>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1,043,206</w:t>
            </w:r>
          </w:p>
        </w:tc>
        <w:tc>
          <w:tcPr>
            <w:tcW w:w="8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16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Net sales to related party</w:t>
            </w:r>
          </w:p>
        </w:tc>
        <w:tc>
          <w:tcPr>
            <w:tcW w:w="14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6,161</w:t>
            </w: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 net sales</w:t>
            </w:r>
          </w:p>
        </w:tc>
        <w:tc>
          <w:tcPr>
            <w:tcW w:w="14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2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890,096</w:t>
            </w:r>
          </w:p>
        </w:tc>
        <w:tc>
          <w:tcPr>
            <w:tcW w:w="1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2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725,006</w:t>
            </w:r>
          </w:p>
        </w:tc>
        <w:tc>
          <w:tcPr>
            <w:tcW w:w="1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1,049,367</w:t>
            </w:r>
          </w:p>
        </w:tc>
        <w:tc>
          <w:tcPr>
            <w:tcW w:w="8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478,126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403,479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471,894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16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Cost of goods sold to related party</w:t>
            </w:r>
          </w:p>
        </w:tc>
        <w:tc>
          <w:tcPr>
            <w:tcW w:w="14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E2E2E2"/>
            </w:tcBorders>
            <w:shd w:val="clear" w:color="auto" w:fill="E2E2E2"/>
          </w:tcPr>
          <w:p>
            <w:pPr>
              <w:spacing w:after="0"/>
              <w:rPr>
                <w:sz w:val="22"/>
                <w:szCs w:val="22"/>
                <w:color w:val="auto"/>
              </w:rPr>
            </w:pPr>
          </w:p>
        </w:tc>
        <w:tc>
          <w:tcPr>
            <w:tcW w:w="1220" w:type="dxa"/>
            <w:vAlign w:val="bottom"/>
            <w:tcBorders>
              <w:bottom w:val="single" w:sz="8" w:color="E2E2E2"/>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E2E2E2"/>
            </w:tcBorders>
            <w:shd w:val="clear" w:color="auto" w:fill="E2E2E2"/>
          </w:tcPr>
          <w:p>
            <w:pPr>
              <w:spacing w:after="0"/>
              <w:rPr>
                <w:sz w:val="22"/>
                <w:szCs w:val="22"/>
                <w:color w:val="auto"/>
              </w:rPr>
            </w:pPr>
          </w:p>
        </w:tc>
        <w:tc>
          <w:tcPr>
            <w:tcW w:w="1220" w:type="dxa"/>
            <w:vAlign w:val="bottom"/>
            <w:tcBorders>
              <w:bottom w:val="single" w:sz="8" w:color="E2E2E2"/>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auto"/>
            </w:tcBorders>
            <w:shd w:val="clear" w:color="auto" w:fill="E2E2E2"/>
          </w:tcPr>
          <w:p>
            <w:pPr>
              <w:spacing w:after="0"/>
              <w:rPr>
                <w:sz w:val="22"/>
                <w:szCs w:val="22"/>
                <w:color w:val="auto"/>
              </w:rPr>
            </w:pP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2,944</w:t>
            </w:r>
          </w:p>
        </w:tc>
        <w:tc>
          <w:tcPr>
            <w:tcW w:w="80" w:type="dxa"/>
            <w:vAlign w:val="bottom"/>
            <w:tcBorders>
              <w:bottom w:val="single" w:sz="8" w:color="auto"/>
            </w:tcBorders>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1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Gross profit</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21"/>
              <w:spacing w:after="0" w:line="219" w:lineRule="exact"/>
              <w:rPr>
                <w:sz w:val="20"/>
                <w:szCs w:val="20"/>
                <w:color w:val="auto"/>
              </w:rPr>
            </w:pPr>
            <w:r>
              <w:rPr>
                <w:rFonts w:ascii="Times New Roman" w:cs="Times New Roman" w:eastAsia="Times New Roman" w:hAnsi="Times New Roman"/>
                <w:sz w:val="20"/>
                <w:szCs w:val="20"/>
                <w:color w:val="auto"/>
              </w:rPr>
              <w:t>411,970</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21"/>
              <w:spacing w:after="0" w:line="219" w:lineRule="exact"/>
              <w:rPr>
                <w:sz w:val="20"/>
                <w:szCs w:val="20"/>
                <w:color w:val="auto"/>
              </w:rPr>
            </w:pPr>
            <w:r>
              <w:rPr>
                <w:rFonts w:ascii="Times New Roman" w:cs="Times New Roman" w:eastAsia="Times New Roman" w:hAnsi="Times New Roman"/>
                <w:sz w:val="20"/>
                <w:szCs w:val="20"/>
                <w:color w:val="auto"/>
              </w:rPr>
              <w:t>321,527</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574,529</w:t>
            </w:r>
          </w:p>
        </w:tc>
        <w:tc>
          <w:tcPr>
            <w:tcW w:w="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1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4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22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22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12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205,804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179,649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176,638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4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22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181,089</w:t>
            </w:r>
          </w:p>
        </w:tc>
        <w:tc>
          <w:tcPr>
            <w:tcW w:w="1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22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161,680</w:t>
            </w:r>
          </w:p>
        </w:tc>
        <w:tc>
          <w:tcPr>
            <w:tcW w:w="1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188,429</w:t>
            </w:r>
          </w:p>
        </w:tc>
        <w:tc>
          <w:tcPr>
            <w:tcW w:w="8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Impairment of assets held for sale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6,590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4"/>
        </w:trPr>
        <w:tc>
          <w:tcPr>
            <w:tcW w:w="616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Impairment of long-lived assets</w:t>
            </w:r>
          </w:p>
        </w:tc>
        <w:tc>
          <w:tcPr>
            <w:tcW w:w="14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E2E2E2"/>
            </w:tcBorders>
            <w:shd w:val="clear" w:color="auto" w:fill="E2E2E2"/>
          </w:tcPr>
          <w:p>
            <w:pPr>
              <w:spacing w:after="0"/>
              <w:rPr>
                <w:sz w:val="22"/>
                <w:szCs w:val="22"/>
                <w:color w:val="auto"/>
              </w:rPr>
            </w:pPr>
          </w:p>
        </w:tc>
        <w:tc>
          <w:tcPr>
            <w:tcW w:w="1220" w:type="dxa"/>
            <w:vAlign w:val="bottom"/>
            <w:tcBorders>
              <w:bottom w:val="single" w:sz="8" w:color="E2E2E2"/>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E2E2E2"/>
            </w:tcBorders>
            <w:shd w:val="clear" w:color="auto" w:fill="E2E2E2"/>
          </w:tcPr>
          <w:p>
            <w:pPr>
              <w:spacing w:after="0"/>
              <w:rPr>
                <w:sz w:val="22"/>
                <w:szCs w:val="22"/>
                <w:color w:val="auto"/>
              </w:rPr>
            </w:pPr>
          </w:p>
        </w:tc>
        <w:tc>
          <w:tcPr>
            <w:tcW w:w="1220" w:type="dxa"/>
            <w:vAlign w:val="bottom"/>
            <w:tcBorders>
              <w:bottom w:val="single" w:sz="8" w:color="E2E2E2"/>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auto"/>
            </w:tcBorders>
            <w:shd w:val="clear" w:color="auto" w:fill="E2E2E2"/>
          </w:tcPr>
          <w:p>
            <w:pPr>
              <w:spacing w:after="0"/>
              <w:rPr>
                <w:sz w:val="22"/>
                <w:szCs w:val="22"/>
                <w:color w:val="auto"/>
              </w:rPr>
            </w:pP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13,218</w:t>
            </w:r>
          </w:p>
        </w:tc>
        <w:tc>
          <w:tcPr>
            <w:tcW w:w="80" w:type="dxa"/>
            <w:vAlign w:val="bottom"/>
            <w:tcBorders>
              <w:bottom w:val="single" w:sz="8" w:color="auto"/>
            </w:tcBorders>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160" w:type="dxa"/>
            <w:vAlign w:val="bottom"/>
            <w:tcBorders>
              <w:bottom w:val="single" w:sz="8" w:color="E2E2E2"/>
            </w:tcBorders>
          </w:tcPr>
          <w:p>
            <w:pPr>
              <w:spacing w:after="0" w:line="219" w:lineRule="exact"/>
              <w:rPr>
                <w:sz w:val="20"/>
                <w:szCs w:val="20"/>
                <w:color w:val="auto"/>
              </w:rPr>
            </w:pPr>
            <w:r>
              <w:rPr>
                <w:rFonts w:ascii="Times New Roman" w:cs="Times New Roman" w:eastAsia="Times New Roman" w:hAnsi="Times New Roman"/>
                <w:sz w:val="20"/>
                <w:szCs w:val="20"/>
                <w:color w:val="auto"/>
              </w:rPr>
              <w:t>Total operating expenses</w:t>
            </w:r>
          </w:p>
        </w:tc>
        <w:tc>
          <w:tcPr>
            <w:tcW w:w="140" w:type="dxa"/>
            <w:vAlign w:val="bottom"/>
            <w:tcBorders>
              <w:bottom w:val="single" w:sz="8" w:color="E2E2E2"/>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1"/>
              <w:spacing w:after="0" w:line="219" w:lineRule="exact"/>
              <w:rPr>
                <w:sz w:val="20"/>
                <w:szCs w:val="20"/>
                <w:color w:val="auto"/>
              </w:rPr>
            </w:pPr>
            <w:r>
              <w:rPr>
                <w:rFonts w:ascii="Times New Roman" w:cs="Times New Roman" w:eastAsia="Times New Roman" w:hAnsi="Times New Roman"/>
                <w:sz w:val="20"/>
                <w:szCs w:val="20"/>
                <w:color w:val="auto"/>
              </w:rPr>
              <w:t>393,483</w:t>
            </w:r>
          </w:p>
        </w:tc>
        <w:tc>
          <w:tcPr>
            <w:tcW w:w="160" w:type="dxa"/>
            <w:vAlign w:val="bottom"/>
            <w:tcBorders>
              <w:bottom w:val="single" w:sz="8" w:color="E2E2E2"/>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1"/>
              <w:spacing w:after="0" w:line="219" w:lineRule="exact"/>
              <w:rPr>
                <w:sz w:val="20"/>
                <w:szCs w:val="20"/>
                <w:color w:val="auto"/>
              </w:rPr>
            </w:pPr>
            <w:r>
              <w:rPr>
                <w:rFonts w:ascii="Times New Roman" w:cs="Times New Roman" w:eastAsia="Times New Roman" w:hAnsi="Times New Roman"/>
                <w:sz w:val="20"/>
                <w:szCs w:val="20"/>
                <w:color w:val="auto"/>
              </w:rPr>
              <w:t>341,329</w:t>
            </w:r>
          </w:p>
        </w:tc>
        <w:tc>
          <w:tcPr>
            <w:tcW w:w="160" w:type="dxa"/>
            <w:vAlign w:val="bottom"/>
            <w:tcBorders>
              <w:bottom w:val="single" w:sz="8" w:color="E2E2E2"/>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378,285</w:t>
            </w:r>
          </w:p>
        </w:tc>
        <w:tc>
          <w:tcPr>
            <w:tcW w:w="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1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Operating income (loss)</w:t>
            </w:r>
          </w:p>
        </w:tc>
        <w:tc>
          <w:tcPr>
            <w:tcW w:w="14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2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18,487</w:t>
            </w:r>
          </w:p>
        </w:tc>
        <w:tc>
          <w:tcPr>
            <w:tcW w:w="1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(19,802)</w:t>
            </w:r>
          </w:p>
        </w:tc>
        <w:tc>
          <w:tcPr>
            <w:tcW w:w="1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196,244</w:t>
            </w:r>
          </w:p>
        </w:tc>
        <w:tc>
          <w:tcPr>
            <w:tcW w:w="8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Other (expense) income: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Interest expense</w:t>
            </w:r>
          </w:p>
        </w:tc>
        <w:tc>
          <w:tcPr>
            <w:tcW w:w="14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(22,135)</w:t>
            </w:r>
          </w:p>
        </w:tc>
        <w:tc>
          <w:tcPr>
            <w:tcW w:w="1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(30,366)</w:t>
            </w:r>
          </w:p>
        </w:tc>
        <w:tc>
          <w:tcPr>
            <w:tcW w:w="1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20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(10,763)</w:t>
            </w:r>
          </w:p>
        </w:tc>
        <w:tc>
          <w:tcPr>
            <w:tcW w:w="0" w:type="dxa"/>
            <w:vAlign w:val="bottom"/>
          </w:tcPr>
          <w:p>
            <w:pPr>
              <w:spacing w:after="0"/>
              <w:rPr>
                <w:sz w:val="1"/>
                <w:szCs w:val="1"/>
                <w:color w:val="auto"/>
              </w:rPr>
            </w:pPr>
          </w:p>
        </w:tc>
      </w:tr>
      <w:tr>
        <w:trPr>
          <w:trHeight w:val="244"/>
        </w:trPr>
        <w:tc>
          <w:tcPr>
            <w:tcW w:w="6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776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1,524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Foreign currency transaction (loss) gain</w:t>
            </w:r>
          </w:p>
        </w:tc>
        <w:tc>
          <w:tcPr>
            <w:tcW w:w="14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(3,209)</w:t>
            </w:r>
          </w:p>
        </w:tc>
        <w:tc>
          <w:tcPr>
            <w:tcW w:w="1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(2,172)</w:t>
            </w:r>
          </w:p>
        </w:tc>
        <w:tc>
          <w:tcPr>
            <w:tcW w:w="1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5,064</w:t>
            </w:r>
          </w:p>
        </w:tc>
        <w:tc>
          <w:tcPr>
            <w:tcW w:w="8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income in earnings of equity investment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1,176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(538)</w:t>
            </w:r>
          </w:p>
        </w:tc>
        <w:tc>
          <w:tcPr>
            <w:tcW w:w="0" w:type="dxa"/>
            <w:vAlign w:val="bottom"/>
          </w:tcPr>
          <w:p>
            <w:pPr>
              <w:spacing w:after="0"/>
              <w:rPr>
                <w:sz w:val="1"/>
                <w:szCs w:val="1"/>
                <w:color w:val="auto"/>
              </w:rPr>
            </w:pPr>
          </w:p>
        </w:tc>
      </w:tr>
      <w:tr>
        <w:trPr>
          <w:trHeight w:val="244"/>
        </w:trPr>
        <w:tc>
          <w:tcPr>
            <w:tcW w:w="61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Loss on change in fair value of forward repurchase contract</w:t>
            </w:r>
          </w:p>
        </w:tc>
        <w:tc>
          <w:tcPr>
            <w:tcW w:w="14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22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(34,752)</w:t>
            </w:r>
          </w:p>
        </w:tc>
        <w:tc>
          <w:tcPr>
            <w:tcW w:w="1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20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16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Other income (expense), net</w:t>
            </w:r>
          </w:p>
        </w:tc>
        <w:tc>
          <w:tcPr>
            <w:tcW w:w="14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579</w:t>
            </w:r>
          </w:p>
        </w:tc>
        <w:tc>
          <w:tcPr>
            <w:tcW w:w="16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(1,304)</w:t>
            </w:r>
          </w:p>
        </w:tc>
        <w:tc>
          <w:tcPr>
            <w:tcW w:w="16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1,646</w:t>
            </w: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(Loss) income before income taxes</w:t>
            </w:r>
          </w:p>
        </w:tc>
        <w:tc>
          <w:tcPr>
            <w:tcW w:w="14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(14,901)</w:t>
            </w:r>
          </w:p>
        </w:tc>
        <w:tc>
          <w:tcPr>
            <w:tcW w:w="1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(85,696)</w:t>
            </w:r>
          </w:p>
        </w:tc>
        <w:tc>
          <w:tcPr>
            <w:tcW w:w="1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194,797</w:t>
            </w:r>
          </w:p>
        </w:tc>
        <w:tc>
          <w:tcPr>
            <w:tcW w:w="8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16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Income tax (benefit) provision</w:t>
            </w:r>
          </w:p>
        </w:tc>
        <w:tc>
          <w:tcPr>
            <w:tcW w:w="14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16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(12,933)</w:t>
            </w:r>
          </w:p>
        </w:tc>
        <w:tc>
          <w:tcPr>
            <w:tcW w:w="16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41,909</w:t>
            </w: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Net (loss) income</w:t>
            </w:r>
          </w:p>
        </w:tc>
        <w:tc>
          <w:tcPr>
            <w:tcW w:w="14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(14,653)</w:t>
            </w:r>
          </w:p>
        </w:tc>
        <w:tc>
          <w:tcPr>
            <w:tcW w:w="1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(72,763)</w:t>
            </w:r>
          </w:p>
        </w:tc>
        <w:tc>
          <w:tcPr>
            <w:tcW w:w="1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152,888</w:t>
            </w:r>
          </w:p>
        </w:tc>
        <w:tc>
          <w:tcPr>
            <w:tcW w:w="8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16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Net income attributable to non-controlling interests</w:t>
            </w:r>
          </w:p>
        </w:tc>
        <w:tc>
          <w:tcPr>
            <w:tcW w:w="14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244</w:t>
            </w:r>
          </w:p>
        </w:tc>
        <w:tc>
          <w:tcPr>
            <w:tcW w:w="16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247</w:t>
            </w:r>
          </w:p>
        </w:tc>
        <w:tc>
          <w:tcPr>
            <w:tcW w:w="16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16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Net (loss) income attributable to Allegro MicroSystems, Inc.</w:t>
            </w:r>
          </w:p>
        </w:tc>
        <w:tc>
          <w:tcPr>
            <w:tcW w:w="14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(14,897)</w:t>
            </w:r>
          </w:p>
        </w:tc>
        <w:tc>
          <w:tcPr>
            <w:tcW w:w="16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(73,010)</w:t>
            </w:r>
          </w:p>
        </w:tc>
        <w:tc>
          <w:tcPr>
            <w:tcW w:w="16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152,697</w:t>
            </w:r>
          </w:p>
        </w:tc>
        <w:tc>
          <w:tcPr>
            <w:tcW w:w="80" w:type="dxa"/>
            <w:vAlign w:val="bottom"/>
            <w:tcBorders>
              <w:bottom w:val="single" w:sz="8" w:color="auto"/>
            </w:tcBorders>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income per common share attributable to Allegro MicroSystems,</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Inc.:</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16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Basic</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3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3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0.79</w:t>
            </w:r>
          </w:p>
        </w:tc>
        <w:tc>
          <w:tcPr>
            <w:tcW w:w="80" w:type="dxa"/>
            <w:vAlign w:val="bottom"/>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E2E2E2"/>
              <w:bottom w:val="single" w:sz="8" w:color="E2E2E2"/>
            </w:tcBorders>
            <w:vMerge w:val="restart"/>
          </w:tcPr>
          <w:p>
            <w:pPr>
              <w:ind w:left="400"/>
              <w:spacing w:after="0"/>
              <w:rPr>
                <w:sz w:val="20"/>
                <w:szCs w:val="20"/>
                <w:color w:val="auto"/>
              </w:rPr>
            </w:pPr>
            <w:r>
              <w:rPr>
                <w:rFonts w:ascii="Times New Roman" w:cs="Times New Roman" w:eastAsia="Times New Roman" w:hAnsi="Times New Roman"/>
                <w:sz w:val="20"/>
                <w:szCs w:val="20"/>
                <w:color w:val="auto"/>
              </w:rPr>
              <w:t>Diluted</w:t>
            </w:r>
          </w:p>
        </w:tc>
        <w:tc>
          <w:tcPr>
            <w:tcW w:w="14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60" w:type="dxa"/>
            <w:vAlign w:val="bottom"/>
            <w:tcBorders>
              <w:bottom w:val="single" w:sz="8" w:color="E2E2E2"/>
            </w:tcBorders>
            <w:vMerge w:val="continue"/>
          </w:tcPr>
          <w:p>
            <w:pPr>
              <w:spacing w:after="0"/>
              <w:rPr>
                <w:sz w:val="21"/>
                <w:szCs w:val="21"/>
                <w:color w:val="auto"/>
              </w:rPr>
            </w:pPr>
          </w:p>
        </w:tc>
        <w:tc>
          <w:tcPr>
            <w:tcW w:w="14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(0.08)</w:t>
            </w:r>
          </w:p>
        </w:tc>
        <w:tc>
          <w:tcPr>
            <w:tcW w:w="16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(0.39)</w:t>
            </w:r>
          </w:p>
        </w:tc>
        <w:tc>
          <w:tcPr>
            <w:tcW w:w="16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0.78</w:t>
            </w: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Weighted average shares outstanding:</w:t>
            </w:r>
          </w:p>
        </w:tc>
        <w:tc>
          <w:tcPr>
            <w:tcW w:w="14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22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22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12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160" w:type="dxa"/>
            <w:vAlign w:val="bottom"/>
            <w:tcBorders>
              <w:bottom w:val="single" w:sz="8" w:color="E2E2E2"/>
            </w:tcBorders>
          </w:tcPr>
          <w:p>
            <w:pPr>
              <w:ind w:left="400"/>
              <w:spacing w:after="0"/>
              <w:rPr>
                <w:sz w:val="20"/>
                <w:szCs w:val="20"/>
                <w:color w:val="auto"/>
              </w:rPr>
            </w:pPr>
            <w:r>
              <w:rPr>
                <w:rFonts w:ascii="Times New Roman" w:cs="Times New Roman" w:eastAsia="Times New Roman" w:hAnsi="Times New Roman"/>
                <w:sz w:val="20"/>
                <w:szCs w:val="20"/>
                <w:color w:val="auto"/>
              </w:rPr>
              <w:t>Basic</w:t>
            </w:r>
          </w:p>
        </w:tc>
        <w:tc>
          <w:tcPr>
            <w:tcW w:w="140" w:type="dxa"/>
            <w:vAlign w:val="bottom"/>
            <w:tcBorders>
              <w:bottom w:val="single" w:sz="8" w:color="E2E2E2"/>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185,035,670</w:t>
            </w:r>
          </w:p>
        </w:tc>
        <w:tc>
          <w:tcPr>
            <w:tcW w:w="160" w:type="dxa"/>
            <w:vAlign w:val="bottom"/>
            <w:tcBorders>
              <w:bottom w:val="single" w:sz="8" w:color="E2E2E2"/>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187,707,391</w:t>
            </w:r>
          </w:p>
        </w:tc>
        <w:tc>
          <w:tcPr>
            <w:tcW w:w="160" w:type="dxa"/>
            <w:vAlign w:val="bottom"/>
            <w:tcBorders>
              <w:bottom w:val="single" w:sz="8" w:color="E2E2E2"/>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192,573,169</w:t>
            </w: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160" w:type="dxa"/>
            <w:vAlign w:val="bottom"/>
            <w:tcBorders>
              <w:bottom w:val="single" w:sz="8" w:color="E2E2E2"/>
            </w:tcBorders>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Diluted</w:t>
            </w:r>
          </w:p>
        </w:tc>
        <w:tc>
          <w:tcPr>
            <w:tcW w:w="140" w:type="dxa"/>
            <w:vAlign w:val="bottom"/>
            <w:tcBorders>
              <w:bottom w:val="single" w:sz="8" w:color="E2E2E2"/>
            </w:tcBorders>
            <w:shd w:val="clear" w:color="auto" w:fill="E2E2E2"/>
          </w:tcPr>
          <w:p>
            <w:pPr>
              <w:spacing w:after="0"/>
              <w:rPr>
                <w:sz w:val="21"/>
                <w:szCs w:val="21"/>
                <w:color w:val="auto"/>
              </w:rPr>
            </w:pPr>
          </w:p>
        </w:tc>
        <w:tc>
          <w:tcPr>
            <w:tcW w:w="180" w:type="dxa"/>
            <w:vAlign w:val="bottom"/>
            <w:tcBorders>
              <w:bottom w:val="single" w:sz="8" w:color="auto"/>
            </w:tcBorders>
            <w:shd w:val="clear" w:color="auto" w:fill="E2E2E2"/>
          </w:tcPr>
          <w:p>
            <w:pPr>
              <w:spacing w:after="0"/>
              <w:rPr>
                <w:sz w:val="21"/>
                <w:szCs w:val="21"/>
                <w:color w:val="auto"/>
              </w:rPr>
            </w:pPr>
          </w:p>
        </w:tc>
        <w:tc>
          <w:tcPr>
            <w:tcW w:w="1220" w:type="dxa"/>
            <w:vAlign w:val="bottom"/>
            <w:tcBorders>
              <w:bottom w:val="single" w:sz="8" w:color="auto"/>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185,035,670</w:t>
            </w:r>
          </w:p>
        </w:tc>
        <w:tc>
          <w:tcPr>
            <w:tcW w:w="160" w:type="dxa"/>
            <w:vAlign w:val="bottom"/>
            <w:tcBorders>
              <w:bottom w:val="single" w:sz="8" w:color="E2E2E2"/>
            </w:tcBorders>
            <w:shd w:val="clear" w:color="auto" w:fill="E2E2E2"/>
          </w:tcPr>
          <w:p>
            <w:pPr>
              <w:spacing w:after="0"/>
              <w:rPr>
                <w:sz w:val="21"/>
                <w:szCs w:val="21"/>
                <w:color w:val="auto"/>
              </w:rPr>
            </w:pPr>
          </w:p>
        </w:tc>
        <w:tc>
          <w:tcPr>
            <w:tcW w:w="180" w:type="dxa"/>
            <w:vAlign w:val="bottom"/>
            <w:tcBorders>
              <w:bottom w:val="single" w:sz="8" w:color="auto"/>
            </w:tcBorders>
            <w:shd w:val="clear" w:color="auto" w:fill="E2E2E2"/>
          </w:tcPr>
          <w:p>
            <w:pPr>
              <w:spacing w:after="0"/>
              <w:rPr>
                <w:sz w:val="21"/>
                <w:szCs w:val="21"/>
                <w:color w:val="auto"/>
              </w:rPr>
            </w:pPr>
          </w:p>
        </w:tc>
        <w:tc>
          <w:tcPr>
            <w:tcW w:w="1220" w:type="dxa"/>
            <w:vAlign w:val="bottom"/>
            <w:tcBorders>
              <w:bottom w:val="single" w:sz="8" w:color="auto"/>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187,707,391</w:t>
            </w:r>
          </w:p>
        </w:tc>
        <w:tc>
          <w:tcPr>
            <w:tcW w:w="160" w:type="dxa"/>
            <w:vAlign w:val="bottom"/>
            <w:tcBorders>
              <w:bottom w:val="single" w:sz="8" w:color="E2E2E2"/>
            </w:tcBorders>
            <w:shd w:val="clear" w:color="auto" w:fill="E2E2E2"/>
          </w:tcPr>
          <w:p>
            <w:pPr>
              <w:spacing w:after="0"/>
              <w:rPr>
                <w:sz w:val="21"/>
                <w:szCs w:val="21"/>
                <w:color w:val="auto"/>
              </w:rPr>
            </w:pPr>
          </w:p>
        </w:tc>
        <w:tc>
          <w:tcPr>
            <w:tcW w:w="180" w:type="dxa"/>
            <w:vAlign w:val="bottom"/>
            <w:tcBorders>
              <w:bottom w:val="single" w:sz="8" w:color="auto"/>
            </w:tcBorders>
            <w:shd w:val="clear" w:color="auto" w:fill="E2E2E2"/>
          </w:tcPr>
          <w:p>
            <w:pPr>
              <w:spacing w:after="0"/>
              <w:rPr>
                <w:sz w:val="21"/>
                <w:szCs w:val="21"/>
                <w:color w:val="auto"/>
              </w:rPr>
            </w:pP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194,674,352</w:t>
            </w:r>
          </w:p>
        </w:tc>
        <w:tc>
          <w:tcPr>
            <w:tcW w:w="80" w:type="dxa"/>
            <w:vAlign w:val="bottom"/>
            <w:tcBorders>
              <w:bottom w:val="single" w:sz="8" w:color="auto"/>
            </w:tcBorders>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-5433695</wp:posOffset>
            </wp:positionV>
            <wp:extent cx="284734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2847340" cy="3810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800"/>
          </w:cols>
          <w:pgMar w:left="720" w:top="926" w:right="720" w:bottom="175"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 Income</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r>
      <w:tr>
        <w:trPr>
          <w:trHeight w:val="160"/>
        </w:trPr>
        <w:tc>
          <w:tcPr>
            <w:tcW w:w="6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304"/>
              <w:spacing w:after="0" w:line="160"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304"/>
              <w:spacing w:after="0" w:line="160"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04"/>
              <w:spacing w:after="0" w:line="160"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80" w:type="dxa"/>
            <w:vAlign w:val="bottom"/>
          </w:tcPr>
          <w:p>
            <w:pPr>
              <w:spacing w:after="0"/>
              <w:rPr>
                <w:sz w:val="13"/>
                <w:szCs w:val="13"/>
                <w:color w:val="auto"/>
              </w:rPr>
            </w:pPr>
          </w:p>
        </w:tc>
      </w:tr>
      <w:tr>
        <w:trPr>
          <w:trHeight w:val="203"/>
        </w:trPr>
        <w:tc>
          <w:tcPr>
            <w:tcW w:w="628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r>
      <w:tr>
        <w:trPr>
          <w:trHeight w:val="264"/>
        </w:trPr>
        <w:tc>
          <w:tcPr>
            <w:tcW w:w="62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Net (loss) income</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(14,653)</w:t>
            </w:r>
          </w:p>
        </w:tc>
        <w:tc>
          <w:tcPr>
            <w:tcW w:w="1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(72,763)</w:t>
            </w:r>
          </w:p>
        </w:tc>
        <w:tc>
          <w:tcPr>
            <w:tcW w:w="160" w:type="dxa"/>
            <w:vAlign w:val="bottom"/>
            <w:shd w:val="clear" w:color="auto" w:fill="E2E2E2"/>
          </w:tcPr>
          <w:p>
            <w:pPr>
              <w:spacing w:after="0"/>
              <w:rPr>
                <w:sz w:val="22"/>
                <w:szCs w:val="22"/>
                <w:color w:val="auto"/>
              </w:rPr>
            </w:pP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152,888</w:t>
            </w:r>
          </w:p>
        </w:tc>
        <w:tc>
          <w:tcPr>
            <w:tcW w:w="80" w:type="dxa"/>
            <w:vAlign w:val="bottom"/>
            <w:shd w:val="clear" w:color="auto" w:fill="E2E2E2"/>
          </w:tcPr>
          <w:p>
            <w:pPr>
              <w:spacing w:after="0"/>
              <w:rPr>
                <w:sz w:val="22"/>
                <w:szCs w:val="22"/>
                <w:color w:val="auto"/>
              </w:rPr>
            </w:pPr>
          </w:p>
        </w:tc>
      </w:tr>
      <w:tr>
        <w:trPr>
          <w:trHeight w:val="230"/>
        </w:trPr>
        <w:tc>
          <w:tcPr>
            <w:tcW w:w="628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Net income attributable to non-controlling interests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244</w:t>
            </w:r>
          </w:p>
        </w:tc>
        <w:tc>
          <w:tcPr>
            <w:tcW w:w="160" w:type="dxa"/>
            <w:vAlign w:val="bottom"/>
            <w:tcBorders>
              <w:bottom w:val="single" w:sz="8" w:color="E2E2E2"/>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247</w:t>
            </w:r>
          </w:p>
        </w:tc>
        <w:tc>
          <w:tcPr>
            <w:tcW w:w="160" w:type="dxa"/>
            <w:vAlign w:val="bottom"/>
            <w:tcBorders>
              <w:bottom w:val="single" w:sz="8" w:color="E2E2E2"/>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80" w:type="dxa"/>
            <w:vAlign w:val="bottom"/>
            <w:tcBorders>
              <w:bottom w:val="single" w:sz="8" w:color="auto"/>
            </w:tcBorders>
          </w:tcPr>
          <w:p>
            <w:pPr>
              <w:spacing w:after="0"/>
              <w:rPr>
                <w:sz w:val="20"/>
                <w:szCs w:val="20"/>
                <w:color w:val="auto"/>
              </w:rPr>
            </w:pPr>
          </w:p>
        </w:tc>
      </w:tr>
      <w:tr>
        <w:trPr>
          <w:trHeight w:val="225"/>
        </w:trPr>
        <w:tc>
          <w:tcPr>
            <w:tcW w:w="628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Net (loss) income attributable to Allegro MicroSystems, Inc.</w:t>
            </w:r>
          </w:p>
        </w:tc>
        <w:tc>
          <w:tcPr>
            <w:tcW w:w="200" w:type="dxa"/>
            <w:vAlign w:val="bottom"/>
            <w:shd w:val="clear" w:color="auto" w:fill="E2E2E2"/>
          </w:tcPr>
          <w:p>
            <w:pPr>
              <w:spacing w:after="0"/>
              <w:rPr>
                <w:sz w:val="19"/>
                <w:szCs w:val="19"/>
                <w:color w:val="auto"/>
              </w:rPr>
            </w:pPr>
          </w:p>
        </w:tc>
        <w:tc>
          <w:tcPr>
            <w:tcW w:w="122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(14,897)</w:t>
            </w:r>
          </w:p>
        </w:tc>
        <w:tc>
          <w:tcPr>
            <w:tcW w:w="16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2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(73,010)</w:t>
            </w:r>
          </w:p>
        </w:tc>
        <w:tc>
          <w:tcPr>
            <w:tcW w:w="16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1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152,697</w:t>
            </w:r>
          </w:p>
        </w:tc>
        <w:tc>
          <w:tcPr>
            <w:tcW w:w="80" w:type="dxa"/>
            <w:vAlign w:val="bottom"/>
            <w:shd w:val="clear" w:color="auto" w:fill="E2E2E2"/>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 income:</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200" w:type="dxa"/>
            <w:vAlign w:val="bottom"/>
            <w:shd w:val="clear" w:color="auto" w:fill="E2E2E2"/>
          </w:tcPr>
          <w:p>
            <w:pPr>
              <w:spacing w:after="0"/>
              <w:rPr>
                <w:sz w:val="20"/>
                <w:szCs w:val="20"/>
                <w:color w:val="auto"/>
              </w:rPr>
            </w:pPr>
          </w:p>
        </w:tc>
        <w:tc>
          <w:tcPr>
            <w:tcW w:w="122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auto"/>
              </w:rPr>
              <w:t>407</w:t>
            </w:r>
          </w:p>
        </w:tc>
        <w:tc>
          <w:tcPr>
            <w:tcW w:w="16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(2,127)</w:t>
            </w:r>
          </w:p>
        </w:tc>
        <w:tc>
          <w:tcPr>
            <w:tcW w:w="16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18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(7,720)</w:t>
            </w:r>
          </w:p>
        </w:tc>
      </w:tr>
      <w:tr>
        <w:trPr>
          <w:trHeight w:val="211"/>
        </w:trPr>
        <w:tc>
          <w:tcPr>
            <w:tcW w:w="628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auto"/>
              </w:rPr>
              <w:t>Net actuarial gain (loss) on amortization of net transition obligation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and prior service costs related to defined benefit plans, net of tax</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of $(359), $(84) and $145 in fiscal years 2026, 2025 and 2024,</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628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respectively</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1,076</w:t>
            </w:r>
          </w:p>
        </w:tc>
        <w:tc>
          <w:tcPr>
            <w:tcW w:w="160" w:type="dxa"/>
            <w:vAlign w:val="bottom"/>
            <w:tcBorders>
              <w:bottom w:val="single" w:sz="8" w:color="E2E2E2"/>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252</w:t>
            </w:r>
          </w:p>
        </w:tc>
        <w:tc>
          <w:tcPr>
            <w:tcW w:w="160" w:type="dxa"/>
            <w:vAlign w:val="bottom"/>
            <w:tcBorders>
              <w:bottom w:val="single" w:sz="8" w:color="E2E2E2"/>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(434)</w:t>
            </w:r>
          </w:p>
        </w:tc>
      </w:tr>
      <w:tr>
        <w:trPr>
          <w:trHeight w:val="225"/>
        </w:trPr>
        <w:tc>
          <w:tcPr>
            <w:tcW w:w="628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Comprehensive (loss) income</w:t>
            </w:r>
          </w:p>
        </w:tc>
        <w:tc>
          <w:tcPr>
            <w:tcW w:w="200" w:type="dxa"/>
            <w:vAlign w:val="bottom"/>
            <w:shd w:val="clear" w:color="auto" w:fill="E2E2E2"/>
          </w:tcPr>
          <w:p>
            <w:pPr>
              <w:spacing w:after="0"/>
              <w:rPr>
                <w:sz w:val="19"/>
                <w:szCs w:val="19"/>
                <w:color w:val="auto"/>
              </w:rPr>
            </w:pPr>
          </w:p>
        </w:tc>
        <w:tc>
          <w:tcPr>
            <w:tcW w:w="122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(13,414)</w:t>
            </w:r>
          </w:p>
        </w:tc>
        <w:tc>
          <w:tcPr>
            <w:tcW w:w="16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2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(74,885)</w:t>
            </w:r>
          </w:p>
        </w:tc>
        <w:tc>
          <w:tcPr>
            <w:tcW w:w="16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1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144,543</w:t>
            </w:r>
          </w:p>
        </w:tc>
        <w:tc>
          <w:tcPr>
            <w:tcW w:w="80" w:type="dxa"/>
            <w:vAlign w:val="bottom"/>
            <w:shd w:val="clear" w:color="auto" w:fill="E2E2E2"/>
          </w:tcPr>
          <w:p>
            <w:pPr>
              <w:spacing w:after="0"/>
              <w:rPr>
                <w:sz w:val="19"/>
                <w:szCs w:val="19"/>
                <w:color w:val="auto"/>
              </w:rPr>
            </w:pPr>
          </w:p>
        </w:tc>
      </w:tr>
      <w:tr>
        <w:trPr>
          <w:trHeight w:val="230"/>
        </w:trPr>
        <w:tc>
          <w:tcPr>
            <w:tcW w:w="628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Other comprehensive gain (loss) attributable to non-controlling interests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68</w:t>
            </w:r>
          </w:p>
        </w:tc>
        <w:tc>
          <w:tcPr>
            <w:tcW w:w="160" w:type="dxa"/>
            <w:vAlign w:val="bottom"/>
            <w:tcBorders>
              <w:bottom w:val="single" w:sz="8" w:color="E2E2E2"/>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60" w:type="dxa"/>
            <w:vAlign w:val="bottom"/>
            <w:tcBorders>
              <w:bottom w:val="single" w:sz="8" w:color="E2E2E2"/>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80" w:type="dxa"/>
            <w:vAlign w:val="bottom"/>
            <w:tcBorders>
              <w:bottom w:val="single" w:sz="8" w:color="auto"/>
            </w:tcBorders>
          </w:tcPr>
          <w:p>
            <w:pPr>
              <w:spacing w:after="0"/>
              <w:rPr>
                <w:sz w:val="19"/>
                <w:szCs w:val="19"/>
                <w:color w:val="auto"/>
              </w:rPr>
            </w:pPr>
          </w:p>
        </w:tc>
      </w:tr>
      <w:tr>
        <w:trPr>
          <w:trHeight w:val="284"/>
        </w:trPr>
        <w:tc>
          <w:tcPr>
            <w:tcW w:w="628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Comprehensive (loss) income attributable to Allegro MicroSystems, Inc.</w:t>
            </w:r>
          </w:p>
        </w:tc>
        <w:tc>
          <w:tcPr>
            <w:tcW w:w="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(13,346)</w:t>
            </w:r>
          </w:p>
        </w:tc>
        <w:tc>
          <w:tcPr>
            <w:tcW w:w="16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auto"/>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(74,921)</w:t>
            </w:r>
          </w:p>
        </w:tc>
        <w:tc>
          <w:tcPr>
            <w:tcW w:w="16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144,640</w:t>
            </w:r>
          </w:p>
        </w:tc>
        <w:tc>
          <w:tcPr>
            <w:tcW w:w="80" w:type="dxa"/>
            <w:vAlign w:val="bottom"/>
            <w:tcBorders>
              <w:bottom w:val="single" w:sz="8" w:color="auto"/>
            </w:tcBorders>
            <w:shd w:val="clear" w:color="auto" w:fill="E2E2E2"/>
          </w:tcPr>
          <w:p>
            <w:pPr>
              <w:spacing w:after="0"/>
              <w:rPr>
                <w:sz w:val="24"/>
                <w:szCs w:val="24"/>
                <w:color w:val="auto"/>
              </w:rPr>
            </w:pP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-2125345</wp:posOffset>
            </wp:positionV>
            <wp:extent cx="285432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2854325" cy="3810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800"/>
          </w:cols>
          <w:pgMar w:left="720" w:top="926" w:right="720" w:bottom="175"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amounts)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2"/>
        </w:trPr>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Retained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8"/>
        </w:trPr>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8"/>
        </w:trPr>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controlling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Stockholders’</w:t>
            </w:r>
          </w:p>
        </w:tc>
      </w:tr>
      <w:tr>
        <w:trPr>
          <w:trHeight w:val="151"/>
        </w:trPr>
        <w:tc>
          <w:tcPr>
            <w:tcW w:w="2260" w:type="dxa"/>
            <w:vAlign w:val="bottom"/>
            <w:tcBorders>
              <w:bottom w:val="single" w:sz="8" w:color="E2E2E2"/>
            </w:tcBorders>
          </w:tcPr>
          <w:p>
            <w:pPr>
              <w:spacing w:after="0"/>
              <w:rPr>
                <w:sz w:val="13"/>
                <w:szCs w:val="13"/>
                <w:color w:val="auto"/>
              </w:rPr>
            </w:pPr>
          </w:p>
        </w:tc>
        <w:tc>
          <w:tcPr>
            <w:tcW w:w="20" w:type="dxa"/>
            <w:vAlign w:val="bottom"/>
            <w:tcBorders>
              <w:bottom w:val="single" w:sz="8" w:color="E2E2E2"/>
            </w:tcBorders>
          </w:tcPr>
          <w:p>
            <w:pPr>
              <w:spacing w:after="0"/>
              <w:rPr>
                <w:sz w:val="13"/>
                <w:szCs w:val="13"/>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Borders>
              <w:bottom w:val="single" w:sz="8" w:color="E2E2E2"/>
            </w:tcBorders>
          </w:tcPr>
          <w:p>
            <w:pPr>
              <w:spacing w:after="0"/>
              <w:rPr>
                <w:sz w:val="13"/>
                <w:szCs w:val="13"/>
                <w:color w:val="auto"/>
              </w:rPr>
            </w:pPr>
          </w:p>
        </w:tc>
        <w:tc>
          <w:tcPr>
            <w:tcW w:w="20" w:type="dxa"/>
            <w:vAlign w:val="bottom"/>
            <w:tcBorders>
              <w:bottom w:val="single" w:sz="8" w:color="E2E2E2"/>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Borders>
              <w:bottom w:val="single" w:sz="8" w:color="E2E2E2"/>
            </w:tcBorders>
          </w:tcPr>
          <w:p>
            <w:pPr>
              <w:spacing w:after="0"/>
              <w:rPr>
                <w:sz w:val="13"/>
                <w:szCs w:val="13"/>
                <w:color w:val="auto"/>
              </w:rPr>
            </w:pPr>
          </w:p>
        </w:tc>
        <w:tc>
          <w:tcPr>
            <w:tcW w:w="20" w:type="dxa"/>
            <w:vAlign w:val="bottom"/>
            <w:tcBorders>
              <w:bottom w:val="single" w:sz="8" w:color="E2E2E2"/>
            </w:tcBorders>
          </w:tcPr>
          <w:p>
            <w:pPr>
              <w:spacing w:after="0"/>
              <w:rPr>
                <w:sz w:val="13"/>
                <w:szCs w:val="13"/>
                <w:color w:val="auto"/>
              </w:rPr>
            </w:pPr>
          </w:p>
        </w:tc>
        <w:tc>
          <w:tcPr>
            <w:tcW w:w="11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Borders>
              <w:bottom w:val="single" w:sz="8" w:color="E2E2E2"/>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00" w:type="dxa"/>
            <w:vAlign w:val="bottom"/>
            <w:tcBorders>
              <w:bottom w:val="single" w:sz="8" w:color="E2E2E2"/>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Borders>
              <w:bottom w:val="single" w:sz="8" w:color="E2E2E2"/>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00" w:type="dxa"/>
            <w:vAlign w:val="bottom"/>
            <w:tcBorders>
              <w:bottom w:val="single" w:sz="8" w:color="E2E2E2"/>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Comprehensive Loss</w:t>
            </w:r>
          </w:p>
        </w:tc>
        <w:tc>
          <w:tcPr>
            <w:tcW w:w="100" w:type="dxa"/>
            <w:vAlign w:val="bottom"/>
            <w:tcBorders>
              <w:bottom w:val="single" w:sz="8" w:color="E2E2E2"/>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00" w:type="dxa"/>
            <w:vAlign w:val="bottom"/>
            <w:tcBorders>
              <w:bottom w:val="single" w:sz="8" w:color="E2E2E2"/>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47"/>
        </w:trPr>
        <w:tc>
          <w:tcPr>
            <w:tcW w:w="22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2"/>
                <w:szCs w:val="12"/>
                <w:b w:val="1"/>
                <w:bCs w:val="1"/>
                <w:color w:val="auto"/>
              </w:rPr>
              <w:t>Balance at March 31, 2023</w:t>
            </w:r>
          </w:p>
        </w:tc>
        <w:tc>
          <w:tcPr>
            <w:tcW w:w="600" w:type="dxa"/>
            <w:vAlign w:val="bottom"/>
            <w:shd w:val="clear" w:color="auto" w:fill="E2E2E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shd w:val="clear" w:color="auto" w:fill="E2E2E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191,754,292</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1,918</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674,179</w:t>
            </w: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310,315</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jc w:val="right"/>
              <w:ind w:right="58"/>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(20,784)</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1,187</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966,815</w:t>
            </w:r>
          </w:p>
        </w:tc>
      </w:tr>
      <w:tr>
        <w:trPr>
          <w:trHeight w:val="152"/>
        </w:trPr>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Net income</w:t>
            </w:r>
          </w:p>
        </w:tc>
        <w:tc>
          <w:tcPr>
            <w:tcW w:w="6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152,697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152,888</w:t>
            </w:r>
          </w:p>
        </w:tc>
      </w:tr>
      <w:tr>
        <w:trPr>
          <w:trHeight w:val="152"/>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Employee stock purchase plan issuances</w:t>
            </w:r>
          </w:p>
        </w:tc>
        <w:tc>
          <w:tcPr>
            <w:tcW w:w="600" w:type="dxa"/>
            <w:vAlign w:val="bottom"/>
            <w:shd w:val="clear" w:color="auto" w:fill="E2E2E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80" w:type="dxa"/>
            <w:vAlign w:val="bottom"/>
            <w:shd w:val="clear" w:color="auto" w:fill="E2E2E2"/>
          </w:tcPr>
          <w:p>
            <w:pPr>
              <w:spacing w:after="0"/>
              <w:rPr>
                <w:sz w:val="13"/>
                <w:szCs w:val="13"/>
                <w:color w:val="auto"/>
              </w:rPr>
            </w:pPr>
          </w:p>
        </w:tc>
        <w:tc>
          <w:tcPr>
            <w:tcW w:w="620" w:type="dxa"/>
            <w:vAlign w:val="bottom"/>
            <w:shd w:val="clear" w:color="auto" w:fill="E2E2E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144,226</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100" w:type="dxa"/>
            <w:vAlign w:val="bottom"/>
            <w:shd w:val="clear" w:color="auto" w:fill="E2E2E2"/>
          </w:tcPr>
          <w:p>
            <w:pPr>
              <w:spacing w:after="0"/>
              <w:rPr>
                <w:sz w:val="13"/>
                <w:szCs w:val="13"/>
                <w:color w:val="auto"/>
              </w:rPr>
            </w:pPr>
          </w:p>
        </w:tc>
        <w:tc>
          <w:tcPr>
            <w:tcW w:w="62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40" w:type="dxa"/>
            <w:vAlign w:val="bottom"/>
            <w:shd w:val="clear" w:color="auto" w:fill="E2E2E2"/>
          </w:tcPr>
          <w:p>
            <w:pPr>
              <w:spacing w:after="0"/>
              <w:rPr>
                <w:sz w:val="13"/>
                <w:szCs w:val="13"/>
                <w:color w:val="auto"/>
              </w:rPr>
            </w:pPr>
          </w:p>
        </w:tc>
        <w:tc>
          <w:tcPr>
            <w:tcW w:w="74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3,634</w:t>
            </w:r>
          </w:p>
        </w:tc>
        <w:tc>
          <w:tcPr>
            <w:tcW w:w="8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80" w:type="dxa"/>
            <w:vAlign w:val="bottom"/>
            <w:shd w:val="clear" w:color="auto" w:fill="E2E2E2"/>
          </w:tcPr>
          <w:p>
            <w:pPr>
              <w:spacing w:after="0"/>
              <w:rPr>
                <w:sz w:val="13"/>
                <w:szCs w:val="13"/>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100" w:type="dxa"/>
            <w:vAlign w:val="bottom"/>
            <w:shd w:val="clear" w:color="auto" w:fill="E2E2E2"/>
          </w:tcPr>
          <w:p>
            <w:pPr>
              <w:spacing w:after="0"/>
              <w:rPr>
                <w:sz w:val="13"/>
                <w:szCs w:val="13"/>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100" w:type="dxa"/>
            <w:vAlign w:val="bottom"/>
            <w:shd w:val="clear" w:color="auto" w:fill="E2E2E2"/>
          </w:tcPr>
          <w:p>
            <w:pPr>
              <w:spacing w:after="0"/>
              <w:rPr>
                <w:sz w:val="13"/>
                <w:szCs w:val="13"/>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3,635</w:t>
            </w:r>
          </w:p>
        </w:tc>
      </w:tr>
      <w:tr>
        <w:trPr>
          <w:trHeight w:val="141"/>
        </w:trPr>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Stock-based compensation, net 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forfeitures and restricted stock vested</w:t>
            </w:r>
          </w:p>
        </w:tc>
        <w:tc>
          <w:tcPr>
            <w:tcW w:w="6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1,266,091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42,419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42,432</w:t>
            </w:r>
          </w:p>
        </w:tc>
      </w:tr>
      <w:tr>
        <w:trPr>
          <w:trHeight w:val="141"/>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Payments of taxes withheld on net</w:t>
            </w:r>
          </w:p>
        </w:tc>
        <w:tc>
          <w:tcPr>
            <w:tcW w:w="6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spacing w:after="0"/>
              <w:rPr>
                <w:sz w:val="12"/>
                <w:szCs w:val="12"/>
                <w:color w:val="auto"/>
              </w:rPr>
            </w:pPr>
          </w:p>
        </w:tc>
      </w:tr>
      <w:tr>
        <w:trPr>
          <w:trHeight w:val="149"/>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settlement of equity awards</w:t>
            </w:r>
          </w:p>
        </w:tc>
        <w:tc>
          <w:tcPr>
            <w:tcW w:w="600" w:type="dxa"/>
            <w:vAlign w:val="bottom"/>
            <w:shd w:val="clear" w:color="auto" w:fill="E2E2E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(25,900)</w:t>
            </w: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(25,900)</w:t>
            </w:r>
          </w:p>
        </w:tc>
      </w:tr>
      <w:tr>
        <w:trPr>
          <w:trHeight w:val="152"/>
        </w:trPr>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6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(7,720)</w:t>
            </w:r>
          </w:p>
        </w:tc>
      </w:tr>
      <w:tr>
        <w:trPr>
          <w:trHeight w:val="141"/>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Net actuarial loss on amortization of net</w:t>
            </w:r>
          </w:p>
        </w:tc>
        <w:tc>
          <w:tcPr>
            <w:tcW w:w="6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spacing w:after="0"/>
              <w:rPr>
                <w:sz w:val="12"/>
                <w:szCs w:val="12"/>
                <w:color w:val="auto"/>
              </w:rPr>
            </w:pPr>
          </w:p>
        </w:tc>
      </w:tr>
      <w:tr>
        <w:trPr>
          <w:trHeight w:val="138"/>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transition obligation and prior service</w:t>
            </w:r>
          </w:p>
        </w:tc>
        <w:tc>
          <w:tcPr>
            <w:tcW w:w="6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spacing w:after="0"/>
              <w:rPr>
                <w:sz w:val="12"/>
                <w:szCs w:val="12"/>
                <w:color w:val="auto"/>
              </w:rPr>
            </w:pPr>
          </w:p>
        </w:tc>
      </w:tr>
      <w:tr>
        <w:trPr>
          <w:trHeight w:val="138"/>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costs related to defined benefit plans, net</w:t>
            </w:r>
          </w:p>
        </w:tc>
        <w:tc>
          <w:tcPr>
            <w:tcW w:w="6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spacing w:after="0"/>
              <w:rPr>
                <w:sz w:val="12"/>
                <w:szCs w:val="12"/>
                <w:color w:val="auto"/>
              </w:rPr>
            </w:pPr>
          </w:p>
        </w:tc>
      </w:tr>
      <w:tr>
        <w:trPr>
          <w:trHeight w:val="149"/>
        </w:trPr>
        <w:tc>
          <w:tcPr>
            <w:tcW w:w="226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of tax</w:t>
            </w:r>
          </w:p>
        </w:tc>
        <w:tc>
          <w:tcPr>
            <w:tcW w:w="20" w:type="dxa"/>
            <w:vAlign w:val="bottom"/>
            <w:tcBorders>
              <w:bottom w:val="single" w:sz="8" w:color="auto"/>
            </w:tcBorders>
            <w:shd w:val="clear" w:color="auto" w:fill="E2E2E2"/>
          </w:tcPr>
          <w:p>
            <w:pPr>
              <w:spacing w:after="0"/>
              <w:rPr>
                <w:sz w:val="12"/>
                <w:szCs w:val="12"/>
                <w:color w:val="auto"/>
              </w:rPr>
            </w:pPr>
          </w:p>
        </w:tc>
        <w:tc>
          <w:tcPr>
            <w:tcW w:w="600" w:type="dxa"/>
            <w:vAlign w:val="bottom"/>
            <w:tcBorders>
              <w:bottom w:val="single" w:sz="8" w:color="auto"/>
            </w:tcBorders>
            <w:shd w:val="clear" w:color="auto" w:fill="E2E2E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80" w:type="dxa"/>
            <w:vAlign w:val="bottom"/>
            <w:tcBorders>
              <w:bottom w:val="single" w:sz="8" w:color="auto"/>
            </w:tcBorders>
            <w:shd w:val="clear" w:color="auto" w:fill="E2E2E2"/>
          </w:tcPr>
          <w:p>
            <w:pPr>
              <w:spacing w:after="0"/>
              <w:rPr>
                <w:sz w:val="12"/>
                <w:szCs w:val="12"/>
                <w:color w:val="auto"/>
              </w:rPr>
            </w:pPr>
          </w:p>
        </w:tc>
        <w:tc>
          <w:tcPr>
            <w:tcW w:w="620" w:type="dxa"/>
            <w:vAlign w:val="bottom"/>
            <w:tcBorders>
              <w:bottom w:val="single" w:sz="8" w:color="auto"/>
            </w:tcBorders>
            <w:shd w:val="clear" w:color="auto" w:fill="E2E2E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100" w:type="dxa"/>
            <w:vAlign w:val="bottom"/>
            <w:tcBorders>
              <w:bottom w:val="single" w:sz="8" w:color="auto"/>
            </w:tcBorders>
            <w:shd w:val="clear" w:color="auto" w:fill="E2E2E2"/>
          </w:tcPr>
          <w:p>
            <w:pPr>
              <w:spacing w:after="0"/>
              <w:rPr>
                <w:sz w:val="12"/>
                <w:szCs w:val="12"/>
                <w:color w:val="auto"/>
              </w:rPr>
            </w:pPr>
          </w:p>
        </w:tc>
        <w:tc>
          <w:tcPr>
            <w:tcW w:w="620" w:type="dxa"/>
            <w:vAlign w:val="bottom"/>
            <w:tcBorders>
              <w:bottom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40" w:type="dxa"/>
            <w:vAlign w:val="bottom"/>
            <w:tcBorders>
              <w:bottom w:val="single" w:sz="8" w:color="auto"/>
            </w:tcBorders>
            <w:shd w:val="clear" w:color="auto" w:fill="E2E2E2"/>
          </w:tcPr>
          <w:p>
            <w:pPr>
              <w:spacing w:after="0"/>
              <w:rPr>
                <w:sz w:val="12"/>
                <w:szCs w:val="12"/>
                <w:color w:val="auto"/>
              </w:rPr>
            </w:pPr>
          </w:p>
        </w:tc>
        <w:tc>
          <w:tcPr>
            <w:tcW w:w="740" w:type="dxa"/>
            <w:vAlign w:val="bottom"/>
            <w:tcBorders>
              <w:bottom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80" w:type="dxa"/>
            <w:vAlign w:val="bottom"/>
            <w:tcBorders>
              <w:bottom w:val="single" w:sz="8" w:color="auto"/>
            </w:tcBorders>
            <w:shd w:val="clear" w:color="auto" w:fill="E2E2E2"/>
          </w:tcPr>
          <w:p>
            <w:pPr>
              <w:spacing w:after="0"/>
              <w:rPr>
                <w:sz w:val="12"/>
                <w:szCs w:val="12"/>
                <w:color w:val="auto"/>
              </w:rPr>
            </w:pPr>
          </w:p>
        </w:tc>
        <w:tc>
          <w:tcPr>
            <w:tcW w:w="7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140" w:type="dxa"/>
            <w:vAlign w:val="bottom"/>
            <w:tcBorders>
              <w:bottom w:val="single" w:sz="8" w:color="auto"/>
            </w:tcBorders>
            <w:shd w:val="clear" w:color="auto" w:fill="E2E2E2"/>
          </w:tcPr>
          <w:p>
            <w:pPr>
              <w:spacing w:after="0"/>
              <w:rPr>
                <w:sz w:val="12"/>
                <w:szCs w:val="12"/>
                <w:color w:val="auto"/>
              </w:rPr>
            </w:pPr>
          </w:p>
        </w:tc>
        <w:tc>
          <w:tcPr>
            <w:tcW w:w="10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(434)</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100" w:type="dxa"/>
            <w:vAlign w:val="bottom"/>
            <w:tcBorders>
              <w:bottom w:val="single" w:sz="8" w:color="auto"/>
            </w:tcBorders>
            <w:shd w:val="clear" w:color="auto" w:fill="E2E2E2"/>
          </w:tcPr>
          <w:p>
            <w:pPr>
              <w:spacing w:after="0"/>
              <w:rPr>
                <w:sz w:val="12"/>
                <w:szCs w:val="12"/>
                <w:color w:val="auto"/>
              </w:rPr>
            </w:pPr>
          </w:p>
        </w:tc>
        <w:tc>
          <w:tcPr>
            <w:tcW w:w="8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100" w:type="dxa"/>
            <w:vAlign w:val="bottom"/>
            <w:tcBorders>
              <w:bottom w:val="single" w:sz="8" w:color="auto"/>
            </w:tcBorders>
            <w:shd w:val="clear" w:color="auto" w:fill="E2E2E2"/>
          </w:tcPr>
          <w:p>
            <w:pPr>
              <w:spacing w:after="0"/>
              <w:rPr>
                <w:sz w:val="12"/>
                <w:szCs w:val="12"/>
                <w:color w:val="auto"/>
              </w:rPr>
            </w:pPr>
          </w:p>
        </w:tc>
        <w:tc>
          <w:tcPr>
            <w:tcW w:w="6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(434)</w:t>
            </w:r>
          </w:p>
        </w:tc>
      </w:tr>
      <w:tr>
        <w:trPr>
          <w:trHeight w:val="187"/>
        </w:trPr>
        <w:tc>
          <w:tcPr>
            <w:tcW w:w="2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at March 29, 2024</w:t>
            </w:r>
          </w:p>
        </w:tc>
        <w:tc>
          <w:tcPr>
            <w:tcW w:w="20" w:type="dxa"/>
            <w:vAlign w:val="bottom"/>
          </w:tcPr>
          <w:p>
            <w:pPr>
              <w:spacing w:after="0"/>
              <w:rPr>
                <w:sz w:val="16"/>
                <w:szCs w:val="16"/>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00" w:type="dxa"/>
            <w:vAlign w:val="bottom"/>
            <w:gridSpan w:val="2"/>
          </w:tcPr>
          <w:p>
            <w:pPr>
              <w:jc w:val="right"/>
              <w:ind w:right="1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193,164,609</w:t>
            </w:r>
          </w:p>
        </w:tc>
        <w:tc>
          <w:tcPr>
            <w:tcW w:w="100" w:type="dxa"/>
            <w:vAlign w:val="bottom"/>
          </w:tcPr>
          <w:p>
            <w:pPr>
              <w:spacing w:after="0"/>
              <w:rPr>
                <w:sz w:val="16"/>
                <w:szCs w:val="16"/>
                <w:color w:val="auto"/>
              </w:rPr>
            </w:pPr>
          </w:p>
        </w:tc>
        <w:tc>
          <w:tcPr>
            <w:tcW w:w="120" w:type="dxa"/>
            <w:vAlign w:val="bottom"/>
            <w:gridSpan w:val="2"/>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1,932</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694,332</w:t>
            </w: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463,012</w:t>
            </w:r>
          </w:p>
        </w:tc>
        <w:tc>
          <w:tcPr>
            <w:tcW w:w="260" w:type="dxa"/>
            <w:vAlign w:val="bottom"/>
            <w:gridSpan w:val="3"/>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(28,841)</w:t>
            </w:r>
          </w:p>
        </w:tc>
        <w:tc>
          <w:tcPr>
            <w:tcW w:w="220" w:type="dxa"/>
            <w:vAlign w:val="bottom"/>
            <w:gridSpan w:val="3"/>
          </w:tcPr>
          <w:p>
            <w:pPr>
              <w:jc w:val="right"/>
              <w:ind w:right="3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w:t>
            </w: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1,131,716</w:t>
            </w:r>
          </w:p>
        </w:tc>
      </w:tr>
      <w:tr>
        <w:trPr>
          <w:trHeight w:val="137"/>
        </w:trPr>
        <w:tc>
          <w:tcPr>
            <w:tcW w:w="2260" w:type="dxa"/>
            <w:vAlign w:val="bottom"/>
            <w:tcBorders>
              <w:top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Net (loss) income</w:t>
            </w:r>
          </w:p>
        </w:tc>
        <w:tc>
          <w:tcPr>
            <w:tcW w:w="20" w:type="dxa"/>
            <w:vAlign w:val="bottom"/>
            <w:tcBorders>
              <w:top w:val="single" w:sz="8" w:color="auto"/>
            </w:tcBorders>
            <w:shd w:val="clear" w:color="auto" w:fill="E2E2E2"/>
          </w:tcPr>
          <w:p>
            <w:pPr>
              <w:spacing w:after="0"/>
              <w:rPr>
                <w:sz w:val="11"/>
                <w:szCs w:val="11"/>
                <w:color w:val="auto"/>
              </w:rPr>
            </w:pPr>
          </w:p>
        </w:tc>
        <w:tc>
          <w:tcPr>
            <w:tcW w:w="600" w:type="dxa"/>
            <w:vAlign w:val="bottom"/>
            <w:tcBorders>
              <w:top w:val="single" w:sz="8" w:color="auto"/>
            </w:tcBorders>
            <w:shd w:val="clear" w:color="auto" w:fill="E2E2E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E2E2E2"/>
            </w:tcBorders>
            <w:shd w:val="clear" w:color="auto" w:fill="E2E2E2"/>
          </w:tcPr>
          <w:p>
            <w:pPr>
              <w:spacing w:after="0"/>
              <w:rPr>
                <w:sz w:val="11"/>
                <w:szCs w:val="11"/>
                <w:color w:val="auto"/>
              </w:rPr>
            </w:pPr>
          </w:p>
        </w:tc>
        <w:tc>
          <w:tcPr>
            <w:tcW w:w="20" w:type="dxa"/>
            <w:vAlign w:val="bottom"/>
            <w:tcBorders>
              <w:top w:val="single" w:sz="8" w:color="auto"/>
            </w:tcBorders>
            <w:shd w:val="clear" w:color="auto" w:fill="E2E2E2"/>
          </w:tcPr>
          <w:p>
            <w:pPr>
              <w:spacing w:after="0"/>
              <w:rPr>
                <w:sz w:val="11"/>
                <w:szCs w:val="11"/>
                <w:color w:val="auto"/>
              </w:rPr>
            </w:pPr>
          </w:p>
        </w:tc>
        <w:tc>
          <w:tcPr>
            <w:tcW w:w="80" w:type="dxa"/>
            <w:vAlign w:val="bottom"/>
            <w:tcBorders>
              <w:top w:val="single" w:sz="8" w:color="auto"/>
            </w:tcBorders>
            <w:shd w:val="clear" w:color="auto" w:fill="E2E2E2"/>
          </w:tcPr>
          <w:p>
            <w:pPr>
              <w:spacing w:after="0"/>
              <w:rPr>
                <w:sz w:val="11"/>
                <w:szCs w:val="11"/>
                <w:color w:val="auto"/>
              </w:rPr>
            </w:pPr>
          </w:p>
        </w:tc>
        <w:tc>
          <w:tcPr>
            <w:tcW w:w="620" w:type="dxa"/>
            <w:vAlign w:val="bottom"/>
            <w:tcBorders>
              <w:top w:val="single" w:sz="8" w:color="auto"/>
            </w:tcBorders>
            <w:shd w:val="clear" w:color="auto" w:fill="E2E2E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E2E2E2"/>
            </w:tcBorders>
            <w:shd w:val="clear" w:color="auto" w:fill="E2E2E2"/>
          </w:tcPr>
          <w:p>
            <w:pPr>
              <w:spacing w:after="0"/>
              <w:rPr>
                <w:sz w:val="11"/>
                <w:szCs w:val="11"/>
                <w:color w:val="auto"/>
              </w:rPr>
            </w:pPr>
          </w:p>
        </w:tc>
        <w:tc>
          <w:tcPr>
            <w:tcW w:w="20" w:type="dxa"/>
            <w:vAlign w:val="bottom"/>
            <w:tcBorders>
              <w:top w:val="single" w:sz="8" w:color="auto"/>
            </w:tcBorders>
            <w:shd w:val="clear" w:color="auto" w:fill="E2E2E2"/>
          </w:tcPr>
          <w:p>
            <w:pPr>
              <w:spacing w:after="0"/>
              <w:rPr>
                <w:sz w:val="11"/>
                <w:szCs w:val="11"/>
                <w:color w:val="auto"/>
              </w:rPr>
            </w:pPr>
          </w:p>
        </w:tc>
        <w:tc>
          <w:tcPr>
            <w:tcW w:w="110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E2E2E2"/>
            </w:tcBorders>
            <w:shd w:val="clear" w:color="auto" w:fill="E2E2E2"/>
          </w:tcPr>
          <w:p>
            <w:pPr>
              <w:spacing w:after="0"/>
              <w:rPr>
                <w:sz w:val="11"/>
                <w:szCs w:val="11"/>
                <w:color w:val="auto"/>
              </w:rPr>
            </w:pPr>
          </w:p>
        </w:tc>
        <w:tc>
          <w:tcPr>
            <w:tcW w:w="20" w:type="dxa"/>
            <w:vAlign w:val="bottom"/>
            <w:tcBorders>
              <w:top w:val="single" w:sz="8" w:color="auto"/>
            </w:tcBorders>
            <w:shd w:val="clear" w:color="auto" w:fill="E2E2E2"/>
          </w:tcPr>
          <w:p>
            <w:pPr>
              <w:spacing w:after="0"/>
              <w:rPr>
                <w:sz w:val="11"/>
                <w:szCs w:val="11"/>
                <w:color w:val="auto"/>
              </w:rPr>
            </w:pPr>
          </w:p>
        </w:tc>
        <w:tc>
          <w:tcPr>
            <w:tcW w:w="100" w:type="dxa"/>
            <w:vAlign w:val="bottom"/>
            <w:tcBorders>
              <w:top w:val="single" w:sz="8" w:color="auto"/>
            </w:tcBorders>
            <w:shd w:val="clear" w:color="auto" w:fill="E2E2E2"/>
          </w:tcPr>
          <w:p>
            <w:pPr>
              <w:spacing w:after="0"/>
              <w:rPr>
                <w:sz w:val="11"/>
                <w:szCs w:val="11"/>
                <w:color w:val="auto"/>
              </w:rPr>
            </w:pPr>
          </w:p>
        </w:tc>
        <w:tc>
          <w:tcPr>
            <w:tcW w:w="620" w:type="dxa"/>
            <w:vAlign w:val="bottom"/>
            <w:tcBorders>
              <w:top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E2E2E2"/>
            </w:tcBorders>
            <w:shd w:val="clear" w:color="auto" w:fill="E2E2E2"/>
          </w:tcPr>
          <w:p>
            <w:pPr>
              <w:spacing w:after="0"/>
              <w:rPr>
                <w:sz w:val="11"/>
                <w:szCs w:val="11"/>
                <w:color w:val="auto"/>
              </w:rPr>
            </w:pPr>
          </w:p>
        </w:tc>
        <w:tc>
          <w:tcPr>
            <w:tcW w:w="20" w:type="dxa"/>
            <w:vAlign w:val="bottom"/>
            <w:tcBorders>
              <w:top w:val="single" w:sz="8" w:color="auto"/>
            </w:tcBorders>
            <w:shd w:val="clear" w:color="auto" w:fill="E2E2E2"/>
          </w:tcPr>
          <w:p>
            <w:pPr>
              <w:spacing w:after="0"/>
              <w:rPr>
                <w:sz w:val="11"/>
                <w:szCs w:val="11"/>
                <w:color w:val="auto"/>
              </w:rPr>
            </w:pPr>
          </w:p>
        </w:tc>
        <w:tc>
          <w:tcPr>
            <w:tcW w:w="40" w:type="dxa"/>
            <w:vAlign w:val="bottom"/>
            <w:tcBorders>
              <w:top w:val="single" w:sz="8" w:color="auto"/>
            </w:tcBorders>
            <w:shd w:val="clear" w:color="auto" w:fill="E2E2E2"/>
          </w:tcPr>
          <w:p>
            <w:pPr>
              <w:spacing w:after="0"/>
              <w:rPr>
                <w:sz w:val="11"/>
                <w:szCs w:val="11"/>
                <w:color w:val="auto"/>
              </w:rPr>
            </w:pPr>
          </w:p>
        </w:tc>
        <w:tc>
          <w:tcPr>
            <w:tcW w:w="740" w:type="dxa"/>
            <w:vAlign w:val="bottom"/>
            <w:tcBorders>
              <w:top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E2E2E2"/>
            </w:tcBorders>
            <w:shd w:val="clear" w:color="auto" w:fill="E2E2E2"/>
          </w:tcPr>
          <w:p>
            <w:pPr>
              <w:spacing w:after="0"/>
              <w:rPr>
                <w:sz w:val="11"/>
                <w:szCs w:val="11"/>
                <w:color w:val="auto"/>
              </w:rPr>
            </w:pPr>
          </w:p>
        </w:tc>
        <w:tc>
          <w:tcPr>
            <w:tcW w:w="20" w:type="dxa"/>
            <w:vAlign w:val="bottom"/>
            <w:tcBorders>
              <w:top w:val="single" w:sz="8" w:color="auto"/>
            </w:tcBorders>
            <w:shd w:val="clear" w:color="auto" w:fill="E2E2E2"/>
          </w:tcPr>
          <w:p>
            <w:pPr>
              <w:spacing w:after="0"/>
              <w:rPr>
                <w:sz w:val="11"/>
                <w:szCs w:val="11"/>
                <w:color w:val="auto"/>
              </w:rPr>
            </w:pPr>
          </w:p>
        </w:tc>
        <w:tc>
          <w:tcPr>
            <w:tcW w:w="80" w:type="dxa"/>
            <w:vAlign w:val="bottom"/>
            <w:tcBorders>
              <w:top w:val="single" w:sz="8" w:color="auto"/>
            </w:tcBorders>
            <w:shd w:val="clear" w:color="auto" w:fill="E2E2E2"/>
          </w:tcPr>
          <w:p>
            <w:pPr>
              <w:spacing w:after="0"/>
              <w:rPr>
                <w:sz w:val="11"/>
                <w:szCs w:val="11"/>
                <w:color w:val="auto"/>
              </w:rPr>
            </w:pPr>
          </w:p>
        </w:tc>
        <w:tc>
          <w:tcPr>
            <w:tcW w:w="70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(73,010)</w:t>
            </w:r>
          </w:p>
        </w:tc>
        <w:tc>
          <w:tcPr>
            <w:tcW w:w="100" w:type="dxa"/>
            <w:vAlign w:val="bottom"/>
            <w:tcBorders>
              <w:top w:val="single" w:sz="8" w:color="E2E2E2"/>
            </w:tcBorders>
            <w:shd w:val="clear" w:color="auto" w:fill="E2E2E2"/>
          </w:tcPr>
          <w:p>
            <w:pPr>
              <w:spacing w:after="0"/>
              <w:rPr>
                <w:sz w:val="11"/>
                <w:szCs w:val="11"/>
                <w:color w:val="auto"/>
              </w:rPr>
            </w:pPr>
          </w:p>
        </w:tc>
        <w:tc>
          <w:tcPr>
            <w:tcW w:w="20" w:type="dxa"/>
            <w:vAlign w:val="bottom"/>
            <w:tcBorders>
              <w:top w:val="single" w:sz="8" w:color="auto"/>
            </w:tcBorders>
            <w:shd w:val="clear" w:color="auto" w:fill="E2E2E2"/>
          </w:tcPr>
          <w:p>
            <w:pPr>
              <w:spacing w:after="0"/>
              <w:rPr>
                <w:sz w:val="11"/>
                <w:szCs w:val="11"/>
                <w:color w:val="auto"/>
              </w:rPr>
            </w:pPr>
          </w:p>
        </w:tc>
        <w:tc>
          <w:tcPr>
            <w:tcW w:w="140" w:type="dxa"/>
            <w:vAlign w:val="bottom"/>
            <w:tcBorders>
              <w:top w:val="single" w:sz="8" w:color="auto"/>
            </w:tcBorders>
            <w:shd w:val="clear" w:color="auto" w:fill="E2E2E2"/>
          </w:tcPr>
          <w:p>
            <w:pPr>
              <w:spacing w:after="0"/>
              <w:rPr>
                <w:sz w:val="11"/>
                <w:szCs w:val="11"/>
                <w:color w:val="auto"/>
              </w:rPr>
            </w:pPr>
          </w:p>
        </w:tc>
        <w:tc>
          <w:tcPr>
            <w:tcW w:w="106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E2E2E2"/>
            </w:tcBorders>
            <w:shd w:val="clear" w:color="auto" w:fill="E2E2E2"/>
          </w:tcPr>
          <w:p>
            <w:pPr>
              <w:spacing w:after="0"/>
              <w:rPr>
                <w:sz w:val="11"/>
                <w:szCs w:val="11"/>
                <w:color w:val="auto"/>
              </w:rPr>
            </w:pPr>
          </w:p>
        </w:tc>
        <w:tc>
          <w:tcPr>
            <w:tcW w:w="20" w:type="dxa"/>
            <w:vAlign w:val="bottom"/>
            <w:tcBorders>
              <w:top w:val="single" w:sz="8" w:color="auto"/>
            </w:tcBorders>
            <w:shd w:val="clear" w:color="auto" w:fill="E2E2E2"/>
          </w:tcPr>
          <w:p>
            <w:pPr>
              <w:spacing w:after="0"/>
              <w:rPr>
                <w:sz w:val="11"/>
                <w:szCs w:val="11"/>
                <w:color w:val="auto"/>
              </w:rPr>
            </w:pPr>
          </w:p>
        </w:tc>
        <w:tc>
          <w:tcPr>
            <w:tcW w:w="100" w:type="dxa"/>
            <w:vAlign w:val="bottom"/>
            <w:tcBorders>
              <w:top w:val="single" w:sz="8" w:color="auto"/>
            </w:tcBorders>
            <w:shd w:val="clear" w:color="auto" w:fill="E2E2E2"/>
          </w:tcPr>
          <w:p>
            <w:pPr>
              <w:spacing w:after="0"/>
              <w:rPr>
                <w:sz w:val="11"/>
                <w:szCs w:val="11"/>
                <w:color w:val="auto"/>
              </w:rPr>
            </w:pPr>
          </w:p>
        </w:tc>
        <w:tc>
          <w:tcPr>
            <w:tcW w:w="82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100" w:type="dxa"/>
            <w:vAlign w:val="bottom"/>
            <w:tcBorders>
              <w:top w:val="single" w:sz="8" w:color="E2E2E2"/>
            </w:tcBorders>
            <w:shd w:val="clear" w:color="auto" w:fill="E2E2E2"/>
          </w:tcPr>
          <w:p>
            <w:pPr>
              <w:spacing w:after="0"/>
              <w:rPr>
                <w:sz w:val="11"/>
                <w:szCs w:val="11"/>
                <w:color w:val="auto"/>
              </w:rPr>
            </w:pPr>
          </w:p>
        </w:tc>
        <w:tc>
          <w:tcPr>
            <w:tcW w:w="20" w:type="dxa"/>
            <w:vAlign w:val="bottom"/>
            <w:tcBorders>
              <w:top w:val="single" w:sz="8" w:color="auto"/>
            </w:tcBorders>
            <w:shd w:val="clear" w:color="auto" w:fill="E2E2E2"/>
          </w:tcPr>
          <w:p>
            <w:pPr>
              <w:spacing w:after="0"/>
              <w:rPr>
                <w:sz w:val="11"/>
                <w:szCs w:val="11"/>
                <w:color w:val="auto"/>
              </w:rPr>
            </w:pPr>
          </w:p>
        </w:tc>
        <w:tc>
          <w:tcPr>
            <w:tcW w:w="100" w:type="dxa"/>
            <w:vAlign w:val="bottom"/>
            <w:tcBorders>
              <w:top w:val="single" w:sz="8" w:color="auto"/>
            </w:tcBorders>
            <w:shd w:val="clear" w:color="auto" w:fill="E2E2E2"/>
          </w:tcPr>
          <w:p>
            <w:pPr>
              <w:spacing w:after="0"/>
              <w:rPr>
                <w:sz w:val="11"/>
                <w:szCs w:val="11"/>
                <w:color w:val="auto"/>
              </w:rPr>
            </w:pPr>
          </w:p>
        </w:tc>
        <w:tc>
          <w:tcPr>
            <w:tcW w:w="68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(72,763)</w:t>
            </w:r>
          </w:p>
        </w:tc>
      </w:tr>
      <w:tr>
        <w:trPr>
          <w:trHeight w:val="152"/>
        </w:trPr>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Dividends to non-controlling interest</w:t>
            </w:r>
          </w:p>
        </w:tc>
        <w:tc>
          <w:tcPr>
            <w:tcW w:w="6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52"/>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Employee stock purchase plan issuances</w:t>
            </w:r>
          </w:p>
        </w:tc>
        <w:tc>
          <w:tcPr>
            <w:tcW w:w="600" w:type="dxa"/>
            <w:vAlign w:val="bottom"/>
            <w:shd w:val="clear" w:color="auto" w:fill="E2E2E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80" w:type="dxa"/>
            <w:vAlign w:val="bottom"/>
            <w:shd w:val="clear" w:color="auto" w:fill="E2E2E2"/>
          </w:tcPr>
          <w:p>
            <w:pPr>
              <w:spacing w:after="0"/>
              <w:rPr>
                <w:sz w:val="13"/>
                <w:szCs w:val="13"/>
                <w:color w:val="auto"/>
              </w:rPr>
            </w:pPr>
          </w:p>
        </w:tc>
        <w:tc>
          <w:tcPr>
            <w:tcW w:w="620" w:type="dxa"/>
            <w:vAlign w:val="bottom"/>
            <w:shd w:val="clear" w:color="auto" w:fill="E2E2E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164,756</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100" w:type="dxa"/>
            <w:vAlign w:val="bottom"/>
            <w:shd w:val="clear" w:color="auto" w:fill="E2E2E2"/>
          </w:tcPr>
          <w:p>
            <w:pPr>
              <w:spacing w:after="0"/>
              <w:rPr>
                <w:sz w:val="13"/>
                <w:szCs w:val="13"/>
                <w:color w:val="auto"/>
              </w:rPr>
            </w:pPr>
          </w:p>
        </w:tc>
        <w:tc>
          <w:tcPr>
            <w:tcW w:w="62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40" w:type="dxa"/>
            <w:vAlign w:val="bottom"/>
            <w:shd w:val="clear" w:color="auto" w:fill="E2E2E2"/>
          </w:tcPr>
          <w:p>
            <w:pPr>
              <w:spacing w:after="0"/>
              <w:rPr>
                <w:sz w:val="13"/>
                <w:szCs w:val="13"/>
                <w:color w:val="auto"/>
              </w:rPr>
            </w:pPr>
          </w:p>
        </w:tc>
        <w:tc>
          <w:tcPr>
            <w:tcW w:w="74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3,509</w:t>
            </w:r>
          </w:p>
        </w:tc>
        <w:tc>
          <w:tcPr>
            <w:tcW w:w="8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80" w:type="dxa"/>
            <w:vAlign w:val="bottom"/>
            <w:shd w:val="clear" w:color="auto" w:fill="E2E2E2"/>
          </w:tcPr>
          <w:p>
            <w:pPr>
              <w:spacing w:after="0"/>
              <w:rPr>
                <w:sz w:val="13"/>
                <w:szCs w:val="13"/>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100" w:type="dxa"/>
            <w:vAlign w:val="bottom"/>
            <w:shd w:val="clear" w:color="auto" w:fill="E2E2E2"/>
          </w:tcPr>
          <w:p>
            <w:pPr>
              <w:spacing w:after="0"/>
              <w:rPr>
                <w:sz w:val="13"/>
                <w:szCs w:val="13"/>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100" w:type="dxa"/>
            <w:vAlign w:val="bottom"/>
            <w:shd w:val="clear" w:color="auto" w:fill="E2E2E2"/>
          </w:tcPr>
          <w:p>
            <w:pPr>
              <w:spacing w:after="0"/>
              <w:rPr>
                <w:sz w:val="13"/>
                <w:szCs w:val="13"/>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3,511</w:t>
            </w:r>
          </w:p>
        </w:tc>
      </w:tr>
      <w:tr>
        <w:trPr>
          <w:trHeight w:val="141"/>
        </w:trPr>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Stock-based compensation, net 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forfeitures and restricted stock vested</w:t>
            </w:r>
          </w:p>
        </w:tc>
        <w:tc>
          <w:tcPr>
            <w:tcW w:w="6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974,517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41,793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41,802</w:t>
            </w:r>
          </w:p>
        </w:tc>
      </w:tr>
      <w:tr>
        <w:trPr>
          <w:trHeight w:val="141"/>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Issuance of common stock, net of</w:t>
            </w:r>
          </w:p>
        </w:tc>
        <w:tc>
          <w:tcPr>
            <w:tcW w:w="6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spacing w:after="0"/>
              <w:rPr>
                <w:sz w:val="12"/>
                <w:szCs w:val="12"/>
                <w:color w:val="auto"/>
              </w:rPr>
            </w:pPr>
          </w:p>
        </w:tc>
      </w:tr>
      <w:tr>
        <w:trPr>
          <w:trHeight w:val="149"/>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underwriting discounts</w:t>
            </w:r>
          </w:p>
        </w:tc>
        <w:tc>
          <w:tcPr>
            <w:tcW w:w="600" w:type="dxa"/>
            <w:vAlign w:val="bottom"/>
            <w:shd w:val="clear" w:color="auto" w:fill="E2E2E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28,750,000</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288</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665,562</w:t>
            </w: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665,850</w:t>
            </w:r>
          </w:p>
        </w:tc>
      </w:tr>
      <w:tr>
        <w:trPr>
          <w:trHeight w:val="152"/>
        </w:trPr>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6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(38,767,315)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(376,903)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(443,593)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(820,884)</w:t>
            </w:r>
          </w:p>
        </w:tc>
      </w:tr>
      <w:tr>
        <w:trPr>
          <w:trHeight w:val="141"/>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Payments of taxes withheld on net</w:t>
            </w:r>
          </w:p>
        </w:tc>
        <w:tc>
          <w:tcPr>
            <w:tcW w:w="6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spacing w:after="0"/>
              <w:rPr>
                <w:sz w:val="12"/>
                <w:szCs w:val="12"/>
                <w:color w:val="auto"/>
              </w:rPr>
            </w:pPr>
          </w:p>
        </w:tc>
      </w:tr>
      <w:tr>
        <w:trPr>
          <w:trHeight w:val="149"/>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settlement of equity awards</w:t>
            </w:r>
          </w:p>
        </w:tc>
        <w:tc>
          <w:tcPr>
            <w:tcW w:w="600" w:type="dxa"/>
            <w:vAlign w:val="bottom"/>
            <w:shd w:val="clear" w:color="auto" w:fill="E2E2E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(16,238)</w:t>
            </w: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(16,238)</w:t>
            </w:r>
          </w:p>
        </w:tc>
      </w:tr>
      <w:tr>
        <w:trPr>
          <w:trHeight w:val="152"/>
        </w:trPr>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6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(2,127)</w:t>
            </w:r>
          </w:p>
        </w:tc>
      </w:tr>
      <w:tr>
        <w:trPr>
          <w:trHeight w:val="141"/>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Net actuarial gain on amortization of net</w:t>
            </w:r>
          </w:p>
        </w:tc>
        <w:tc>
          <w:tcPr>
            <w:tcW w:w="6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spacing w:after="0"/>
              <w:rPr>
                <w:sz w:val="12"/>
                <w:szCs w:val="12"/>
                <w:color w:val="auto"/>
              </w:rPr>
            </w:pPr>
          </w:p>
        </w:tc>
      </w:tr>
      <w:tr>
        <w:trPr>
          <w:trHeight w:val="138"/>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transition obligation and prior service</w:t>
            </w:r>
          </w:p>
        </w:tc>
        <w:tc>
          <w:tcPr>
            <w:tcW w:w="6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spacing w:after="0"/>
              <w:rPr>
                <w:sz w:val="12"/>
                <w:szCs w:val="12"/>
                <w:color w:val="auto"/>
              </w:rPr>
            </w:pPr>
          </w:p>
        </w:tc>
      </w:tr>
      <w:tr>
        <w:trPr>
          <w:trHeight w:val="138"/>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costs related to defined benefit plans, net</w:t>
            </w:r>
          </w:p>
        </w:tc>
        <w:tc>
          <w:tcPr>
            <w:tcW w:w="6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spacing w:after="0"/>
              <w:rPr>
                <w:sz w:val="12"/>
                <w:szCs w:val="12"/>
                <w:color w:val="auto"/>
              </w:rPr>
            </w:pPr>
          </w:p>
        </w:tc>
      </w:tr>
      <w:tr>
        <w:trPr>
          <w:trHeight w:val="149"/>
        </w:trPr>
        <w:tc>
          <w:tcPr>
            <w:tcW w:w="226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of tax</w:t>
            </w:r>
          </w:p>
        </w:tc>
        <w:tc>
          <w:tcPr>
            <w:tcW w:w="20" w:type="dxa"/>
            <w:vAlign w:val="bottom"/>
            <w:tcBorders>
              <w:bottom w:val="single" w:sz="8" w:color="auto"/>
            </w:tcBorders>
            <w:shd w:val="clear" w:color="auto" w:fill="E2E2E2"/>
          </w:tcPr>
          <w:p>
            <w:pPr>
              <w:spacing w:after="0"/>
              <w:rPr>
                <w:sz w:val="12"/>
                <w:szCs w:val="12"/>
                <w:color w:val="auto"/>
              </w:rPr>
            </w:pPr>
          </w:p>
        </w:tc>
        <w:tc>
          <w:tcPr>
            <w:tcW w:w="600" w:type="dxa"/>
            <w:vAlign w:val="bottom"/>
            <w:tcBorders>
              <w:bottom w:val="single" w:sz="8" w:color="auto"/>
            </w:tcBorders>
            <w:shd w:val="clear" w:color="auto" w:fill="E2E2E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80" w:type="dxa"/>
            <w:vAlign w:val="bottom"/>
            <w:tcBorders>
              <w:bottom w:val="single" w:sz="8" w:color="auto"/>
            </w:tcBorders>
            <w:shd w:val="clear" w:color="auto" w:fill="E2E2E2"/>
          </w:tcPr>
          <w:p>
            <w:pPr>
              <w:spacing w:after="0"/>
              <w:rPr>
                <w:sz w:val="12"/>
                <w:szCs w:val="12"/>
                <w:color w:val="auto"/>
              </w:rPr>
            </w:pPr>
          </w:p>
        </w:tc>
        <w:tc>
          <w:tcPr>
            <w:tcW w:w="620" w:type="dxa"/>
            <w:vAlign w:val="bottom"/>
            <w:tcBorders>
              <w:bottom w:val="single" w:sz="8" w:color="auto"/>
            </w:tcBorders>
            <w:shd w:val="clear" w:color="auto" w:fill="E2E2E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100" w:type="dxa"/>
            <w:vAlign w:val="bottom"/>
            <w:tcBorders>
              <w:bottom w:val="single" w:sz="8" w:color="auto"/>
            </w:tcBorders>
            <w:shd w:val="clear" w:color="auto" w:fill="E2E2E2"/>
          </w:tcPr>
          <w:p>
            <w:pPr>
              <w:spacing w:after="0"/>
              <w:rPr>
                <w:sz w:val="12"/>
                <w:szCs w:val="12"/>
                <w:color w:val="auto"/>
              </w:rPr>
            </w:pPr>
          </w:p>
        </w:tc>
        <w:tc>
          <w:tcPr>
            <w:tcW w:w="620" w:type="dxa"/>
            <w:vAlign w:val="bottom"/>
            <w:tcBorders>
              <w:bottom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40" w:type="dxa"/>
            <w:vAlign w:val="bottom"/>
            <w:tcBorders>
              <w:bottom w:val="single" w:sz="8" w:color="auto"/>
            </w:tcBorders>
            <w:shd w:val="clear" w:color="auto" w:fill="E2E2E2"/>
          </w:tcPr>
          <w:p>
            <w:pPr>
              <w:spacing w:after="0"/>
              <w:rPr>
                <w:sz w:val="12"/>
                <w:szCs w:val="12"/>
                <w:color w:val="auto"/>
              </w:rPr>
            </w:pPr>
          </w:p>
        </w:tc>
        <w:tc>
          <w:tcPr>
            <w:tcW w:w="740" w:type="dxa"/>
            <w:vAlign w:val="bottom"/>
            <w:tcBorders>
              <w:bottom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80" w:type="dxa"/>
            <w:vAlign w:val="bottom"/>
            <w:tcBorders>
              <w:bottom w:val="single" w:sz="8" w:color="auto"/>
            </w:tcBorders>
            <w:shd w:val="clear" w:color="auto" w:fill="E2E2E2"/>
          </w:tcPr>
          <w:p>
            <w:pPr>
              <w:spacing w:after="0"/>
              <w:rPr>
                <w:sz w:val="12"/>
                <w:szCs w:val="12"/>
                <w:color w:val="auto"/>
              </w:rPr>
            </w:pPr>
          </w:p>
        </w:tc>
        <w:tc>
          <w:tcPr>
            <w:tcW w:w="7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140" w:type="dxa"/>
            <w:vAlign w:val="bottom"/>
            <w:tcBorders>
              <w:bottom w:val="single" w:sz="8" w:color="auto"/>
            </w:tcBorders>
            <w:shd w:val="clear" w:color="auto" w:fill="E2E2E2"/>
          </w:tcPr>
          <w:p>
            <w:pPr>
              <w:spacing w:after="0"/>
              <w:rPr>
                <w:sz w:val="12"/>
                <w:szCs w:val="12"/>
                <w:color w:val="auto"/>
              </w:rPr>
            </w:pPr>
          </w:p>
        </w:tc>
        <w:tc>
          <w:tcPr>
            <w:tcW w:w="10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100" w:type="dxa"/>
            <w:vAlign w:val="bottom"/>
            <w:tcBorders>
              <w:bottom w:val="single" w:sz="8" w:color="auto"/>
            </w:tcBorders>
            <w:shd w:val="clear" w:color="auto" w:fill="E2E2E2"/>
          </w:tcPr>
          <w:p>
            <w:pPr>
              <w:spacing w:after="0"/>
              <w:rPr>
                <w:sz w:val="12"/>
                <w:szCs w:val="12"/>
                <w:color w:val="auto"/>
              </w:rPr>
            </w:pPr>
          </w:p>
        </w:tc>
        <w:tc>
          <w:tcPr>
            <w:tcW w:w="8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100" w:type="dxa"/>
            <w:vAlign w:val="bottom"/>
            <w:tcBorders>
              <w:bottom w:val="single" w:sz="8" w:color="auto"/>
            </w:tcBorders>
            <w:shd w:val="clear" w:color="auto" w:fill="E2E2E2"/>
          </w:tcPr>
          <w:p>
            <w:pPr>
              <w:spacing w:after="0"/>
              <w:rPr>
                <w:sz w:val="12"/>
                <w:szCs w:val="12"/>
                <w:color w:val="auto"/>
              </w:rPr>
            </w:pPr>
          </w:p>
        </w:tc>
        <w:tc>
          <w:tcPr>
            <w:tcW w:w="6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252</w:t>
            </w:r>
          </w:p>
        </w:tc>
      </w:tr>
      <w:tr>
        <w:trPr>
          <w:trHeight w:val="187"/>
        </w:trPr>
        <w:tc>
          <w:tcPr>
            <w:tcW w:w="2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at March 28, 2025</w:t>
            </w:r>
          </w:p>
        </w:tc>
        <w:tc>
          <w:tcPr>
            <w:tcW w:w="20" w:type="dxa"/>
            <w:vAlign w:val="bottom"/>
          </w:tcPr>
          <w:p>
            <w:pPr>
              <w:spacing w:after="0"/>
              <w:rPr>
                <w:sz w:val="16"/>
                <w:szCs w:val="16"/>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00" w:type="dxa"/>
            <w:vAlign w:val="bottom"/>
            <w:gridSpan w:val="2"/>
          </w:tcPr>
          <w:p>
            <w:pPr>
              <w:jc w:val="right"/>
              <w:ind w:right="1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184,286,567</w:t>
            </w:r>
          </w:p>
        </w:tc>
        <w:tc>
          <w:tcPr>
            <w:tcW w:w="100" w:type="dxa"/>
            <w:vAlign w:val="bottom"/>
          </w:tcPr>
          <w:p>
            <w:pPr>
              <w:spacing w:after="0"/>
              <w:rPr>
                <w:sz w:val="16"/>
                <w:szCs w:val="16"/>
                <w:color w:val="auto"/>
              </w:rPr>
            </w:pPr>
          </w:p>
        </w:tc>
        <w:tc>
          <w:tcPr>
            <w:tcW w:w="120" w:type="dxa"/>
            <w:vAlign w:val="bottom"/>
            <w:gridSpan w:val="2"/>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1,843</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1,012,055</w:t>
            </w: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(53,591)</w:t>
            </w:r>
          </w:p>
        </w:tc>
        <w:tc>
          <w:tcPr>
            <w:tcW w:w="260" w:type="dxa"/>
            <w:vAlign w:val="bottom"/>
            <w:gridSpan w:val="3"/>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(30,752)</w:t>
            </w:r>
          </w:p>
        </w:tc>
        <w:tc>
          <w:tcPr>
            <w:tcW w:w="220" w:type="dxa"/>
            <w:vAlign w:val="bottom"/>
            <w:gridSpan w:val="3"/>
          </w:tcPr>
          <w:p>
            <w:pPr>
              <w:jc w:val="right"/>
              <w:ind w:right="3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1,545</w:t>
            </w: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931,100</w:t>
            </w:r>
          </w:p>
        </w:tc>
      </w:tr>
      <w:tr>
        <w:trPr>
          <w:trHeight w:val="137"/>
        </w:trPr>
        <w:tc>
          <w:tcPr>
            <w:tcW w:w="2260" w:type="dxa"/>
            <w:vAlign w:val="bottom"/>
            <w:tcBorders>
              <w:top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Net (loss) income</w:t>
            </w:r>
          </w:p>
        </w:tc>
        <w:tc>
          <w:tcPr>
            <w:tcW w:w="20" w:type="dxa"/>
            <w:vAlign w:val="bottom"/>
            <w:tcBorders>
              <w:top w:val="single" w:sz="8" w:color="auto"/>
            </w:tcBorders>
            <w:shd w:val="clear" w:color="auto" w:fill="E2E2E2"/>
          </w:tcPr>
          <w:p>
            <w:pPr>
              <w:spacing w:after="0"/>
              <w:rPr>
                <w:sz w:val="11"/>
                <w:szCs w:val="11"/>
                <w:color w:val="auto"/>
              </w:rPr>
            </w:pPr>
          </w:p>
        </w:tc>
        <w:tc>
          <w:tcPr>
            <w:tcW w:w="600" w:type="dxa"/>
            <w:vAlign w:val="bottom"/>
            <w:tcBorders>
              <w:top w:val="single" w:sz="8" w:color="auto"/>
            </w:tcBorders>
            <w:shd w:val="clear" w:color="auto" w:fill="E2E2E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E2E2E2"/>
            </w:tcBorders>
            <w:shd w:val="clear" w:color="auto" w:fill="E2E2E2"/>
          </w:tcPr>
          <w:p>
            <w:pPr>
              <w:spacing w:after="0"/>
              <w:rPr>
                <w:sz w:val="11"/>
                <w:szCs w:val="11"/>
                <w:color w:val="auto"/>
              </w:rPr>
            </w:pPr>
          </w:p>
        </w:tc>
        <w:tc>
          <w:tcPr>
            <w:tcW w:w="20" w:type="dxa"/>
            <w:vAlign w:val="bottom"/>
            <w:tcBorders>
              <w:top w:val="single" w:sz="8" w:color="auto"/>
            </w:tcBorders>
            <w:shd w:val="clear" w:color="auto" w:fill="E2E2E2"/>
          </w:tcPr>
          <w:p>
            <w:pPr>
              <w:spacing w:after="0"/>
              <w:rPr>
                <w:sz w:val="11"/>
                <w:szCs w:val="11"/>
                <w:color w:val="auto"/>
              </w:rPr>
            </w:pPr>
          </w:p>
        </w:tc>
        <w:tc>
          <w:tcPr>
            <w:tcW w:w="80" w:type="dxa"/>
            <w:vAlign w:val="bottom"/>
            <w:tcBorders>
              <w:top w:val="single" w:sz="8" w:color="auto"/>
            </w:tcBorders>
            <w:shd w:val="clear" w:color="auto" w:fill="E2E2E2"/>
          </w:tcPr>
          <w:p>
            <w:pPr>
              <w:spacing w:after="0"/>
              <w:rPr>
                <w:sz w:val="11"/>
                <w:szCs w:val="11"/>
                <w:color w:val="auto"/>
              </w:rPr>
            </w:pPr>
          </w:p>
        </w:tc>
        <w:tc>
          <w:tcPr>
            <w:tcW w:w="620" w:type="dxa"/>
            <w:vAlign w:val="bottom"/>
            <w:tcBorders>
              <w:top w:val="single" w:sz="8" w:color="auto"/>
            </w:tcBorders>
            <w:shd w:val="clear" w:color="auto" w:fill="E2E2E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E2E2E2"/>
            </w:tcBorders>
            <w:shd w:val="clear" w:color="auto" w:fill="E2E2E2"/>
          </w:tcPr>
          <w:p>
            <w:pPr>
              <w:spacing w:after="0"/>
              <w:rPr>
                <w:sz w:val="11"/>
                <w:szCs w:val="11"/>
                <w:color w:val="auto"/>
              </w:rPr>
            </w:pPr>
          </w:p>
        </w:tc>
        <w:tc>
          <w:tcPr>
            <w:tcW w:w="20" w:type="dxa"/>
            <w:vAlign w:val="bottom"/>
            <w:tcBorders>
              <w:top w:val="single" w:sz="8" w:color="auto"/>
            </w:tcBorders>
            <w:shd w:val="clear" w:color="auto" w:fill="E2E2E2"/>
          </w:tcPr>
          <w:p>
            <w:pPr>
              <w:spacing w:after="0"/>
              <w:rPr>
                <w:sz w:val="11"/>
                <w:szCs w:val="11"/>
                <w:color w:val="auto"/>
              </w:rPr>
            </w:pPr>
          </w:p>
        </w:tc>
        <w:tc>
          <w:tcPr>
            <w:tcW w:w="110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E2E2E2"/>
            </w:tcBorders>
            <w:shd w:val="clear" w:color="auto" w:fill="E2E2E2"/>
          </w:tcPr>
          <w:p>
            <w:pPr>
              <w:spacing w:after="0"/>
              <w:rPr>
                <w:sz w:val="11"/>
                <w:szCs w:val="11"/>
                <w:color w:val="auto"/>
              </w:rPr>
            </w:pPr>
          </w:p>
        </w:tc>
        <w:tc>
          <w:tcPr>
            <w:tcW w:w="20" w:type="dxa"/>
            <w:vAlign w:val="bottom"/>
            <w:tcBorders>
              <w:top w:val="single" w:sz="8" w:color="auto"/>
            </w:tcBorders>
            <w:shd w:val="clear" w:color="auto" w:fill="E2E2E2"/>
          </w:tcPr>
          <w:p>
            <w:pPr>
              <w:spacing w:after="0"/>
              <w:rPr>
                <w:sz w:val="11"/>
                <w:szCs w:val="11"/>
                <w:color w:val="auto"/>
              </w:rPr>
            </w:pPr>
          </w:p>
        </w:tc>
        <w:tc>
          <w:tcPr>
            <w:tcW w:w="100" w:type="dxa"/>
            <w:vAlign w:val="bottom"/>
            <w:tcBorders>
              <w:top w:val="single" w:sz="8" w:color="auto"/>
            </w:tcBorders>
            <w:shd w:val="clear" w:color="auto" w:fill="E2E2E2"/>
          </w:tcPr>
          <w:p>
            <w:pPr>
              <w:spacing w:after="0"/>
              <w:rPr>
                <w:sz w:val="11"/>
                <w:szCs w:val="11"/>
                <w:color w:val="auto"/>
              </w:rPr>
            </w:pPr>
          </w:p>
        </w:tc>
        <w:tc>
          <w:tcPr>
            <w:tcW w:w="620" w:type="dxa"/>
            <w:vAlign w:val="bottom"/>
            <w:tcBorders>
              <w:top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E2E2E2"/>
            </w:tcBorders>
            <w:shd w:val="clear" w:color="auto" w:fill="E2E2E2"/>
          </w:tcPr>
          <w:p>
            <w:pPr>
              <w:spacing w:after="0"/>
              <w:rPr>
                <w:sz w:val="11"/>
                <w:szCs w:val="11"/>
                <w:color w:val="auto"/>
              </w:rPr>
            </w:pPr>
          </w:p>
        </w:tc>
        <w:tc>
          <w:tcPr>
            <w:tcW w:w="20" w:type="dxa"/>
            <w:vAlign w:val="bottom"/>
            <w:tcBorders>
              <w:top w:val="single" w:sz="8" w:color="auto"/>
            </w:tcBorders>
            <w:shd w:val="clear" w:color="auto" w:fill="E2E2E2"/>
          </w:tcPr>
          <w:p>
            <w:pPr>
              <w:spacing w:after="0"/>
              <w:rPr>
                <w:sz w:val="11"/>
                <w:szCs w:val="11"/>
                <w:color w:val="auto"/>
              </w:rPr>
            </w:pPr>
          </w:p>
        </w:tc>
        <w:tc>
          <w:tcPr>
            <w:tcW w:w="40" w:type="dxa"/>
            <w:vAlign w:val="bottom"/>
            <w:tcBorders>
              <w:top w:val="single" w:sz="8" w:color="auto"/>
            </w:tcBorders>
            <w:shd w:val="clear" w:color="auto" w:fill="E2E2E2"/>
          </w:tcPr>
          <w:p>
            <w:pPr>
              <w:spacing w:after="0"/>
              <w:rPr>
                <w:sz w:val="11"/>
                <w:szCs w:val="11"/>
                <w:color w:val="auto"/>
              </w:rPr>
            </w:pPr>
          </w:p>
        </w:tc>
        <w:tc>
          <w:tcPr>
            <w:tcW w:w="740" w:type="dxa"/>
            <w:vAlign w:val="bottom"/>
            <w:tcBorders>
              <w:top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E2E2E2"/>
            </w:tcBorders>
            <w:shd w:val="clear" w:color="auto" w:fill="E2E2E2"/>
          </w:tcPr>
          <w:p>
            <w:pPr>
              <w:spacing w:after="0"/>
              <w:rPr>
                <w:sz w:val="11"/>
                <w:szCs w:val="11"/>
                <w:color w:val="auto"/>
              </w:rPr>
            </w:pPr>
          </w:p>
        </w:tc>
        <w:tc>
          <w:tcPr>
            <w:tcW w:w="20" w:type="dxa"/>
            <w:vAlign w:val="bottom"/>
            <w:tcBorders>
              <w:top w:val="single" w:sz="8" w:color="auto"/>
            </w:tcBorders>
            <w:shd w:val="clear" w:color="auto" w:fill="E2E2E2"/>
          </w:tcPr>
          <w:p>
            <w:pPr>
              <w:spacing w:after="0"/>
              <w:rPr>
                <w:sz w:val="11"/>
                <w:szCs w:val="11"/>
                <w:color w:val="auto"/>
              </w:rPr>
            </w:pPr>
          </w:p>
        </w:tc>
        <w:tc>
          <w:tcPr>
            <w:tcW w:w="80" w:type="dxa"/>
            <w:vAlign w:val="bottom"/>
            <w:tcBorders>
              <w:top w:val="single" w:sz="8" w:color="auto"/>
            </w:tcBorders>
            <w:shd w:val="clear" w:color="auto" w:fill="E2E2E2"/>
          </w:tcPr>
          <w:p>
            <w:pPr>
              <w:spacing w:after="0"/>
              <w:rPr>
                <w:sz w:val="11"/>
                <w:szCs w:val="11"/>
                <w:color w:val="auto"/>
              </w:rPr>
            </w:pPr>
          </w:p>
        </w:tc>
        <w:tc>
          <w:tcPr>
            <w:tcW w:w="70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(14,897)</w:t>
            </w:r>
          </w:p>
        </w:tc>
        <w:tc>
          <w:tcPr>
            <w:tcW w:w="100" w:type="dxa"/>
            <w:vAlign w:val="bottom"/>
            <w:tcBorders>
              <w:top w:val="single" w:sz="8" w:color="E2E2E2"/>
            </w:tcBorders>
            <w:shd w:val="clear" w:color="auto" w:fill="E2E2E2"/>
          </w:tcPr>
          <w:p>
            <w:pPr>
              <w:spacing w:after="0"/>
              <w:rPr>
                <w:sz w:val="11"/>
                <w:szCs w:val="11"/>
                <w:color w:val="auto"/>
              </w:rPr>
            </w:pPr>
          </w:p>
        </w:tc>
        <w:tc>
          <w:tcPr>
            <w:tcW w:w="20" w:type="dxa"/>
            <w:vAlign w:val="bottom"/>
            <w:tcBorders>
              <w:top w:val="single" w:sz="8" w:color="auto"/>
            </w:tcBorders>
            <w:shd w:val="clear" w:color="auto" w:fill="E2E2E2"/>
          </w:tcPr>
          <w:p>
            <w:pPr>
              <w:spacing w:after="0"/>
              <w:rPr>
                <w:sz w:val="11"/>
                <w:szCs w:val="11"/>
                <w:color w:val="auto"/>
              </w:rPr>
            </w:pPr>
          </w:p>
        </w:tc>
        <w:tc>
          <w:tcPr>
            <w:tcW w:w="140" w:type="dxa"/>
            <w:vAlign w:val="bottom"/>
            <w:tcBorders>
              <w:top w:val="single" w:sz="8" w:color="auto"/>
            </w:tcBorders>
            <w:shd w:val="clear" w:color="auto" w:fill="E2E2E2"/>
          </w:tcPr>
          <w:p>
            <w:pPr>
              <w:spacing w:after="0"/>
              <w:rPr>
                <w:sz w:val="11"/>
                <w:szCs w:val="11"/>
                <w:color w:val="auto"/>
              </w:rPr>
            </w:pPr>
          </w:p>
        </w:tc>
        <w:tc>
          <w:tcPr>
            <w:tcW w:w="106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E2E2E2"/>
            </w:tcBorders>
            <w:shd w:val="clear" w:color="auto" w:fill="E2E2E2"/>
          </w:tcPr>
          <w:p>
            <w:pPr>
              <w:spacing w:after="0"/>
              <w:rPr>
                <w:sz w:val="11"/>
                <w:szCs w:val="11"/>
                <w:color w:val="auto"/>
              </w:rPr>
            </w:pPr>
          </w:p>
        </w:tc>
        <w:tc>
          <w:tcPr>
            <w:tcW w:w="20" w:type="dxa"/>
            <w:vAlign w:val="bottom"/>
            <w:tcBorders>
              <w:top w:val="single" w:sz="8" w:color="auto"/>
            </w:tcBorders>
            <w:shd w:val="clear" w:color="auto" w:fill="E2E2E2"/>
          </w:tcPr>
          <w:p>
            <w:pPr>
              <w:spacing w:after="0"/>
              <w:rPr>
                <w:sz w:val="11"/>
                <w:szCs w:val="11"/>
                <w:color w:val="auto"/>
              </w:rPr>
            </w:pPr>
          </w:p>
        </w:tc>
        <w:tc>
          <w:tcPr>
            <w:tcW w:w="100" w:type="dxa"/>
            <w:vAlign w:val="bottom"/>
            <w:tcBorders>
              <w:top w:val="single" w:sz="8" w:color="auto"/>
            </w:tcBorders>
            <w:shd w:val="clear" w:color="auto" w:fill="E2E2E2"/>
          </w:tcPr>
          <w:p>
            <w:pPr>
              <w:spacing w:after="0"/>
              <w:rPr>
                <w:sz w:val="11"/>
                <w:szCs w:val="11"/>
                <w:color w:val="auto"/>
              </w:rPr>
            </w:pPr>
          </w:p>
        </w:tc>
        <w:tc>
          <w:tcPr>
            <w:tcW w:w="82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100" w:type="dxa"/>
            <w:vAlign w:val="bottom"/>
            <w:tcBorders>
              <w:top w:val="single" w:sz="8" w:color="E2E2E2"/>
            </w:tcBorders>
            <w:shd w:val="clear" w:color="auto" w:fill="E2E2E2"/>
          </w:tcPr>
          <w:p>
            <w:pPr>
              <w:spacing w:after="0"/>
              <w:rPr>
                <w:sz w:val="11"/>
                <w:szCs w:val="11"/>
                <w:color w:val="auto"/>
              </w:rPr>
            </w:pPr>
          </w:p>
        </w:tc>
        <w:tc>
          <w:tcPr>
            <w:tcW w:w="20" w:type="dxa"/>
            <w:vAlign w:val="bottom"/>
            <w:tcBorders>
              <w:top w:val="single" w:sz="8" w:color="auto"/>
            </w:tcBorders>
            <w:shd w:val="clear" w:color="auto" w:fill="E2E2E2"/>
          </w:tcPr>
          <w:p>
            <w:pPr>
              <w:spacing w:after="0"/>
              <w:rPr>
                <w:sz w:val="11"/>
                <w:szCs w:val="11"/>
                <w:color w:val="auto"/>
              </w:rPr>
            </w:pPr>
          </w:p>
        </w:tc>
        <w:tc>
          <w:tcPr>
            <w:tcW w:w="100" w:type="dxa"/>
            <w:vAlign w:val="bottom"/>
            <w:tcBorders>
              <w:top w:val="single" w:sz="8" w:color="auto"/>
            </w:tcBorders>
            <w:shd w:val="clear" w:color="auto" w:fill="E2E2E2"/>
          </w:tcPr>
          <w:p>
            <w:pPr>
              <w:spacing w:after="0"/>
              <w:rPr>
                <w:sz w:val="11"/>
                <w:szCs w:val="11"/>
                <w:color w:val="auto"/>
              </w:rPr>
            </w:pPr>
          </w:p>
        </w:tc>
        <w:tc>
          <w:tcPr>
            <w:tcW w:w="68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(14,653)</w:t>
            </w:r>
          </w:p>
        </w:tc>
      </w:tr>
      <w:tr>
        <w:trPr>
          <w:trHeight w:val="152"/>
        </w:trPr>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Dividends to non-controlling interest</w:t>
            </w:r>
          </w:p>
        </w:tc>
        <w:tc>
          <w:tcPr>
            <w:tcW w:w="6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52"/>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Employee stock purchase plan issuances</w:t>
            </w:r>
          </w:p>
        </w:tc>
        <w:tc>
          <w:tcPr>
            <w:tcW w:w="600" w:type="dxa"/>
            <w:vAlign w:val="bottom"/>
            <w:shd w:val="clear" w:color="auto" w:fill="E2E2E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80" w:type="dxa"/>
            <w:vAlign w:val="bottom"/>
            <w:shd w:val="clear" w:color="auto" w:fill="E2E2E2"/>
          </w:tcPr>
          <w:p>
            <w:pPr>
              <w:spacing w:after="0"/>
              <w:rPr>
                <w:sz w:val="13"/>
                <w:szCs w:val="13"/>
                <w:color w:val="auto"/>
              </w:rPr>
            </w:pPr>
          </w:p>
        </w:tc>
        <w:tc>
          <w:tcPr>
            <w:tcW w:w="620" w:type="dxa"/>
            <w:vAlign w:val="bottom"/>
            <w:shd w:val="clear" w:color="auto" w:fill="E2E2E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162,153</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100" w:type="dxa"/>
            <w:vAlign w:val="bottom"/>
            <w:shd w:val="clear" w:color="auto" w:fill="E2E2E2"/>
          </w:tcPr>
          <w:p>
            <w:pPr>
              <w:spacing w:after="0"/>
              <w:rPr>
                <w:sz w:val="13"/>
                <w:szCs w:val="13"/>
                <w:color w:val="auto"/>
              </w:rPr>
            </w:pPr>
          </w:p>
        </w:tc>
        <w:tc>
          <w:tcPr>
            <w:tcW w:w="62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40" w:type="dxa"/>
            <w:vAlign w:val="bottom"/>
            <w:shd w:val="clear" w:color="auto" w:fill="E2E2E2"/>
          </w:tcPr>
          <w:p>
            <w:pPr>
              <w:spacing w:after="0"/>
              <w:rPr>
                <w:sz w:val="13"/>
                <w:szCs w:val="13"/>
                <w:color w:val="auto"/>
              </w:rPr>
            </w:pPr>
          </w:p>
        </w:tc>
        <w:tc>
          <w:tcPr>
            <w:tcW w:w="74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3,335</w:t>
            </w:r>
          </w:p>
        </w:tc>
        <w:tc>
          <w:tcPr>
            <w:tcW w:w="8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80" w:type="dxa"/>
            <w:vAlign w:val="bottom"/>
            <w:shd w:val="clear" w:color="auto" w:fill="E2E2E2"/>
          </w:tcPr>
          <w:p>
            <w:pPr>
              <w:spacing w:after="0"/>
              <w:rPr>
                <w:sz w:val="13"/>
                <w:szCs w:val="13"/>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100" w:type="dxa"/>
            <w:vAlign w:val="bottom"/>
            <w:shd w:val="clear" w:color="auto" w:fill="E2E2E2"/>
          </w:tcPr>
          <w:p>
            <w:pPr>
              <w:spacing w:after="0"/>
              <w:rPr>
                <w:sz w:val="13"/>
                <w:szCs w:val="13"/>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100" w:type="dxa"/>
            <w:vAlign w:val="bottom"/>
            <w:shd w:val="clear" w:color="auto" w:fill="E2E2E2"/>
          </w:tcPr>
          <w:p>
            <w:pPr>
              <w:spacing w:after="0"/>
              <w:rPr>
                <w:sz w:val="13"/>
                <w:szCs w:val="13"/>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3,337</w:t>
            </w:r>
          </w:p>
        </w:tc>
      </w:tr>
      <w:tr>
        <w:trPr>
          <w:trHeight w:val="141"/>
        </w:trPr>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Stock-based compensation, net 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forfeitures and restricted stock vested</w:t>
            </w:r>
          </w:p>
        </w:tc>
        <w:tc>
          <w:tcPr>
            <w:tcW w:w="6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908,623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47,804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47,813</w:t>
            </w:r>
          </w:p>
        </w:tc>
      </w:tr>
      <w:tr>
        <w:trPr>
          <w:trHeight w:val="141"/>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Payments of taxes withheld on net</w:t>
            </w:r>
          </w:p>
        </w:tc>
        <w:tc>
          <w:tcPr>
            <w:tcW w:w="6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spacing w:after="0"/>
              <w:rPr>
                <w:sz w:val="12"/>
                <w:szCs w:val="12"/>
                <w:color w:val="auto"/>
              </w:rPr>
            </w:pPr>
          </w:p>
        </w:tc>
      </w:tr>
      <w:tr>
        <w:trPr>
          <w:trHeight w:val="149"/>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settlement of equity awards</w:t>
            </w:r>
          </w:p>
        </w:tc>
        <w:tc>
          <w:tcPr>
            <w:tcW w:w="600" w:type="dxa"/>
            <w:vAlign w:val="bottom"/>
            <w:shd w:val="clear" w:color="auto" w:fill="E2E2E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(12,612)</w:t>
            </w: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(12,612)</w:t>
            </w:r>
          </w:p>
        </w:tc>
      </w:tr>
      <w:tr>
        <w:trPr>
          <w:trHeight w:val="152"/>
        </w:trPr>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6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w:t>
            </w:r>
          </w:p>
        </w:tc>
      </w:tr>
      <w:tr>
        <w:trPr>
          <w:trHeight w:val="141"/>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Net actuarial gain on amortization of net</w:t>
            </w:r>
          </w:p>
        </w:tc>
        <w:tc>
          <w:tcPr>
            <w:tcW w:w="6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spacing w:after="0"/>
              <w:rPr>
                <w:sz w:val="12"/>
                <w:szCs w:val="12"/>
                <w:color w:val="auto"/>
              </w:rPr>
            </w:pPr>
          </w:p>
        </w:tc>
      </w:tr>
      <w:tr>
        <w:trPr>
          <w:trHeight w:val="138"/>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transition obligation and prior service</w:t>
            </w:r>
          </w:p>
        </w:tc>
        <w:tc>
          <w:tcPr>
            <w:tcW w:w="6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spacing w:after="0"/>
              <w:rPr>
                <w:sz w:val="12"/>
                <w:szCs w:val="12"/>
                <w:color w:val="auto"/>
              </w:rPr>
            </w:pPr>
          </w:p>
        </w:tc>
      </w:tr>
      <w:tr>
        <w:trPr>
          <w:trHeight w:val="138"/>
        </w:trPr>
        <w:tc>
          <w:tcPr>
            <w:tcW w:w="228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costs related to defined benefit plans, net</w:t>
            </w:r>
          </w:p>
        </w:tc>
        <w:tc>
          <w:tcPr>
            <w:tcW w:w="6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1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74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80" w:type="dxa"/>
            <w:vAlign w:val="bottom"/>
            <w:shd w:val="clear" w:color="auto" w:fill="E2E2E2"/>
          </w:tcPr>
          <w:p>
            <w:pPr>
              <w:spacing w:after="0"/>
              <w:rPr>
                <w:sz w:val="12"/>
                <w:szCs w:val="12"/>
                <w:color w:val="auto"/>
              </w:rPr>
            </w:pPr>
          </w:p>
        </w:tc>
        <w:tc>
          <w:tcPr>
            <w:tcW w:w="70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40" w:type="dxa"/>
            <w:vAlign w:val="bottom"/>
            <w:shd w:val="clear" w:color="auto" w:fill="E2E2E2"/>
          </w:tcPr>
          <w:p>
            <w:pPr>
              <w:spacing w:after="0"/>
              <w:rPr>
                <w:sz w:val="12"/>
                <w:szCs w:val="12"/>
                <w:color w:val="auto"/>
              </w:rPr>
            </w:pPr>
          </w:p>
        </w:tc>
        <w:tc>
          <w:tcPr>
            <w:tcW w:w="106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8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00" w:type="dxa"/>
            <w:vAlign w:val="bottom"/>
            <w:shd w:val="clear" w:color="auto" w:fill="E2E2E2"/>
          </w:tcPr>
          <w:p>
            <w:pPr>
              <w:spacing w:after="0"/>
              <w:rPr>
                <w:sz w:val="12"/>
                <w:szCs w:val="12"/>
                <w:color w:val="auto"/>
              </w:rPr>
            </w:pPr>
          </w:p>
        </w:tc>
        <w:tc>
          <w:tcPr>
            <w:tcW w:w="680" w:type="dxa"/>
            <w:vAlign w:val="bottom"/>
            <w:shd w:val="clear" w:color="auto" w:fill="E2E2E2"/>
          </w:tcPr>
          <w:p>
            <w:pPr>
              <w:spacing w:after="0"/>
              <w:rPr>
                <w:sz w:val="12"/>
                <w:szCs w:val="12"/>
                <w:color w:val="auto"/>
              </w:rPr>
            </w:pPr>
          </w:p>
        </w:tc>
      </w:tr>
      <w:tr>
        <w:trPr>
          <w:trHeight w:val="149"/>
        </w:trPr>
        <w:tc>
          <w:tcPr>
            <w:tcW w:w="226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12"/>
                <w:szCs w:val="12"/>
                <w:color w:val="auto"/>
              </w:rPr>
              <w:t>of tax</w:t>
            </w:r>
          </w:p>
        </w:tc>
        <w:tc>
          <w:tcPr>
            <w:tcW w:w="20" w:type="dxa"/>
            <w:vAlign w:val="bottom"/>
            <w:tcBorders>
              <w:bottom w:val="single" w:sz="8" w:color="auto"/>
            </w:tcBorders>
            <w:shd w:val="clear" w:color="auto" w:fill="E2E2E2"/>
          </w:tcPr>
          <w:p>
            <w:pPr>
              <w:spacing w:after="0"/>
              <w:rPr>
                <w:sz w:val="12"/>
                <w:szCs w:val="12"/>
                <w:color w:val="auto"/>
              </w:rPr>
            </w:pPr>
          </w:p>
        </w:tc>
        <w:tc>
          <w:tcPr>
            <w:tcW w:w="600" w:type="dxa"/>
            <w:vAlign w:val="bottom"/>
            <w:tcBorders>
              <w:bottom w:val="single" w:sz="8" w:color="auto"/>
            </w:tcBorders>
            <w:shd w:val="clear" w:color="auto" w:fill="E2E2E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80" w:type="dxa"/>
            <w:vAlign w:val="bottom"/>
            <w:tcBorders>
              <w:bottom w:val="single" w:sz="8" w:color="auto"/>
            </w:tcBorders>
            <w:shd w:val="clear" w:color="auto" w:fill="E2E2E2"/>
          </w:tcPr>
          <w:p>
            <w:pPr>
              <w:spacing w:after="0"/>
              <w:rPr>
                <w:sz w:val="12"/>
                <w:szCs w:val="12"/>
                <w:color w:val="auto"/>
              </w:rPr>
            </w:pPr>
          </w:p>
        </w:tc>
        <w:tc>
          <w:tcPr>
            <w:tcW w:w="620" w:type="dxa"/>
            <w:vAlign w:val="bottom"/>
            <w:tcBorders>
              <w:bottom w:val="single" w:sz="8" w:color="auto"/>
            </w:tcBorders>
            <w:shd w:val="clear" w:color="auto" w:fill="E2E2E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100" w:type="dxa"/>
            <w:vAlign w:val="bottom"/>
            <w:tcBorders>
              <w:bottom w:val="single" w:sz="8" w:color="auto"/>
            </w:tcBorders>
            <w:shd w:val="clear" w:color="auto" w:fill="E2E2E2"/>
          </w:tcPr>
          <w:p>
            <w:pPr>
              <w:spacing w:after="0"/>
              <w:rPr>
                <w:sz w:val="12"/>
                <w:szCs w:val="12"/>
                <w:color w:val="auto"/>
              </w:rPr>
            </w:pPr>
          </w:p>
        </w:tc>
        <w:tc>
          <w:tcPr>
            <w:tcW w:w="620" w:type="dxa"/>
            <w:vAlign w:val="bottom"/>
            <w:tcBorders>
              <w:bottom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40" w:type="dxa"/>
            <w:vAlign w:val="bottom"/>
            <w:tcBorders>
              <w:bottom w:val="single" w:sz="8" w:color="auto"/>
            </w:tcBorders>
            <w:shd w:val="clear" w:color="auto" w:fill="E2E2E2"/>
          </w:tcPr>
          <w:p>
            <w:pPr>
              <w:spacing w:after="0"/>
              <w:rPr>
                <w:sz w:val="12"/>
                <w:szCs w:val="12"/>
                <w:color w:val="auto"/>
              </w:rPr>
            </w:pPr>
          </w:p>
        </w:tc>
        <w:tc>
          <w:tcPr>
            <w:tcW w:w="740" w:type="dxa"/>
            <w:vAlign w:val="bottom"/>
            <w:tcBorders>
              <w:bottom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80" w:type="dxa"/>
            <w:vAlign w:val="bottom"/>
            <w:tcBorders>
              <w:bottom w:val="single" w:sz="8" w:color="auto"/>
            </w:tcBorders>
            <w:shd w:val="clear" w:color="auto" w:fill="E2E2E2"/>
          </w:tcPr>
          <w:p>
            <w:pPr>
              <w:spacing w:after="0"/>
              <w:rPr>
                <w:sz w:val="12"/>
                <w:szCs w:val="12"/>
                <w:color w:val="auto"/>
              </w:rPr>
            </w:pPr>
          </w:p>
        </w:tc>
        <w:tc>
          <w:tcPr>
            <w:tcW w:w="7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140" w:type="dxa"/>
            <w:vAlign w:val="bottom"/>
            <w:tcBorders>
              <w:bottom w:val="single" w:sz="8" w:color="auto"/>
            </w:tcBorders>
            <w:shd w:val="clear" w:color="auto" w:fill="E2E2E2"/>
          </w:tcPr>
          <w:p>
            <w:pPr>
              <w:spacing w:after="0"/>
              <w:rPr>
                <w:sz w:val="12"/>
                <w:szCs w:val="12"/>
                <w:color w:val="auto"/>
              </w:rPr>
            </w:pPr>
          </w:p>
        </w:tc>
        <w:tc>
          <w:tcPr>
            <w:tcW w:w="10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1,076</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100" w:type="dxa"/>
            <w:vAlign w:val="bottom"/>
            <w:tcBorders>
              <w:bottom w:val="single" w:sz="8" w:color="auto"/>
            </w:tcBorders>
            <w:shd w:val="clear" w:color="auto" w:fill="E2E2E2"/>
          </w:tcPr>
          <w:p>
            <w:pPr>
              <w:spacing w:after="0"/>
              <w:rPr>
                <w:sz w:val="12"/>
                <w:szCs w:val="12"/>
                <w:color w:val="auto"/>
              </w:rPr>
            </w:pPr>
          </w:p>
        </w:tc>
        <w:tc>
          <w:tcPr>
            <w:tcW w:w="8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E2E2E2"/>
            </w:tcBorders>
            <w:shd w:val="clear" w:color="auto" w:fill="E2E2E2"/>
          </w:tcPr>
          <w:p>
            <w:pPr>
              <w:spacing w:after="0"/>
              <w:rPr>
                <w:sz w:val="12"/>
                <w:szCs w:val="12"/>
                <w:color w:val="auto"/>
              </w:rPr>
            </w:pPr>
          </w:p>
        </w:tc>
        <w:tc>
          <w:tcPr>
            <w:tcW w:w="20" w:type="dxa"/>
            <w:vAlign w:val="bottom"/>
            <w:tcBorders>
              <w:bottom w:val="single" w:sz="8" w:color="auto"/>
            </w:tcBorders>
            <w:shd w:val="clear" w:color="auto" w:fill="E2E2E2"/>
          </w:tcPr>
          <w:p>
            <w:pPr>
              <w:spacing w:after="0"/>
              <w:rPr>
                <w:sz w:val="12"/>
                <w:szCs w:val="12"/>
                <w:color w:val="auto"/>
              </w:rPr>
            </w:pPr>
          </w:p>
        </w:tc>
        <w:tc>
          <w:tcPr>
            <w:tcW w:w="100" w:type="dxa"/>
            <w:vAlign w:val="bottom"/>
            <w:tcBorders>
              <w:bottom w:val="single" w:sz="8" w:color="auto"/>
            </w:tcBorders>
            <w:shd w:val="clear" w:color="auto" w:fill="E2E2E2"/>
          </w:tcPr>
          <w:p>
            <w:pPr>
              <w:spacing w:after="0"/>
              <w:rPr>
                <w:sz w:val="12"/>
                <w:szCs w:val="12"/>
                <w:color w:val="auto"/>
              </w:rPr>
            </w:pPr>
          </w:p>
        </w:tc>
        <w:tc>
          <w:tcPr>
            <w:tcW w:w="6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auto"/>
              </w:rPr>
              <w:t>1,076</w:t>
            </w:r>
          </w:p>
        </w:tc>
      </w:tr>
      <w:tr>
        <w:trPr>
          <w:trHeight w:val="147"/>
        </w:trPr>
        <w:tc>
          <w:tcPr>
            <w:tcW w:w="2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at March 27, 2026</w:t>
            </w:r>
          </w:p>
        </w:tc>
        <w:tc>
          <w:tcPr>
            <w:tcW w:w="6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tcPr>
          <w:p>
            <w:pPr>
              <w:jc w:val="right"/>
              <w:ind w:right="15"/>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185,357,343</w:t>
            </w:r>
          </w:p>
        </w:tc>
        <w:tc>
          <w:tcPr>
            <w:tcW w:w="220" w:type="dxa"/>
            <w:vAlign w:val="bottom"/>
            <w:gridSpan w:val="3"/>
          </w:tcPr>
          <w:p>
            <w:pPr>
              <w:jc w:val="right"/>
              <w:ind w:right="35"/>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1,854</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1,050,582</w:t>
            </w: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(68,488)</w:t>
            </w:r>
          </w:p>
        </w:tc>
        <w:tc>
          <w:tcPr>
            <w:tcW w:w="260" w:type="dxa"/>
            <w:vAlign w:val="bottom"/>
            <w:gridSpan w:val="3"/>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(29,201)</w:t>
            </w:r>
          </w:p>
        </w:tc>
        <w:tc>
          <w:tcPr>
            <w:tcW w:w="220" w:type="dxa"/>
            <w:vAlign w:val="bottom"/>
            <w:gridSpan w:val="3"/>
          </w:tcPr>
          <w:p>
            <w:pPr>
              <w:jc w:val="right"/>
              <w:ind w:right="3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1,698</w:t>
            </w: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956,445</w:t>
            </w:r>
          </w:p>
        </w:tc>
      </w:tr>
      <w:tr>
        <w:trPr>
          <w:trHeight w:val="20"/>
        </w:trPr>
        <w:tc>
          <w:tcPr>
            <w:tcW w:w="2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1414780</wp:posOffset>
            </wp:positionH>
            <wp:positionV relativeFrom="paragraph">
              <wp:posOffset>-4417695</wp:posOffset>
            </wp:positionV>
            <wp:extent cx="225869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extLst>
                    </a:blip>
                    <a:srcRect/>
                    <a:stretch>
                      <a:fillRect/>
                    </a:stretch>
                  </pic:blipFill>
                  <pic:spPr bwMode="auto">
                    <a:xfrm>
                      <a:off x="0" y="0"/>
                      <a:ext cx="2258695" cy="3810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0800"/>
          </w:cols>
          <w:pgMar w:left="720" w:top="926" w:right="720" w:bottom="175"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340"/>
              <w:spacing w:after="0" w:line="174"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340"/>
              <w:spacing w:after="0" w:line="174"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240"/>
              <w:spacing w:after="0" w:line="174"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8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80" w:type="dxa"/>
            <w:vAlign w:val="bottom"/>
            <w:shd w:val="clear" w:color="auto" w:fill="E2E2E2"/>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shd w:val="clear" w:color="auto" w:fill="E2E2E2"/>
          </w:tcPr>
          <w:p>
            <w:pPr>
              <w:spacing w:after="0"/>
              <w:rPr>
                <w:sz w:val="16"/>
                <w:szCs w:val="16"/>
                <w:color w:val="auto"/>
              </w:rPr>
            </w:pPr>
          </w:p>
        </w:tc>
        <w:tc>
          <w:tcPr>
            <w:tcW w:w="1220" w:type="dxa"/>
            <w:vAlign w:val="bottom"/>
            <w:shd w:val="clear" w:color="auto" w:fill="E2E2E2"/>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1240" w:type="dxa"/>
            <w:vAlign w:val="bottom"/>
            <w:shd w:val="clear" w:color="auto" w:fill="E2E2E2"/>
          </w:tcPr>
          <w:p>
            <w:pPr>
              <w:spacing w:after="0"/>
              <w:rPr>
                <w:sz w:val="16"/>
                <w:szCs w:val="16"/>
                <w:color w:val="auto"/>
              </w:rPr>
            </w:pPr>
          </w:p>
        </w:tc>
        <w:tc>
          <w:tcPr>
            <w:tcW w:w="14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1140" w:type="dxa"/>
            <w:vAlign w:val="bottom"/>
            <w:shd w:val="clear" w:color="auto" w:fill="E2E2E2"/>
          </w:tcPr>
          <w:p>
            <w:pPr>
              <w:spacing w:after="0"/>
              <w:rPr>
                <w:sz w:val="16"/>
                <w:szCs w:val="16"/>
                <w:color w:val="auto"/>
              </w:rPr>
            </w:pPr>
          </w:p>
        </w:tc>
        <w:tc>
          <w:tcPr>
            <w:tcW w:w="60" w:type="dxa"/>
            <w:vAlign w:val="bottom"/>
            <w:shd w:val="clear" w:color="auto" w:fill="E2E2E2"/>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(14,653)</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(72,763)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spacing w:after="0"/>
              <w:rPr>
                <w:sz w:val="17"/>
                <w:szCs w:val="17"/>
                <w:color w:val="auto"/>
              </w:rPr>
            </w:pP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spacing w:after="0"/>
              <w:rPr>
                <w:sz w:val="17"/>
                <w:szCs w:val="17"/>
                <w:color w:val="auto"/>
              </w:rPr>
            </w:pP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14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67,593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64,502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2,245</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2,513</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6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(18,613)</w:t>
            </w: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47,910</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41,868</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42,457</w:t>
            </w:r>
          </w:p>
        </w:tc>
        <w:tc>
          <w:tcPr>
            <w:tcW w:w="6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change in fair value of forward repurchase contract</w:t>
            </w:r>
          </w:p>
        </w:tc>
        <w:tc>
          <w:tcPr>
            <w:tcW w:w="20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34,752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Impairment of assets held for sale</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6,590</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0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Provisions for inventory and expected credit losses</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10,011</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9,216</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10,286</w:t>
            </w:r>
          </w:p>
        </w:tc>
        <w:tc>
          <w:tcPr>
            <w:tcW w:w="6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marketable securities</w:t>
            </w:r>
          </w:p>
        </w:tc>
        <w:tc>
          <w:tcPr>
            <w:tcW w:w="20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Other non-cash reconciling items</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653</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6,984</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6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(9,201)</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33,081</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0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color w:val="auto"/>
              </w:rPr>
              <w:t>(7,964)</w:t>
            </w: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 other</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(30,160)</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0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color w:val="auto"/>
              </w:rPr>
              <w:t>(15,848)</w:t>
            </w: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to related party</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49,417</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(4,756)</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0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color w:val="auto"/>
              </w:rPr>
              <w:t>(40,231)</w:t>
            </w: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Trade accounts payable</w:t>
            </w:r>
          </w:p>
        </w:tc>
        <w:tc>
          <w:tcPr>
            <w:tcW w:w="20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5,996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4,044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(12,653)</w:t>
            </w: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Due to and from related party</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5,115</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5,231</w:t>
            </w:r>
          </w:p>
        </w:tc>
        <w:tc>
          <w:tcPr>
            <w:tcW w:w="6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8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16"/>
                <w:szCs w:val="16"/>
                <w:color w:val="auto"/>
              </w:rPr>
              <w:t>Other changes in operating assets and liabilities, net</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41,314</w:t>
            </w:r>
          </w:p>
        </w:tc>
        <w:tc>
          <w:tcPr>
            <w:tcW w:w="16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(16,337)</w:t>
            </w:r>
          </w:p>
        </w:tc>
        <w:tc>
          <w:tcPr>
            <w:tcW w:w="14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(21,579)</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auto"/>
            </w:tcBorders>
            <w:shd w:val="clear" w:color="auto" w:fill="E2E2E2"/>
          </w:tcPr>
          <w:p>
            <w:pPr>
              <w:spacing w:after="0"/>
              <w:rPr>
                <w:sz w:val="18"/>
                <w:szCs w:val="18"/>
                <w:color w:val="auto"/>
              </w:rPr>
            </w:pPr>
          </w:p>
        </w:tc>
        <w:tc>
          <w:tcPr>
            <w:tcW w:w="122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163,069</w:t>
            </w:r>
          </w:p>
        </w:tc>
        <w:tc>
          <w:tcPr>
            <w:tcW w:w="160" w:type="dxa"/>
            <w:vAlign w:val="bottom"/>
            <w:tcBorders>
              <w:bottom w:val="single" w:sz="8" w:color="E2E2E2"/>
            </w:tcBorders>
            <w:shd w:val="clear" w:color="auto" w:fill="E2E2E2"/>
          </w:tcPr>
          <w:p>
            <w:pPr>
              <w:spacing w:after="0"/>
              <w:rPr>
                <w:sz w:val="18"/>
                <w:szCs w:val="18"/>
                <w:color w:val="auto"/>
              </w:rPr>
            </w:pPr>
          </w:p>
        </w:tc>
        <w:tc>
          <w:tcPr>
            <w:tcW w:w="180" w:type="dxa"/>
            <w:vAlign w:val="bottom"/>
            <w:tcBorders>
              <w:bottom w:val="single" w:sz="8" w:color="auto"/>
            </w:tcBorders>
            <w:shd w:val="clear" w:color="auto" w:fill="E2E2E2"/>
          </w:tcPr>
          <w:p>
            <w:pPr>
              <w:spacing w:after="0"/>
              <w:rPr>
                <w:sz w:val="18"/>
                <w:szCs w:val="18"/>
                <w:color w:val="auto"/>
              </w:rPr>
            </w:pPr>
          </w:p>
        </w:tc>
        <w:tc>
          <w:tcPr>
            <w:tcW w:w="124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61,913</w:t>
            </w:r>
          </w:p>
        </w:tc>
        <w:tc>
          <w:tcPr>
            <w:tcW w:w="140" w:type="dxa"/>
            <w:vAlign w:val="bottom"/>
            <w:tcBorders>
              <w:bottom w:val="single" w:sz="8" w:color="E2E2E2"/>
            </w:tcBorders>
            <w:shd w:val="clear" w:color="auto" w:fill="E2E2E2"/>
          </w:tcPr>
          <w:p>
            <w:pPr>
              <w:spacing w:after="0"/>
              <w:rPr>
                <w:sz w:val="18"/>
                <w:szCs w:val="18"/>
                <w:color w:val="auto"/>
              </w:rPr>
            </w:pPr>
          </w:p>
        </w:tc>
        <w:tc>
          <w:tcPr>
            <w:tcW w:w="180" w:type="dxa"/>
            <w:vAlign w:val="bottom"/>
            <w:tcBorders>
              <w:bottom w:val="single" w:sz="8" w:color="auto"/>
            </w:tcBorders>
            <w:shd w:val="clear" w:color="auto" w:fill="E2E2E2"/>
          </w:tcPr>
          <w:p>
            <w:pPr>
              <w:spacing w:after="0"/>
              <w:rPr>
                <w:sz w:val="18"/>
                <w:szCs w:val="18"/>
                <w:color w:val="auto"/>
              </w:rPr>
            </w:pP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181,715</w:t>
            </w:r>
          </w:p>
        </w:tc>
        <w:tc>
          <w:tcPr>
            <w:tcW w:w="60" w:type="dxa"/>
            <w:vAlign w:val="bottom"/>
            <w:tcBorders>
              <w:bottom w:val="single" w:sz="8" w:color="auto"/>
            </w:tcBorders>
            <w:shd w:val="clear" w:color="auto" w:fill="E2E2E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28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(38,176)</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(39,955)</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0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color w:val="auto"/>
              </w:rPr>
              <w:t>(124,772)</w:t>
            </w: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20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Acquisition of business, net of cash acquired and working capital adjustment</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319</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0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color w:val="auto"/>
              </w:rPr>
              <w:t>(408,119)</w:t>
            </w: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in debt security</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28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Sales in marketable securities</w:t>
            </w:r>
          </w:p>
        </w:tc>
        <w:tc>
          <w:tcPr>
            <w:tcW w:w="200" w:type="dxa"/>
            <w:vAlign w:val="bottom"/>
            <w:tcBorders>
              <w:bottom w:val="single" w:sz="8" w:color="auto"/>
            </w:tcBorders>
            <w:shd w:val="clear" w:color="auto" w:fill="E2E2E2"/>
          </w:tcPr>
          <w:p>
            <w:pPr>
              <w:spacing w:after="0"/>
              <w:rPr>
                <w:sz w:val="18"/>
                <w:szCs w:val="18"/>
                <w:color w:val="auto"/>
              </w:rPr>
            </w:pPr>
          </w:p>
        </w:tc>
        <w:tc>
          <w:tcPr>
            <w:tcW w:w="122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2E2E2"/>
            </w:tcBorders>
            <w:shd w:val="clear" w:color="auto" w:fill="E2E2E2"/>
          </w:tcPr>
          <w:p>
            <w:pPr>
              <w:spacing w:after="0"/>
              <w:rPr>
                <w:sz w:val="18"/>
                <w:szCs w:val="18"/>
                <w:color w:val="auto"/>
              </w:rPr>
            </w:pPr>
          </w:p>
        </w:tc>
        <w:tc>
          <w:tcPr>
            <w:tcW w:w="180" w:type="dxa"/>
            <w:vAlign w:val="bottom"/>
            <w:tcBorders>
              <w:bottom w:val="single" w:sz="8" w:color="auto"/>
            </w:tcBorders>
            <w:shd w:val="clear" w:color="auto" w:fill="E2E2E2"/>
          </w:tcPr>
          <w:p>
            <w:pPr>
              <w:spacing w:after="0"/>
              <w:rPr>
                <w:sz w:val="18"/>
                <w:szCs w:val="18"/>
                <w:color w:val="auto"/>
              </w:rPr>
            </w:pPr>
          </w:p>
        </w:tc>
        <w:tc>
          <w:tcPr>
            <w:tcW w:w="124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E2E2E2"/>
            </w:tcBorders>
            <w:shd w:val="clear" w:color="auto" w:fill="E2E2E2"/>
          </w:tcPr>
          <w:p>
            <w:pPr>
              <w:spacing w:after="0"/>
              <w:rPr>
                <w:sz w:val="18"/>
                <w:szCs w:val="18"/>
                <w:color w:val="auto"/>
              </w:rPr>
            </w:pPr>
          </w:p>
        </w:tc>
        <w:tc>
          <w:tcPr>
            <w:tcW w:w="180" w:type="dxa"/>
            <w:vAlign w:val="bottom"/>
            <w:tcBorders>
              <w:bottom w:val="single" w:sz="8" w:color="auto"/>
            </w:tcBorders>
            <w:shd w:val="clear" w:color="auto" w:fill="E2E2E2"/>
          </w:tcPr>
          <w:p>
            <w:pPr>
              <w:spacing w:after="0"/>
              <w:rPr>
                <w:sz w:val="18"/>
                <w:szCs w:val="18"/>
                <w:color w:val="auto"/>
              </w:rPr>
            </w:pP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16,175</w:t>
            </w:r>
          </w:p>
        </w:tc>
        <w:tc>
          <w:tcPr>
            <w:tcW w:w="60" w:type="dxa"/>
            <w:vAlign w:val="bottom"/>
            <w:tcBorders>
              <w:bottom w:val="single" w:sz="8" w:color="auto"/>
            </w:tcBorders>
            <w:shd w:val="clear" w:color="auto" w:fill="E2E2E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280" w:type="dxa"/>
            <w:vAlign w:val="bottom"/>
            <w:tcBorders>
              <w:bottom w:val="single" w:sz="8" w:color="E2E2E2"/>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(41,717)</w:t>
            </w:r>
          </w:p>
        </w:tc>
        <w:tc>
          <w:tcPr>
            <w:tcW w:w="160" w:type="dxa"/>
            <w:vAlign w:val="bottom"/>
            <w:tcBorders>
              <w:bottom w:val="single" w:sz="8" w:color="E2E2E2"/>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(40,816)</w:t>
            </w:r>
          </w:p>
        </w:tc>
        <w:tc>
          <w:tcPr>
            <w:tcW w:w="140" w:type="dxa"/>
            <w:vAlign w:val="bottom"/>
            <w:tcBorders>
              <w:bottom w:val="single" w:sz="8" w:color="E2E2E2"/>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20"/>
              <w:spacing w:after="0" w:line="173" w:lineRule="exact"/>
              <w:rPr>
                <w:sz w:val="20"/>
                <w:szCs w:val="20"/>
                <w:color w:val="auto"/>
              </w:rPr>
            </w:pPr>
            <w:r>
              <w:rPr>
                <w:rFonts w:ascii="Times New Roman" w:cs="Times New Roman" w:eastAsia="Times New Roman" w:hAnsi="Times New Roman"/>
                <w:sz w:val="16"/>
                <w:szCs w:val="16"/>
                <w:color w:val="auto"/>
              </w:rPr>
              <w:t>(516,716)</w:t>
            </w:r>
          </w:p>
        </w:tc>
        <w:tc>
          <w:tcPr>
            <w:tcW w:w="0" w:type="dxa"/>
            <w:vAlign w:val="bottom"/>
          </w:tcPr>
          <w:p>
            <w:pPr>
              <w:spacing w:after="0"/>
              <w:rPr>
                <w:sz w:val="1"/>
                <w:szCs w:val="1"/>
                <w:color w:val="auto"/>
              </w:rPr>
            </w:pPr>
          </w:p>
        </w:tc>
      </w:tr>
      <w:tr>
        <w:trPr>
          <w:trHeight w:val="193"/>
        </w:trPr>
        <w:tc>
          <w:tcPr>
            <w:tcW w:w="6280" w:type="dxa"/>
            <w:vAlign w:val="bottom"/>
            <w:shd w:val="clear" w:color="auto" w:fill="E2E2E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shd w:val="clear" w:color="auto" w:fill="E2E2E2"/>
          </w:tcPr>
          <w:p>
            <w:pPr>
              <w:spacing w:after="0"/>
              <w:rPr>
                <w:sz w:val="16"/>
                <w:szCs w:val="16"/>
                <w:color w:val="auto"/>
              </w:rPr>
            </w:pPr>
          </w:p>
        </w:tc>
        <w:tc>
          <w:tcPr>
            <w:tcW w:w="1220" w:type="dxa"/>
            <w:vAlign w:val="bottom"/>
            <w:shd w:val="clear" w:color="auto" w:fill="E2E2E2"/>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1240" w:type="dxa"/>
            <w:vAlign w:val="bottom"/>
            <w:shd w:val="clear" w:color="auto" w:fill="E2E2E2"/>
          </w:tcPr>
          <w:p>
            <w:pPr>
              <w:spacing w:after="0"/>
              <w:rPr>
                <w:sz w:val="16"/>
                <w:szCs w:val="16"/>
                <w:color w:val="auto"/>
              </w:rPr>
            </w:pPr>
          </w:p>
        </w:tc>
        <w:tc>
          <w:tcPr>
            <w:tcW w:w="14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1140" w:type="dxa"/>
            <w:vAlign w:val="bottom"/>
            <w:shd w:val="clear" w:color="auto" w:fill="E2E2E2"/>
          </w:tcPr>
          <w:p>
            <w:pPr>
              <w:spacing w:after="0"/>
              <w:rPr>
                <w:sz w:val="16"/>
                <w:szCs w:val="16"/>
                <w:color w:val="auto"/>
              </w:rPr>
            </w:pPr>
          </w:p>
        </w:tc>
        <w:tc>
          <w:tcPr>
            <w:tcW w:w="60" w:type="dxa"/>
            <w:vAlign w:val="bottom"/>
            <w:shd w:val="clear" w:color="auto" w:fill="E2E2E2"/>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of 2023 term loan facility, net of deferred financing costs</w:t>
            </w:r>
          </w:p>
        </w:tc>
        <w:tc>
          <w:tcPr>
            <w:tcW w:w="20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Repayment of 2020 term loan facility</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0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proceeds from 2026 Refinanced Term Loan Facility</w:t>
            </w:r>
          </w:p>
        </w:tc>
        <w:tc>
          <w:tcPr>
            <w:tcW w:w="20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285,000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193,081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Repayment of term loan</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(345,000)</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0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other debt</w:t>
            </w:r>
          </w:p>
        </w:tc>
        <w:tc>
          <w:tcPr>
            <w:tcW w:w="20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(842)</w:t>
            </w: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Finance lease payments</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0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Receipts on related party notes receivable</w:t>
            </w:r>
          </w:p>
        </w:tc>
        <w:tc>
          <w:tcPr>
            <w:tcW w:w="20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1,875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Payments for intangible assets</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taxes related to net share settlement of equity awards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(25,900)</w:t>
            </w: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under employee purchase plan</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3,337</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3,511</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6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0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(853,921)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Net proceeds from issuance of common stock</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665,850</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taxes related to repurchase of common stock</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Dividends paid to non-controlling interest</w:t>
            </w:r>
          </w:p>
        </w:tc>
        <w:tc>
          <w:tcPr>
            <w:tcW w:w="200" w:type="dxa"/>
            <w:vAlign w:val="bottom"/>
            <w:shd w:val="clear" w:color="auto" w:fill="E2E2E2"/>
          </w:tcPr>
          <w:p>
            <w:pPr>
              <w:spacing w:after="0"/>
              <w:rPr>
                <w:sz w:val="17"/>
                <w:szCs w:val="17"/>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28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193"/>
        </w:trPr>
        <w:tc>
          <w:tcPr>
            <w:tcW w:w="6280" w:type="dxa"/>
            <w:vAlign w:val="bottom"/>
            <w:shd w:val="clear" w:color="auto" w:fill="E2E2E2"/>
          </w:tcPr>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00" w:type="dxa"/>
            <w:vAlign w:val="bottom"/>
            <w:shd w:val="clear" w:color="auto" w:fill="E2E2E2"/>
          </w:tcPr>
          <w:p>
            <w:pPr>
              <w:spacing w:after="0"/>
              <w:rPr>
                <w:sz w:val="16"/>
                <w:szCs w:val="16"/>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(77,379)</w:t>
            </w:r>
          </w:p>
        </w:tc>
        <w:tc>
          <w:tcPr>
            <w:tcW w:w="16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(112,062)</w:t>
            </w:r>
          </w:p>
        </w:tc>
        <w:tc>
          <w:tcPr>
            <w:tcW w:w="14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198,878</w:t>
            </w:r>
          </w:p>
        </w:tc>
        <w:tc>
          <w:tcPr>
            <w:tcW w:w="60" w:type="dxa"/>
            <w:vAlign w:val="bottom"/>
            <w:shd w:val="clear" w:color="auto" w:fill="E2E2E2"/>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28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277</w:t>
            </w:r>
          </w:p>
        </w:tc>
        <w:tc>
          <w:tcPr>
            <w:tcW w:w="16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4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193"/>
        </w:trPr>
        <w:tc>
          <w:tcPr>
            <w:tcW w:w="6280" w:type="dxa"/>
            <w:vAlign w:val="bottom"/>
            <w:shd w:val="clear" w:color="auto" w:fill="E2E2E2"/>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200" w:type="dxa"/>
            <w:vAlign w:val="bottom"/>
            <w:shd w:val="clear" w:color="auto" w:fill="E2E2E2"/>
          </w:tcPr>
          <w:p>
            <w:pPr>
              <w:spacing w:after="0"/>
              <w:rPr>
                <w:sz w:val="16"/>
                <w:szCs w:val="16"/>
                <w:color w:val="auto"/>
              </w:rPr>
            </w:pPr>
          </w:p>
        </w:tc>
        <w:tc>
          <w:tcPr>
            <w:tcW w:w="122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44,250</w:t>
            </w:r>
          </w:p>
        </w:tc>
        <w:tc>
          <w:tcPr>
            <w:tcW w:w="16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(91,054)</w:t>
            </w:r>
          </w:p>
        </w:tc>
        <w:tc>
          <w:tcPr>
            <w:tcW w:w="14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120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color w:val="auto"/>
              </w:rPr>
              <w:t>(136,544)</w:t>
            </w:r>
          </w:p>
        </w:tc>
        <w:tc>
          <w:tcPr>
            <w:tcW w:w="0" w:type="dxa"/>
            <w:vAlign w:val="bottom"/>
          </w:tcPr>
          <w:p>
            <w:pPr>
              <w:spacing w:after="0"/>
              <w:rPr>
                <w:sz w:val="1"/>
                <w:szCs w:val="1"/>
                <w:color w:val="auto"/>
              </w:rPr>
            </w:pPr>
          </w:p>
        </w:tc>
      </w:tr>
      <w:tr>
        <w:trPr>
          <w:trHeight w:val="198"/>
        </w:trPr>
        <w:tc>
          <w:tcPr>
            <w:tcW w:w="628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131,107</w:t>
            </w:r>
          </w:p>
        </w:tc>
        <w:tc>
          <w:tcPr>
            <w:tcW w:w="16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222,161</w:t>
            </w:r>
          </w:p>
        </w:tc>
        <w:tc>
          <w:tcPr>
            <w:tcW w:w="14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358,705</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8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at end of period:</w:t>
            </w:r>
          </w:p>
        </w:tc>
        <w:tc>
          <w:tcPr>
            <w:tcW w:w="20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175,357</w:t>
            </w:r>
          </w:p>
        </w:tc>
        <w:tc>
          <w:tcPr>
            <w:tcW w:w="160" w:type="dxa"/>
            <w:vAlign w:val="bottom"/>
            <w:tcBorders>
              <w:bottom w:val="single" w:sz="8" w:color="E2E2E2"/>
            </w:tcBorders>
            <w:shd w:val="clear" w:color="auto" w:fill="E2E2E2"/>
          </w:tcPr>
          <w:p>
            <w:pPr>
              <w:spacing w:after="0"/>
              <w:rPr>
                <w:sz w:val="19"/>
                <w:szCs w:val="19"/>
                <w:color w:val="auto"/>
              </w:rPr>
            </w:pPr>
          </w:p>
        </w:tc>
        <w:tc>
          <w:tcPr>
            <w:tcW w:w="180" w:type="dxa"/>
            <w:vAlign w:val="bottom"/>
            <w:tcBorders>
              <w:bottom w:val="single" w:sz="8" w:color="auto"/>
            </w:tcBorders>
            <w:shd w:val="clear" w:color="auto" w:fill="E2E2E2"/>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131,107</w:t>
            </w:r>
          </w:p>
        </w:tc>
        <w:tc>
          <w:tcPr>
            <w:tcW w:w="140" w:type="dxa"/>
            <w:vAlign w:val="bottom"/>
            <w:tcBorders>
              <w:bottom w:val="single" w:sz="8" w:color="E2E2E2"/>
            </w:tcBorders>
            <w:shd w:val="clear" w:color="auto" w:fill="E2E2E2"/>
          </w:tcPr>
          <w:p>
            <w:pPr>
              <w:spacing w:after="0"/>
              <w:rPr>
                <w:sz w:val="19"/>
                <w:szCs w:val="19"/>
                <w:color w:val="auto"/>
              </w:rPr>
            </w:pPr>
          </w:p>
        </w:tc>
        <w:tc>
          <w:tcPr>
            <w:tcW w:w="180" w:type="dxa"/>
            <w:vAlign w:val="bottom"/>
            <w:tcBorders>
              <w:bottom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222,161</w:t>
            </w:r>
          </w:p>
        </w:tc>
        <w:tc>
          <w:tcPr>
            <w:tcW w:w="60" w:type="dxa"/>
            <w:vAlign w:val="bottom"/>
            <w:tcBorders>
              <w:bottom w:val="single" w:sz="8" w:color="auto"/>
            </w:tcBorders>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and cash equivalents and restricted cash:</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0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121,334</w:t>
            </w:r>
          </w:p>
        </w:tc>
        <w:tc>
          <w:tcPr>
            <w:tcW w:w="34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212,143</w:t>
            </w:r>
          </w:p>
        </w:tc>
        <w:tc>
          <w:tcPr>
            <w:tcW w:w="32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351,576</w:t>
            </w:r>
          </w:p>
        </w:tc>
        <w:tc>
          <w:tcPr>
            <w:tcW w:w="60" w:type="dxa"/>
            <w:vAlign w:val="bottom"/>
            <w:shd w:val="clear" w:color="auto" w:fill="E2E2E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8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16"/>
                <w:szCs w:val="16"/>
                <w:color w:val="auto"/>
              </w:rPr>
              <w:t>Restricted cash at beginning of period</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9,773</w:t>
            </w:r>
          </w:p>
        </w:tc>
        <w:tc>
          <w:tcPr>
            <w:tcW w:w="16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10,018</w:t>
            </w:r>
          </w:p>
        </w:tc>
        <w:tc>
          <w:tcPr>
            <w:tcW w:w="14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7,129</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8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20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131,107</w:t>
            </w:r>
          </w:p>
        </w:tc>
        <w:tc>
          <w:tcPr>
            <w:tcW w:w="160" w:type="dxa"/>
            <w:vAlign w:val="bottom"/>
            <w:tcBorders>
              <w:bottom w:val="single" w:sz="8" w:color="E2E2E2"/>
            </w:tcBorders>
            <w:shd w:val="clear" w:color="auto" w:fill="E2E2E2"/>
          </w:tcPr>
          <w:p>
            <w:pPr>
              <w:spacing w:after="0"/>
              <w:rPr>
                <w:sz w:val="19"/>
                <w:szCs w:val="19"/>
                <w:color w:val="auto"/>
              </w:rPr>
            </w:pPr>
          </w:p>
        </w:tc>
        <w:tc>
          <w:tcPr>
            <w:tcW w:w="180" w:type="dxa"/>
            <w:vAlign w:val="bottom"/>
            <w:tcBorders>
              <w:bottom w:val="single" w:sz="8" w:color="auto"/>
            </w:tcBorders>
            <w:shd w:val="clear" w:color="auto" w:fill="E2E2E2"/>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222,161</w:t>
            </w:r>
          </w:p>
        </w:tc>
        <w:tc>
          <w:tcPr>
            <w:tcW w:w="140" w:type="dxa"/>
            <w:vAlign w:val="bottom"/>
            <w:tcBorders>
              <w:bottom w:val="single" w:sz="8" w:color="E2E2E2"/>
            </w:tcBorders>
            <w:shd w:val="clear" w:color="auto" w:fill="E2E2E2"/>
          </w:tcPr>
          <w:p>
            <w:pPr>
              <w:spacing w:after="0"/>
              <w:rPr>
                <w:sz w:val="19"/>
                <w:szCs w:val="19"/>
                <w:color w:val="auto"/>
              </w:rPr>
            </w:pPr>
          </w:p>
        </w:tc>
        <w:tc>
          <w:tcPr>
            <w:tcW w:w="180" w:type="dxa"/>
            <w:vAlign w:val="bottom"/>
            <w:tcBorders>
              <w:bottom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358,705</w:t>
            </w:r>
          </w:p>
        </w:tc>
        <w:tc>
          <w:tcPr>
            <w:tcW w:w="60" w:type="dxa"/>
            <w:vAlign w:val="bottom"/>
            <w:tcBorders>
              <w:bottom w:val="single" w:sz="8" w:color="auto"/>
            </w:tcBorders>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280" w:type="dxa"/>
            <w:vAlign w:val="bottom"/>
          </w:tcPr>
          <w:p>
            <w:pPr>
              <w:ind w:left="200"/>
              <w:spacing w:after="0" w:line="173" w:lineRule="exact"/>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00" w:type="dxa"/>
            <w:vAlign w:val="bottom"/>
          </w:tcPr>
          <w:p>
            <w:pPr>
              <w:spacing w:after="0"/>
              <w:rPr>
                <w:sz w:val="15"/>
                <w:szCs w:val="15"/>
                <w:color w:val="auto"/>
              </w:rPr>
            </w:pPr>
          </w:p>
        </w:tc>
        <w:tc>
          <w:tcPr>
            <w:tcW w:w="1220" w:type="dxa"/>
            <w:vAlign w:val="bottom"/>
          </w:tcPr>
          <w:p>
            <w:pPr>
              <w:jc w:val="right"/>
              <w:ind w:right="40"/>
              <w:spacing w:after="0" w:line="173" w:lineRule="exact"/>
              <w:rPr>
                <w:sz w:val="20"/>
                <w:szCs w:val="20"/>
                <w:color w:val="auto"/>
              </w:rPr>
            </w:pPr>
            <w:r>
              <w:rPr>
                <w:rFonts w:ascii="Times New Roman" w:cs="Times New Roman" w:eastAsia="Times New Roman" w:hAnsi="Times New Roman"/>
                <w:sz w:val="16"/>
                <w:szCs w:val="16"/>
                <w:color w:val="auto"/>
              </w:rPr>
              <w:t>168,753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40"/>
              <w:spacing w:after="0" w:line="173" w:lineRule="exact"/>
              <w:rPr>
                <w:sz w:val="20"/>
                <w:szCs w:val="20"/>
                <w:color w:val="auto"/>
              </w:rPr>
            </w:pPr>
            <w:r>
              <w:rPr>
                <w:rFonts w:ascii="Times New Roman" w:cs="Times New Roman" w:eastAsia="Times New Roman" w:hAnsi="Times New Roman"/>
                <w:sz w:val="16"/>
                <w:szCs w:val="16"/>
                <w:color w:val="auto"/>
              </w:rPr>
              <w:t>121,334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212,143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28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16"/>
                <w:szCs w:val="16"/>
                <w:color w:val="auto"/>
              </w:rPr>
              <w:t>Restricted cash at end of period</w:t>
            </w:r>
          </w:p>
        </w:tc>
        <w:tc>
          <w:tcPr>
            <w:tcW w:w="200" w:type="dxa"/>
            <w:vAlign w:val="bottom"/>
            <w:tcBorders>
              <w:bottom w:val="single" w:sz="8" w:color="auto"/>
            </w:tcBorders>
            <w:shd w:val="clear" w:color="auto" w:fill="E2E2E2"/>
          </w:tcPr>
          <w:p>
            <w:pPr>
              <w:spacing w:after="0"/>
              <w:rPr>
                <w:sz w:val="18"/>
                <w:szCs w:val="18"/>
                <w:color w:val="auto"/>
              </w:rPr>
            </w:pPr>
          </w:p>
        </w:tc>
        <w:tc>
          <w:tcPr>
            <w:tcW w:w="122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6,604</w:t>
            </w:r>
          </w:p>
        </w:tc>
        <w:tc>
          <w:tcPr>
            <w:tcW w:w="160" w:type="dxa"/>
            <w:vAlign w:val="bottom"/>
            <w:tcBorders>
              <w:bottom w:val="single" w:sz="8" w:color="E2E2E2"/>
            </w:tcBorders>
            <w:shd w:val="clear" w:color="auto" w:fill="E2E2E2"/>
          </w:tcPr>
          <w:p>
            <w:pPr>
              <w:spacing w:after="0"/>
              <w:rPr>
                <w:sz w:val="18"/>
                <w:szCs w:val="18"/>
                <w:color w:val="auto"/>
              </w:rPr>
            </w:pPr>
          </w:p>
        </w:tc>
        <w:tc>
          <w:tcPr>
            <w:tcW w:w="180" w:type="dxa"/>
            <w:vAlign w:val="bottom"/>
            <w:tcBorders>
              <w:bottom w:val="single" w:sz="8" w:color="auto"/>
            </w:tcBorders>
            <w:shd w:val="clear" w:color="auto" w:fill="E2E2E2"/>
          </w:tcPr>
          <w:p>
            <w:pPr>
              <w:spacing w:after="0"/>
              <w:rPr>
                <w:sz w:val="18"/>
                <w:szCs w:val="18"/>
                <w:color w:val="auto"/>
              </w:rPr>
            </w:pPr>
          </w:p>
        </w:tc>
        <w:tc>
          <w:tcPr>
            <w:tcW w:w="124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16"/>
                <w:szCs w:val="16"/>
                <w:color w:val="auto"/>
              </w:rPr>
              <w:t>9,773</w:t>
            </w:r>
          </w:p>
        </w:tc>
        <w:tc>
          <w:tcPr>
            <w:tcW w:w="140" w:type="dxa"/>
            <w:vAlign w:val="bottom"/>
            <w:tcBorders>
              <w:bottom w:val="single" w:sz="8" w:color="E2E2E2"/>
            </w:tcBorders>
            <w:shd w:val="clear" w:color="auto" w:fill="E2E2E2"/>
          </w:tcPr>
          <w:p>
            <w:pPr>
              <w:spacing w:after="0"/>
              <w:rPr>
                <w:sz w:val="18"/>
                <w:szCs w:val="18"/>
                <w:color w:val="auto"/>
              </w:rPr>
            </w:pPr>
          </w:p>
        </w:tc>
        <w:tc>
          <w:tcPr>
            <w:tcW w:w="180" w:type="dxa"/>
            <w:vAlign w:val="bottom"/>
            <w:tcBorders>
              <w:bottom w:val="single" w:sz="8" w:color="auto"/>
            </w:tcBorders>
            <w:shd w:val="clear" w:color="auto" w:fill="E2E2E2"/>
          </w:tcPr>
          <w:p>
            <w:pPr>
              <w:spacing w:after="0"/>
              <w:rPr>
                <w:sz w:val="18"/>
                <w:szCs w:val="18"/>
                <w:color w:val="auto"/>
              </w:rPr>
            </w:pP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rPr>
              <w:t>10,018</w:t>
            </w:r>
          </w:p>
        </w:tc>
        <w:tc>
          <w:tcPr>
            <w:tcW w:w="60" w:type="dxa"/>
            <w:vAlign w:val="bottom"/>
            <w:tcBorders>
              <w:bottom w:val="single" w:sz="8" w:color="auto"/>
            </w:tcBorders>
            <w:shd w:val="clear" w:color="auto" w:fill="E2E2E2"/>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175,357</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131,107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222,161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-7755890</wp:posOffset>
            </wp:positionV>
            <wp:extent cx="285940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2859405" cy="38100"/>
                    </a:xfrm>
                    <a:prstGeom prst="rect">
                      <a:avLst/>
                    </a:prstGeom>
                    <a:noFill/>
                  </pic:spPr>
                </pic:pic>
              </a:graphicData>
            </a:graphic>
          </wp:anchor>
        </w:drawing>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800"/>
          </w:cols>
          <w:pgMar w:left="720" w:top="926" w:right="720" w:bottom="175"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Fiscal Year Ended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184"/>
        </w:trPr>
        <w:tc>
          <w:tcPr>
            <w:tcW w:w="6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315"/>
              <w:spacing w:after="0" w:line="184" w:lineRule="exact"/>
              <w:rPr>
                <w:sz w:val="20"/>
                <w:szCs w:val="20"/>
                <w:color w:val="auto"/>
              </w:rPr>
            </w:pPr>
            <w:r>
              <w:rPr>
                <w:rFonts w:ascii="Times New Roman" w:cs="Times New Roman" w:eastAsia="Times New Roman" w:hAnsi="Times New Roman"/>
                <w:sz w:val="17"/>
                <w:szCs w:val="17"/>
                <w:b w:val="1"/>
                <w:bCs w:val="1"/>
                <w:color w:val="auto"/>
              </w:rPr>
              <w:t>March 27,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95"/>
              <w:spacing w:after="0" w:line="184" w:lineRule="exact"/>
              <w:rPr>
                <w:sz w:val="20"/>
                <w:szCs w:val="20"/>
                <w:color w:val="auto"/>
              </w:rPr>
            </w:pPr>
            <w:r>
              <w:rPr>
                <w:rFonts w:ascii="Times New Roman" w:cs="Times New Roman" w:eastAsia="Times New Roman" w:hAnsi="Times New Roman"/>
                <w:sz w:val="17"/>
                <w:szCs w:val="17"/>
                <w:b w:val="1"/>
                <w:bCs w:val="1"/>
                <w:color w:val="auto"/>
              </w:rPr>
              <w:t>March 28,</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95"/>
              <w:spacing w:after="0" w:line="184" w:lineRule="exact"/>
              <w:rPr>
                <w:sz w:val="20"/>
                <w:szCs w:val="20"/>
                <w:color w:val="auto"/>
              </w:rPr>
            </w:pPr>
            <w:r>
              <w:rPr>
                <w:rFonts w:ascii="Times New Roman" w:cs="Times New Roman" w:eastAsia="Times New Roman" w:hAnsi="Times New Roman"/>
                <w:sz w:val="17"/>
                <w:szCs w:val="17"/>
                <w:b w:val="1"/>
                <w:bCs w:val="1"/>
                <w:color w:val="auto"/>
              </w:rPr>
              <w:t>March 29,</w:t>
            </w:r>
          </w:p>
        </w:tc>
        <w:tc>
          <w:tcPr>
            <w:tcW w:w="80" w:type="dxa"/>
            <w:vAlign w:val="bottom"/>
          </w:tcPr>
          <w:p>
            <w:pPr>
              <w:spacing w:after="0"/>
              <w:rPr>
                <w:sz w:val="15"/>
                <w:szCs w:val="15"/>
                <w:color w:val="auto"/>
              </w:rPr>
            </w:pPr>
          </w:p>
        </w:tc>
      </w:tr>
      <w:tr>
        <w:trPr>
          <w:trHeight w:val="216"/>
        </w:trPr>
        <w:tc>
          <w:tcPr>
            <w:tcW w:w="6280" w:type="dxa"/>
            <w:vAlign w:val="bottom"/>
            <w:tcBorders>
              <w:bottom w:val="single" w:sz="8" w:color="E2E2E2"/>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Borders>
              <w:bottom w:val="single" w:sz="8" w:color="E2E2E2"/>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60" w:type="dxa"/>
            <w:vAlign w:val="bottom"/>
            <w:tcBorders>
              <w:bottom w:val="single" w:sz="8" w:color="E2E2E2"/>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8"/>
                <w:szCs w:val="18"/>
                <w:color w:val="auto"/>
              </w:rPr>
            </w:pPr>
          </w:p>
        </w:tc>
      </w:tr>
      <w:tr>
        <w:trPr>
          <w:trHeight w:val="204"/>
        </w:trPr>
        <w:tc>
          <w:tcPr>
            <w:tcW w:w="6280" w:type="dxa"/>
            <w:vAlign w:val="bottom"/>
            <w:shd w:val="clear" w:color="auto" w:fill="E2E2E2"/>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spacing w:after="0"/>
              <w:rPr>
                <w:sz w:val="17"/>
                <w:szCs w:val="17"/>
                <w:color w:val="auto"/>
              </w:rPr>
            </w:pPr>
          </w:p>
        </w:tc>
        <w:tc>
          <w:tcPr>
            <w:tcW w:w="14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240" w:type="dxa"/>
            <w:vAlign w:val="bottom"/>
            <w:shd w:val="clear" w:color="auto" w:fill="E2E2E2"/>
          </w:tcPr>
          <w:p>
            <w:pPr>
              <w:spacing w:after="0"/>
              <w:rPr>
                <w:sz w:val="17"/>
                <w:szCs w:val="17"/>
                <w:color w:val="auto"/>
              </w:rPr>
            </w:pPr>
          </w:p>
        </w:tc>
        <w:tc>
          <w:tcPr>
            <w:tcW w:w="16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12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19,375</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21,959</w:t>
            </w:r>
          </w:p>
        </w:tc>
        <w:tc>
          <w:tcPr>
            <w:tcW w:w="16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10,153</w:t>
            </w:r>
          </w:p>
        </w:tc>
        <w:tc>
          <w:tcPr>
            <w:tcW w:w="80" w:type="dxa"/>
            <w:vAlign w:val="bottom"/>
          </w:tcPr>
          <w:p>
            <w:pPr>
              <w:spacing w:after="0"/>
              <w:rPr>
                <w:sz w:val="18"/>
                <w:szCs w:val="18"/>
                <w:color w:val="auto"/>
              </w:rPr>
            </w:pPr>
          </w:p>
        </w:tc>
      </w:tr>
      <w:tr>
        <w:trPr>
          <w:trHeight w:val="209"/>
        </w:trPr>
        <w:tc>
          <w:tcPr>
            <w:tcW w:w="6280" w:type="dxa"/>
            <w:vAlign w:val="bottom"/>
            <w:shd w:val="clear" w:color="auto" w:fill="E2E2E2"/>
          </w:tcPr>
          <w:p>
            <w:pPr>
              <w:spacing w:after="0"/>
              <w:rPr>
                <w:sz w:val="20"/>
                <w:szCs w:val="20"/>
                <w:color w:val="auto"/>
              </w:rPr>
            </w:pPr>
            <w:r>
              <w:rPr>
                <w:rFonts w:ascii="Times New Roman" w:cs="Times New Roman" w:eastAsia="Times New Roman" w:hAnsi="Times New Roman"/>
                <w:sz w:val="17"/>
                <w:szCs w:val="17"/>
                <w:color w:val="auto"/>
              </w:rPr>
              <w:t>Cash (received) paid for income taxes, net of refunds</w:t>
            </w:r>
          </w:p>
        </w:tc>
        <w:tc>
          <w:tcPr>
            <w:tcW w:w="18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(27,081)</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11,639</w:t>
            </w:r>
          </w:p>
        </w:tc>
        <w:tc>
          <w:tcPr>
            <w:tcW w:w="340" w:type="dxa"/>
            <w:vAlign w:val="bottom"/>
            <w:gridSpan w:val="2"/>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89,927</w:t>
            </w:r>
          </w:p>
        </w:tc>
        <w:tc>
          <w:tcPr>
            <w:tcW w:w="80" w:type="dxa"/>
            <w:vAlign w:val="bottom"/>
            <w:shd w:val="clear" w:color="auto" w:fill="E2E2E2"/>
          </w:tcPr>
          <w:p>
            <w:pPr>
              <w:spacing w:after="0"/>
              <w:rPr>
                <w:sz w:val="18"/>
                <w:szCs w:val="18"/>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Non-cash transactions: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3"/>
        </w:trPr>
        <w:tc>
          <w:tcPr>
            <w:tcW w:w="6280" w:type="dxa"/>
            <w:vAlign w:val="bottom"/>
            <w:shd w:val="clear" w:color="auto" w:fill="E2E2E2"/>
          </w:tcPr>
          <w:p>
            <w:pPr>
              <w:ind w:left="200"/>
              <w:spacing w:after="0" w:line="193" w:lineRule="exact"/>
              <w:rPr>
                <w:sz w:val="20"/>
                <w:szCs w:val="20"/>
                <w:color w:val="auto"/>
              </w:rPr>
            </w:pPr>
            <w:r>
              <w:rPr>
                <w:rFonts w:ascii="Times New Roman" w:cs="Times New Roman" w:eastAsia="Times New Roman" w:hAnsi="Times New Roman"/>
                <w:sz w:val="17"/>
                <w:szCs w:val="17"/>
                <w:color w:val="auto"/>
              </w:rPr>
              <w:t>Property, plant and equipment purchases included in trade</w:t>
            </w:r>
          </w:p>
        </w:tc>
        <w:tc>
          <w:tcPr>
            <w:tcW w:w="180" w:type="dxa"/>
            <w:vAlign w:val="bottom"/>
            <w:shd w:val="clear" w:color="auto" w:fill="E2E2E2"/>
          </w:tcPr>
          <w:p>
            <w:pPr>
              <w:spacing w:after="0"/>
              <w:rPr>
                <w:sz w:val="16"/>
                <w:szCs w:val="16"/>
                <w:color w:val="auto"/>
              </w:rPr>
            </w:pPr>
          </w:p>
        </w:tc>
        <w:tc>
          <w:tcPr>
            <w:tcW w:w="1240" w:type="dxa"/>
            <w:vAlign w:val="bottom"/>
            <w:shd w:val="clear" w:color="auto" w:fill="E2E2E2"/>
          </w:tcPr>
          <w:p>
            <w:pPr>
              <w:spacing w:after="0"/>
              <w:rPr>
                <w:sz w:val="16"/>
                <w:szCs w:val="16"/>
                <w:color w:val="auto"/>
              </w:rPr>
            </w:pPr>
          </w:p>
        </w:tc>
        <w:tc>
          <w:tcPr>
            <w:tcW w:w="14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1240" w:type="dxa"/>
            <w:vAlign w:val="bottom"/>
            <w:shd w:val="clear" w:color="auto" w:fill="E2E2E2"/>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1120" w:type="dxa"/>
            <w:vAlign w:val="bottom"/>
            <w:shd w:val="clear" w:color="auto" w:fill="E2E2E2"/>
          </w:tcPr>
          <w:p>
            <w:pPr>
              <w:spacing w:after="0"/>
              <w:rPr>
                <w:sz w:val="16"/>
                <w:szCs w:val="16"/>
                <w:color w:val="auto"/>
              </w:rPr>
            </w:pPr>
          </w:p>
        </w:tc>
        <w:tc>
          <w:tcPr>
            <w:tcW w:w="80" w:type="dxa"/>
            <w:vAlign w:val="bottom"/>
            <w:shd w:val="clear" w:color="auto" w:fill="E2E2E2"/>
          </w:tcPr>
          <w:p>
            <w:pPr>
              <w:spacing w:after="0"/>
              <w:rPr>
                <w:sz w:val="16"/>
                <w:szCs w:val="16"/>
                <w:color w:val="auto"/>
              </w:rPr>
            </w:pPr>
          </w:p>
        </w:tc>
      </w:tr>
      <w:tr>
        <w:trPr>
          <w:trHeight w:val="212"/>
        </w:trPr>
        <w:tc>
          <w:tcPr>
            <w:tcW w:w="6280" w:type="dxa"/>
            <w:vAlign w:val="bottom"/>
            <w:shd w:val="clear" w:color="auto" w:fill="E2E2E2"/>
          </w:tcPr>
          <w:p>
            <w:pPr>
              <w:ind w:left="3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8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(3,961)</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(4,463)</w:t>
            </w:r>
          </w:p>
        </w:tc>
        <w:tc>
          <w:tcPr>
            <w:tcW w:w="340" w:type="dxa"/>
            <w:vAlign w:val="bottom"/>
            <w:gridSpan w:val="2"/>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7"/>
                <w:szCs w:val="17"/>
                <w:color w:val="auto"/>
              </w:rPr>
              <w:t>(4,157)</w:t>
            </w:r>
          </w:p>
        </w:tc>
      </w:tr>
      <w:tr>
        <w:trPr>
          <w:trHeight w:val="209"/>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Right-of-use assets obtained in exchange for lease liabilities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1,584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6,999</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10,450</w:t>
            </w:r>
          </w:p>
        </w:tc>
        <w:tc>
          <w:tcPr>
            <w:tcW w:w="80" w:type="dxa"/>
            <w:vAlign w:val="bottom"/>
          </w:tcPr>
          <w:p>
            <w:pPr>
              <w:spacing w:after="0"/>
              <w:rPr>
                <w:sz w:val="18"/>
                <w:szCs w:val="18"/>
                <w:color w:val="auto"/>
              </w:rPr>
            </w:pPr>
          </w:p>
        </w:tc>
      </w:tr>
      <w:tr>
        <w:trPr>
          <w:trHeight w:val="209"/>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7"/>
                <w:szCs w:val="17"/>
                <w:color w:val="auto"/>
              </w:rPr>
              <w:t>Assets held for sale transferred (to) from property, plant and equipment, net</w:t>
            </w:r>
          </w:p>
        </w:tc>
        <w:tc>
          <w:tcPr>
            <w:tcW w:w="18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(9,751)</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E2E2E2"/>
          </w:tcPr>
          <w:p>
            <w:pPr>
              <w:jc w:val="right"/>
              <w:ind w:right="35"/>
              <w:spacing w:after="0"/>
              <w:rPr>
                <w:sz w:val="20"/>
                <w:szCs w:val="20"/>
                <w:color w:val="auto"/>
              </w:rPr>
            </w:pPr>
            <w:r>
              <w:rPr>
                <w:rFonts w:ascii="Times New Roman" w:cs="Times New Roman" w:eastAsia="Times New Roman" w:hAnsi="Times New Roman"/>
                <w:sz w:val="17"/>
                <w:szCs w:val="17"/>
                <w:color w:val="auto"/>
              </w:rPr>
              <w:t>16,508</w:t>
            </w:r>
          </w:p>
        </w:tc>
        <w:tc>
          <w:tcPr>
            <w:tcW w:w="340" w:type="dxa"/>
            <w:vAlign w:val="bottom"/>
            <w:gridSpan w:val="2"/>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-1344930</wp:posOffset>
            </wp:positionV>
            <wp:extent cx="286131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extLst>
                    </a:blip>
                    <a:srcRect/>
                    <a:stretch>
                      <a:fillRect/>
                    </a:stretch>
                  </pic:blipFill>
                  <pic:spPr bwMode="auto">
                    <a:xfrm>
                      <a:off x="0" y="0"/>
                      <a:ext cx="2861310" cy="3810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800"/>
          </w:cols>
          <w:pgMar w:left="720" w:top="926" w:right="720" w:bottom="175"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328" w:lineRule="exact"/>
        <w:rPr>
          <w:sz w:val="20"/>
          <w:szCs w:val="20"/>
          <w:color w:val="auto"/>
        </w:rPr>
      </w:pPr>
    </w:p>
    <w:p>
      <w:pPr>
        <w:ind w:left="540" w:hanging="540"/>
        <w:spacing w:after="0"/>
        <w:tabs>
          <w:tab w:leader="none" w:pos="54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Nature of the Business and Basis of Presentation</w:t>
      </w:r>
    </w:p>
    <w:p>
      <w:pPr>
        <w:spacing w:after="0" w:line="124"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Allegro MicroSystems, Inc., together with its consolidated subsidiaries (the “Company”), is a global leader in the design, development, and marketing of sensor integrated circuits (“ICs”) and application-specific power ICs, that enable the sensing, motion control, and power management functions of complex electromechanical or power conversion systems. The Company primarily serves automotive and industrial markets, where its solutions enable customers to sense, move, and manage power with efficiency, precision, and reliability. The Company is incorporated under the laws of Delaware. The Company is headquartered in Manchester, New Hampshire and has a global footprint, with 27 locations across four continents.</w:t>
      </w:r>
    </w:p>
    <w:p>
      <w:pPr>
        <w:spacing w:after="0" w:line="8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Company prepares its financial statements in accordance with accounting principles generally accepted in the United States (“GAAP”).</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Periods</w:t>
      </w:r>
    </w:p>
    <w:p>
      <w:pPr>
        <w:spacing w:after="0" w:line="120"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The Company’s fiscal year is the 52-week or 53-week period ending on the last Friday in March. The Company’s 2026 fiscal year ended March 27, 2026 (“fiscal year 2026”), the 2025 fiscal year ended March 28, 2025 (“fiscal year 2025”), and 2024 fiscal year ended March 29, 2024 (“fiscal year 2024”) were each 52-week periods.</w:t>
      </w:r>
    </w:p>
    <w:p>
      <w:pPr>
        <w:spacing w:after="0" w:line="304" w:lineRule="exact"/>
        <w:rPr>
          <w:sz w:val="20"/>
          <w:szCs w:val="20"/>
          <w:color w:val="auto"/>
        </w:rPr>
      </w:pPr>
    </w:p>
    <w:p>
      <w:pPr>
        <w:ind w:right="6500"/>
        <w:spacing w:after="0" w:line="367" w:lineRule="auto"/>
        <w:tabs>
          <w:tab w:leader="none" w:pos="547"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i w:val="1"/>
          <w:iCs w:val="1"/>
          <w:color w:val="auto"/>
        </w:rPr>
        <w:t>Principles of Consolidation</w:t>
      </w:r>
    </w:p>
    <w:p>
      <w:pPr>
        <w:spacing w:after="0" w:line="1"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the Company and those entities required to be consolidated under GAAP. Intercompany profits, transactions, and balances among the consolidated entities have been eliminated.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20" w:lineRule="exact"/>
        <w:rPr>
          <w:sz w:val="20"/>
          <w:szCs w:val="20"/>
          <w:color w:val="auto"/>
        </w:rPr>
      </w:pPr>
    </w:p>
    <w:p>
      <w:pPr>
        <w:jc w:val="both"/>
        <w:ind w:firstLine="547"/>
        <w:spacing w:after="0" w:line="246"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 assumptions that affect the reported amounts of assets, liabilities, and disclosures of contingencies at the date of the consolidated financial statements and the reported amounts of net sales and expenses during the reporting period. On an ongoing basis, management evaluates its estimates, assumptions and judgments, including those related to the valuation of acquired intangible assets, impairment assessment and valuation of goodwill, intangible assets and tangible long-lived assets, the net realizable value of inventory, income taxes, stock-based compensation, and sales allowances. Actual results could differ from those estimates, and such differences may be material to the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Reclassifications</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Certain reclassifications have been made to prior-period amounts to conform to current-period reporting classifications.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120"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As of March 27, 2026, the Company operates in one reportable segment, which involves the design, development, production and distribution of various ICs in various markets worldwide. The Company has a single, company-wide management team that administers all properties as a whole rather than as discrete operating segments. The Chief Operating Decision Maker (“CODM”), who is the Company’s Chief Executive Officer, measures financial performance as a single enterprise and not on a legal entity or end market basis. The CODM uses consolidated net income or loss, as reported in the Consolidated Statement of Operations, as the profitability measure in making decisions. The measure of segment assets is reported on the balance sheet as total assets. Throughout the year, the CODM allocates capital resources on a project-by-project basis across the Company’s entire asset base to maximize profitability without regard to a legal entity or end market basis. The Company operates in a number of countries throughout the world in a variety of product lines through its business unit structure.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120"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The Company accounts for business combinations under the acquisition method of accounting. Accordingly, at the date of each acquisition, the Company measures the fair value of all identifiable assets acquired (including intangible assets), liabilities assumed and any remaining non-controlling interests and allocates the consideration paid to all items measured. The fair value of identifiable intangible assets acquired are based on valuations that use information and assumptions determined by management’s best estimates of inputs and assumptions a market participant would use.</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10800"/>
          </w:cols>
          <w:pgMar w:left="720" w:top="696" w:right="720" w:bottom="187" w:gutter="0" w:footer="0" w:header="0"/>
          <w:type w:val="continuous"/>
        </w:sectPr>
      </w:pPr>
    </w:p>
    <w:bookmarkStart w:id="75" w:name="page76"/>
    <w:bookmarkEnd w:id="7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Translation and Transactions</w:t>
      </w:r>
    </w:p>
    <w:p>
      <w:pPr>
        <w:spacing w:after="0" w:line="120"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The Company’s reporting currency is the U.S. Dollar. The financial statements of the Company’s foreign subsidiaries are translated from functional currency into U.S. dollars using the current exchange rate at the balance sheet date for assets and liabilities, and the average exchange rate in effect during the period for net sales and expenses. The functional currency for the Company’s international subsidiaries is generally considered to be the local currency for each entity, and, accordingly, translation adjustments for these entities are included as a component of accumulated other comprehensive loss in the Company’s consolidated balance sheets.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Interests</w:t>
      </w:r>
    </w:p>
    <w:p>
      <w:pPr>
        <w:spacing w:after="0" w:line="120" w:lineRule="exact"/>
        <w:rPr>
          <w:sz w:val="20"/>
          <w:szCs w:val="20"/>
          <w:color w:val="auto"/>
        </w:rPr>
      </w:pPr>
    </w:p>
    <w:p>
      <w:pPr>
        <w:jc w:val="both"/>
        <w:ind w:firstLine="547"/>
        <w:spacing w:after="0" w:line="246" w:lineRule="auto"/>
        <w:rPr>
          <w:sz w:val="20"/>
          <w:szCs w:val="20"/>
          <w:color w:val="auto"/>
        </w:rPr>
      </w:pPr>
      <w:r>
        <w:rPr>
          <w:rFonts w:ascii="Times New Roman" w:cs="Times New Roman" w:eastAsia="Times New Roman" w:hAnsi="Times New Roman"/>
          <w:sz w:val="20"/>
          <w:szCs w:val="20"/>
          <w:color w:val="auto"/>
        </w:rPr>
        <w:t>The Company, through one of its wholly owned subsidiaries, established an affiliated entity in the Philippines for the primary purpose of purchasing, selling, leasing, developing and otherwise managing real estate acquired by the Company in the Philippines. The Company owns 40% of the equity interest in this entity, and the remaining 60% is held in a trust for the benefit of its employee retirement fund. The portion of the results of operations of this entity is shown as net income attributable to the non-controlling interests in the Company’s consolidated statements of operations for fiscal years 2026, 2025 and 2024. Additionally, the cumulative portion of the results of operations of this entity along with the interest in the net assets is shown as a component of non-controlling interest in the Company’s consolidated balance sheets.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Equivalents and Restricted Cash</w:t>
      </w:r>
    </w:p>
    <w:p>
      <w:pPr>
        <w:spacing w:after="0" w:line="120"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The Company considers all highly liquid instruments with original maturities of three months or less at the time of acquisition to be cash equivalents. At March 27, 2026 and March 28, 2025, the Company maintained investments in interest-bearing cash accounts. Because of the investments’ short term to maturity and the investments’ relative price insensitivity to changes in market interest rates, cost approximates fair value for these investments. As a result, there were no realized or unrealized gains or losses for the fiscal years ended March 27, 2026, March 28, 2025 and March 29, 2024. The Company has restricted cash, the use of which is restricted to the benefit of employees through a deferred compensation program.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120"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Certain assets and liabilities are carried at fair value under GAAP. Fair value is the exchange price that would be received for an asset or paid to transfer a liability (at exit price) in the principal or most advantageous market for the asset or liability in an orderly transaction between market participants on the measurement date. The Company establishes a fair value hierarchy that requires an entity to maximize the use of observable inputs and minimize the use of unobservable inputs when measuring fair value. The standard describes three levels of inputs that may be used to measure fair value, which are provided below:</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1 — Quoted prices in active markets for identical assets or liabilities.</w:t>
      </w:r>
    </w:p>
    <w:p>
      <w:pPr>
        <w:spacing w:after="0" w:line="60" w:lineRule="exact"/>
        <w:rPr>
          <w:sz w:val="20"/>
          <w:szCs w:val="20"/>
          <w:color w:val="auto"/>
        </w:rPr>
      </w:pPr>
    </w:p>
    <w:p>
      <w:pPr>
        <w:jc w:val="both"/>
        <w:ind w:left="1020" w:hanging="1021"/>
        <w:spacing w:after="0" w:line="258" w:lineRule="auto"/>
        <w:rPr>
          <w:sz w:val="20"/>
          <w:szCs w:val="20"/>
          <w:color w:val="auto"/>
        </w:rPr>
      </w:pPr>
      <w:r>
        <w:rPr>
          <w:rFonts w:ascii="Times New Roman" w:cs="Times New Roman" w:eastAsia="Times New Roman" w:hAnsi="Times New Roman"/>
          <w:sz w:val="20"/>
          <w:szCs w:val="20"/>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 w:lineRule="exact"/>
        <w:rPr>
          <w:sz w:val="20"/>
          <w:szCs w:val="20"/>
          <w:color w:val="auto"/>
        </w:rPr>
      </w:pPr>
    </w:p>
    <w:p>
      <w:pPr>
        <w:jc w:val="both"/>
        <w:ind w:left="1020" w:hanging="1021"/>
        <w:spacing w:after="0" w:line="252" w:lineRule="auto"/>
        <w:rPr>
          <w:sz w:val="20"/>
          <w:szCs w:val="20"/>
          <w:color w:val="auto"/>
        </w:rPr>
      </w:pPr>
      <w:r>
        <w:rPr>
          <w:rFonts w:ascii="Times New Roman" w:cs="Times New Roman" w:eastAsia="Times New Roman" w:hAnsi="Times New Roman"/>
          <w:sz w:val="20"/>
          <w:szCs w:val="20"/>
          <w:color w:val="auto"/>
        </w:rPr>
        <w:t>Level 3 — 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examination.</w:t>
      </w:r>
    </w:p>
    <w:p>
      <w:pPr>
        <w:spacing w:after="0" w:line="74"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categorization of a financial instrument within the valuation hierarchy is based on the lowest level of input that is significant to the fair value measurement.</w:t>
      </w:r>
    </w:p>
    <w:p>
      <w:pPr>
        <w:spacing w:after="0" w:line="49"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The Company’s cash equivalents and restricted cash are carried at fair values as determined according to the fair value hierarchy described above (see Note 5, “Fair Value Measurements”). The carrying value of accounts receivable, accounts payable and accrued expenses approximate their respective fair value due to the short-term nature of these assets and liabilities. The carrying value of outstanding borrowings under the line of credit agreements approximates fair value as it bears interest at a rate approximating a market interest rate.</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10800"/>
          </w:cols>
          <w:pgMar w:left="720" w:top="696" w:right="720" w:bottom="187" w:gutter="0" w:footer="0" w:header="0"/>
          <w:type w:val="continuous"/>
        </w:sectPr>
      </w:pPr>
    </w:p>
    <w:bookmarkStart w:id="76" w:name="page77"/>
    <w:bookmarkEnd w:id="7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8"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Loans held-for-investment are carried at amortized cost and reduced by a valuation allowance for estimated credit losses, as necessary. The Company recognizes interest income on loans, including the amortization of discounts and premiums, loan fees paid and received, using the interest method. The interest method is applied on a loan-by-loan basis when collectability of the future payments is reasonably assured. Premiums and discounts are recognized as yield adjustments over the term of the related loans.</w:t>
      </w:r>
    </w:p>
    <w:p>
      <w:pPr>
        <w:spacing w:after="0" w:line="74"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A detailed description of fair value measurement of the assets of the non-U.S. defined benefit plan is included in Note 15, “Retirement Plans.”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 Accounts Receivable, Net</w:t>
      </w:r>
    </w:p>
    <w:p>
      <w:pPr>
        <w:spacing w:after="0" w:line="120"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A receivable is a right to consideration that is unconditional where only the passage of time is required before payment is due. Accounts receivables are presented net of a provision for expected credit losses, which is an estimate of amounts that may not be collectible and returns and sales allowances.</w:t>
      </w:r>
    </w:p>
    <w:p>
      <w:pPr>
        <w:spacing w:after="0" w:line="68"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The provision for expected credit losses is our estimate of current expected credit losses (“CECL”) based on historical loss experience. The Company periodically performs detailed reviews to assess the adequacy of the allowance. The Company exercises judgment in estimating the timing, frequency and severity of losses. The Company uses an aging schedule method to estimate current expected credit losses based on days of delinquency, including information about past events and current economic conditions, as well as future forecasts of economic conditions. The Company’s accounts receivable is separated into two categories using a portfolio methodology to evaluate the allowance under the CECL impairment model based on sales categorization and similar credit quality and worthiness of the customers: original equipment manufacturers and distributors. The receivables in each category share similar risk characteristics. The Company increases the allowance for expected credit losses when the Company determines all or a portion of a receivable is uncollectible. The Company recognizes recoveries as a decrease to the allowance for expected credit losses. Adjustments to the allowance for expected credit losses are recorded as selling, general and administrative expenses in the consolidated statements of operations.</w:t>
      </w:r>
    </w:p>
    <w:p>
      <w:pPr>
        <w:spacing w:after="0" w:line="89"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Sales allowances include sales in which the amount of consideration that the Company will receive is unknown as of the end of a reporting period. Such consideration primarily includes price protection provisions provided to distributors. The Company estimates potential future sales allowances based on historical data from prior sales adjustments. Historical experience can change over time. As a result, estimated sales allowances may differ significantly from amounts recorded in the current and historical periods.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p>
      <w:pPr>
        <w:spacing w:after="0" w:line="120"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Inventories are stated at the lower of cost or net realizable value, with cost being determined using a standard costing system that approximates actual costs, based on a first-in, first-out method. Inventory costs include materials, labor and manufacturing overhead. The Company records inventory provisions when conditions exist that suggest that inventory may be in excess of anticipated demand, is obsolete based upon expected future demand for products and market conditions, or quality-related rejections. These provisions are reported as a reduction to raw materials and supplies, work in process and finished goods. The Company regularly evaluates the ability to realize the value of inventory based on a combination of factors, including historical usage rates, forecasted sales or usage, and product end of life dates. Assumptions used in determining management’s estimates of future product demand may prove to be incorrect, in which case the provision required for excess and obsolete inventory would have to be adjusted in the future. Although the Company performs a detailed review of its forecasts of future product demand, any significant unanticipated changes in demand could have a significant impact on the value of the Company’s inventory and reported operating results.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Plant and Equipment, Net</w:t>
      </w:r>
    </w:p>
    <w:p>
      <w:pPr>
        <w:spacing w:after="0" w:line="120"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Property, plant and equipment, net, including improvements that significantly add to productive capacity or extend useful life, are stated at historical cost less accumulated depreciation. Depreciation is computed using the straight-line method over the estimated useful lives of the assets. The Company capitalizes interest on certain projects with long-term construction periods. Maintenance and repairs expenditures are charged to expense as incurred. Estimated useful lives of the respective property, plant and equipment assets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Asset</w:t>
            </w:r>
          </w:p>
        </w:tc>
        <w:tc>
          <w:tcPr>
            <w:tcW w:w="180" w:type="dxa"/>
            <w:vAlign w:val="bottom"/>
            <w:tcBorders>
              <w:bottom w:val="single" w:sz="8" w:color="E2E2E2"/>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20" w:type="dxa"/>
            <w:vAlign w:val="bottom"/>
            <w:tcBorders>
              <w:bottom w:val="single" w:sz="8" w:color="auto"/>
            </w:tcBorders>
          </w:tcPr>
          <w:p>
            <w:pPr>
              <w:ind w:left="3040"/>
              <w:spacing w:after="0"/>
              <w:rPr>
                <w:sz w:val="20"/>
                <w:szCs w:val="20"/>
                <w:color w:val="auto"/>
              </w:rPr>
            </w:pPr>
            <w:r>
              <w:rPr>
                <w:rFonts w:ascii="Times New Roman" w:cs="Times New Roman" w:eastAsia="Times New Roman" w:hAnsi="Times New Roman"/>
                <w:sz w:val="20"/>
                <w:szCs w:val="20"/>
                <w:b w:val="1"/>
                <w:bCs w:val="1"/>
                <w:color w:val="auto"/>
              </w:rPr>
              <w:t>Useful Life</w:t>
            </w:r>
          </w:p>
        </w:tc>
      </w:tr>
      <w:tr>
        <w:trPr>
          <w:trHeight w:val="225"/>
        </w:trPr>
        <w:tc>
          <w:tcPr>
            <w:tcW w:w="322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Buildings</w:t>
            </w:r>
          </w:p>
        </w:tc>
        <w:tc>
          <w:tcPr>
            <w:tcW w:w="180" w:type="dxa"/>
            <w:vAlign w:val="bottom"/>
            <w:shd w:val="clear" w:color="auto" w:fill="E2E2E2"/>
          </w:tcPr>
          <w:p>
            <w:pPr>
              <w:spacing w:after="0"/>
              <w:rPr>
                <w:sz w:val="19"/>
                <w:szCs w:val="19"/>
                <w:color w:val="auto"/>
              </w:rPr>
            </w:pPr>
          </w:p>
        </w:tc>
        <w:tc>
          <w:tcPr>
            <w:tcW w:w="7400" w:type="dxa"/>
            <w:vAlign w:val="bottom"/>
            <w:gridSpan w:val="2"/>
            <w:shd w:val="clear" w:color="auto" w:fill="E2E2E2"/>
          </w:tcPr>
          <w:p>
            <w:pPr>
              <w:ind w:left="40"/>
              <w:spacing w:after="0" w:line="225" w:lineRule="exact"/>
              <w:rPr>
                <w:sz w:val="20"/>
                <w:szCs w:val="20"/>
                <w:color w:val="auto"/>
              </w:rPr>
            </w:pPr>
            <w:r>
              <w:rPr>
                <w:rFonts w:ascii="Times New Roman" w:cs="Times New Roman" w:eastAsia="Times New Roman" w:hAnsi="Times New Roman"/>
                <w:sz w:val="20"/>
                <w:szCs w:val="20"/>
                <w:color w:val="auto"/>
              </w:rPr>
              <w:t>31 years</w:t>
            </w:r>
          </w:p>
        </w:tc>
      </w:t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Buildings improvements</w:t>
            </w:r>
          </w:p>
        </w:tc>
        <w:tc>
          <w:tcPr>
            <w:tcW w:w="180" w:type="dxa"/>
            <w:vAlign w:val="bottom"/>
          </w:tcPr>
          <w:p>
            <w:pPr>
              <w:spacing w:after="0"/>
              <w:rPr>
                <w:sz w:val="20"/>
                <w:szCs w:val="20"/>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Economic life of the building improvements</w:t>
            </w:r>
          </w:p>
        </w:tc>
      </w:tr>
      <w:tr>
        <w:trPr>
          <w:trHeight w:val="230"/>
        </w:trPr>
        <w:tc>
          <w:tcPr>
            <w:tcW w:w="32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80" w:type="dxa"/>
            <w:vAlign w:val="bottom"/>
            <w:shd w:val="clear" w:color="auto" w:fill="E2E2E2"/>
          </w:tcPr>
          <w:p>
            <w:pPr>
              <w:spacing w:after="0"/>
              <w:rPr>
                <w:sz w:val="20"/>
                <w:szCs w:val="20"/>
                <w:color w:val="auto"/>
              </w:rPr>
            </w:pPr>
          </w:p>
        </w:tc>
        <w:tc>
          <w:tcPr>
            <w:tcW w:w="740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The shorter of the remaining term of the lease or estimated useful life</w:t>
            </w:r>
          </w:p>
        </w:tc>
      </w:t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Machinery and equipment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3</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- 10 years</w:t>
            </w:r>
          </w:p>
        </w:tc>
      </w:tr>
      <w:tr>
        <w:trPr>
          <w:trHeight w:val="230"/>
        </w:trPr>
        <w:tc>
          <w:tcPr>
            <w:tcW w:w="32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Office Equipment</w:t>
            </w:r>
          </w:p>
        </w:tc>
        <w:tc>
          <w:tcPr>
            <w:tcW w:w="360" w:type="dxa"/>
            <w:vAlign w:val="bottom"/>
            <w:gridSpan w:val="2"/>
            <w:shd w:val="clear" w:color="auto" w:fill="E2E2E2"/>
          </w:tcPr>
          <w:p>
            <w:pPr>
              <w:ind w:left="220"/>
              <w:spacing w:after="0"/>
              <w:rPr>
                <w:sz w:val="20"/>
                <w:szCs w:val="20"/>
                <w:color w:val="auto"/>
              </w:rPr>
            </w:pPr>
            <w:r>
              <w:rPr>
                <w:rFonts w:ascii="Times New Roman" w:cs="Times New Roman" w:eastAsia="Times New Roman" w:hAnsi="Times New Roman"/>
                <w:sz w:val="20"/>
                <w:szCs w:val="20"/>
                <w:color w:val="auto"/>
              </w:rPr>
              <w:t>3</w:t>
            </w:r>
          </w:p>
        </w:tc>
        <w:tc>
          <w:tcPr>
            <w:tcW w:w="7220" w:type="dxa"/>
            <w:vAlign w:val="bottom"/>
            <w:shd w:val="clear" w:color="auto" w:fill="E2E2E2"/>
          </w:tcPr>
          <w:p>
            <w:pPr>
              <w:ind w:left="20"/>
              <w:spacing w:after="0"/>
              <w:rPr>
                <w:sz w:val="20"/>
                <w:szCs w:val="20"/>
                <w:color w:val="auto"/>
              </w:rPr>
            </w:pPr>
            <w:r>
              <w:rPr>
                <w:rFonts w:ascii="Times New Roman" w:cs="Times New Roman" w:eastAsia="Times New Roman" w:hAnsi="Times New Roman"/>
                <w:sz w:val="20"/>
                <w:szCs w:val="20"/>
                <w:color w:val="auto"/>
              </w:rPr>
              <w:t>- 7 years</w:t>
            </w:r>
          </w:p>
        </w:tc>
      </w:tr>
    </w:tbl>
    <w:p>
      <w:pPr>
        <w:spacing w:after="0" w:line="200" w:lineRule="exact"/>
        <w:rPr>
          <w:sz w:val="20"/>
          <w:szCs w:val="20"/>
          <w:color w:val="auto"/>
        </w:rPr>
      </w:pP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10800"/>
          </w:cols>
          <w:pgMar w:left="720" w:top="696" w:right="720" w:bottom="187" w:gutter="0" w:footer="0" w:header="0"/>
          <w:type w:val="continuous"/>
        </w:sectPr>
      </w:pPr>
    </w:p>
    <w:bookmarkStart w:id="77" w:name="page78"/>
    <w:bookmarkEnd w:id="7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 Net</w:t>
      </w:r>
    </w:p>
    <w:p>
      <w:pPr>
        <w:spacing w:after="0" w:line="120"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Intangible assets, net primarily consist of identified intangible assets related to completed acquisitions, as well as capitalized costs to acquire and defend patent and trademark-related awards. In addition, the Company holds technology, customer relationships, and non-compete agreements. The Company’s intangible assets are amortized using a method that approximates their economic benefit over their estimated useful lives ranging from three to 15 years.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Long-lived assets consist of property, plant and equipment, finite-lived intangibles, such as patents, completed technologies, customer relationships and indefinite-lived intangible assets such as process technology and trademarks.</w:t>
      </w:r>
    </w:p>
    <w:p>
      <w:pPr>
        <w:spacing w:after="0" w:line="49"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Property, plant and equipment, intangible assets and other finite-lived assets are tested for impairment whenever events or changes in business circumstances indicate that the carrying amount of the assets may not be fully recoverable. Factors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If such assets are not impaired, but their useful lives have decreased, the remaining net book value is amortized over the revised useful life.</w:t>
      </w:r>
    </w:p>
    <w:p>
      <w:pPr>
        <w:spacing w:after="0" w:line="86"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Indefinite-lived intangible assets are reviewed for impairment at least annually or whenever events or changes in circumstances indicate that it is more likely than not that the asset is impaired. The impairment test consists of a qualitative assessment to determine if events or changes in circumstances indicate that the carrying amount of the assets may not be fully recoverable. Factors that the Company considers in deciding when to perform a quantitative impairment review include significant underperformance of the business in relation to expectations, significant negative industry or economic trends and significant changes or planned changes in the use of the assets. If such events occur, a comparison of the fair value of the intangible asset with its carrying value is performed. If the carrying value of the intangible asset exceeds its fair value, an impairment loss is recognized in an amount equal to that excess. The Company has elected the first business day of the fourth quarter of its fiscal year as the annual impairment testing date.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120"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Goodwill represents the excess of the purchase price in a business combination over the fair value of the net tangible and intangible assets acquired. Goodwill is not amortized, but rather is assessed for impairment at the reporting unit level annually during the fourth quarter of each fiscal year or more frequently if we believe indicators of impairment exist.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w:t>
      </w:r>
    </w:p>
    <w:p>
      <w:pPr>
        <w:spacing w:after="0" w:line="7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 testing goodwill for impairment, the Company has the option to first consider qualitative factors to determine whether it is more likely than not that the fair value of a reporting unit is less than its carrying value. Such qualitative factors include industry and market considerations, economic conditions, entity-specific financial performance and other events, such as changes in management, strategy and primary customer base. If based on the Company’s qualitative assessment it is more likely than not that the fair value of the reporting unit is less than its carrying amount, quantitative impairment testing is required. However, if the Company concludes otherwise, quantitative impairment testing is not required. The results of the Company’s qualitative goodwill impairment test performed on the first business day of the fourth quarter for fiscal years 2026, 2025 and 2024 did not indicate any impairments.</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10800"/>
          </w:cols>
          <w:pgMar w:left="720" w:top="696" w:right="720" w:bottom="187" w:gutter="0" w:footer="0" w:header="0"/>
          <w:type w:val="continuous"/>
        </w:sectPr>
      </w:pPr>
    </w:p>
    <w:bookmarkStart w:id="78" w:name="page79"/>
    <w:bookmarkEnd w:id="7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20"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At the inception of an arrangement, the Company determines whether the arrangement is a lease arrangement or contains a lease based on the unique facts and circumstances present. Leases with a term greater than 12 months are recognized on the balance sheet as right-of-use (“ROU”) assets with a corresponding lease liability. The Company has elected not to recognize on the consolidated balance sheets leases with an initial term of 12 months or less. Leases with an initial term of 12 months or less are directly expensed as incurred. Leases are classified as either operating or finance depending on the specific terms of the arrangement.</w:t>
      </w:r>
    </w:p>
    <w:p>
      <w:pPr>
        <w:spacing w:after="0" w:line="77"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The Company’s leases mainly consist of facilities, office equipment, and vehicles. The majority of leases are classified as operating leases. Certain lease agreements contain provisions for future rent increases. Lease payments included in the measurement of the lease liability comprise fixed payments and future rent increases tied to an index or rate. Future rent increases dependent on an index or rate are initially measured at the index or rate at the commencement date. The Company’s leases typically do not contain residual value guarantees.</w:t>
      </w:r>
    </w:p>
    <w:p>
      <w:pPr>
        <w:spacing w:after="0" w:line="77"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At the commencement date, operating and finance lease liabilities and their corresponding ROU assets are recorded based on the present value of lease payments over the expected lease term. The lease term includes the non-cancelable period of the lease, plus any additional periods covered by either a Company option to extend (or not to terminate) the lease that the Company is reasonably certain to exercise, or an option to extend (or not to terminate) the lease controlled by the lessor. The interest rate implicit in a lease contract is typically not readily determinable, therefore an incremental borrowing rate is used to calculate the lease liability. The incremental borrowing rate is the rate incurred to borrow on a collateralized basis over a similar term an amount equal to the lease payments in a similar economic environment. Certain adjustments to the ROU asset may be required for items such as prepayments, lease incentives received or initial direct costs paid.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Warranties</w:t>
      </w:r>
    </w:p>
    <w:p>
      <w:pPr>
        <w:spacing w:after="0" w:line="120"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The Company provides warranties on its products to its customers, generally for one year from the date of shipment and in limited cases for longer periods. In the event of a failure of a product covered by these warranties, the Company must repair or replace the product or, if those remedies are insufficient, and at the discretion of the Company, provide a refund. In limited cases, the Company warrants its products to include significant liability beyond the cost of repairing or replacing the product or refunding the sales price of the product. The Company periodically assesses the adequacy of the warranty reserve and adjusts the amount, as necessary. If there is a material increase in the rate of customer claims, or the Company’s estimates of probable losses relating to specifically identified warranty exposures are inaccurate, the Company may need to record a charge against future cost of goods sold. There were $3,193 and $1,026 accrued for warranty reserves as of March 27, 2026 and March 28, 2025, respectively.</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10800"/>
          </w:cols>
          <w:pgMar w:left="720" w:top="696" w:right="720" w:bottom="187" w:gutter="0" w:footer="0" w:header="0"/>
          <w:type w:val="continuous"/>
        </w:sectPr>
      </w:pPr>
    </w:p>
    <w:bookmarkStart w:id="79" w:name="page80"/>
    <w:bookmarkEnd w:id="7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20"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Revenue is recognized on contracts with customers when transfer of control to the customer occurs in exchange for an amount reflecting the consideration that the Company expects to be entitled. In order to achieve this core principle, the Company applies the following five step approach:</w:t>
      </w:r>
    </w:p>
    <w:p>
      <w:pPr>
        <w:spacing w:after="0" w:line="68" w:lineRule="exact"/>
        <w:rPr>
          <w:sz w:val="20"/>
          <w:szCs w:val="20"/>
          <w:color w:val="auto"/>
        </w:rPr>
      </w:pPr>
    </w:p>
    <w:p>
      <w:pPr>
        <w:jc w:val="both"/>
        <w:ind w:firstLine="547"/>
        <w:spacing w:after="0" w:line="247" w:lineRule="auto"/>
        <w:tabs>
          <w:tab w:leader="none" w:pos="86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Identify the contract with a customer </w:t>
      </w:r>
      <w:r>
        <w:rPr>
          <w:rFonts w:ascii="Times New Roman" w:cs="Times New Roman" w:eastAsia="Times New Roman" w:hAnsi="Times New Roman"/>
          <w:sz w:val="20"/>
          <w:szCs w:val="20"/>
          <w:color w:val="auto"/>
        </w:rPr>
        <w:t>— The Company considers customer purchase orders, which in some cases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governed by master agreements, to be customer contracts. A contract exists when it is approved by both parties, each party’s rights and obligations are identified, payment terms are known, the customer has the ability and intent to pay and the contract has commercial substance. The Company uses judgment in determining the customer’s ability and intent to pay, which is based on factors such as the customer’s historical payment experience or, for new customers, credit and financial information pertaining to the customers.</w:t>
      </w:r>
    </w:p>
    <w:p>
      <w:pPr>
        <w:spacing w:after="0" w:line="79" w:lineRule="exact"/>
        <w:rPr>
          <w:rFonts w:ascii="Times New Roman" w:cs="Times New Roman" w:eastAsia="Times New Roman" w:hAnsi="Times New Roman"/>
          <w:sz w:val="20"/>
          <w:szCs w:val="20"/>
          <w:color w:val="auto"/>
        </w:rPr>
      </w:pPr>
    </w:p>
    <w:p>
      <w:pPr>
        <w:jc w:val="both"/>
        <w:ind w:firstLine="547"/>
        <w:spacing w:after="0" w:line="247" w:lineRule="auto"/>
        <w:tabs>
          <w:tab w:leader="none" w:pos="837"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Identify the performance obligations in the contract </w:t>
      </w:r>
      <w:r>
        <w:rPr>
          <w:rFonts w:ascii="Times New Roman" w:cs="Times New Roman" w:eastAsia="Times New Roman" w:hAnsi="Times New Roman"/>
          <w:sz w:val="20"/>
          <w:szCs w:val="20"/>
          <w:color w:val="auto"/>
        </w:rPr>
        <w:t>— Performance obligations are identified as products and services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products or services is separately identifiable from other promises in the contract. Substantially, all of the Company’s contracts with customers contain a single performance obligation, such as the sale of mixed-signal integrated circuit products.</w:t>
      </w:r>
    </w:p>
    <w:p>
      <w:pPr>
        <w:spacing w:after="0" w:line="79" w:lineRule="exact"/>
        <w:rPr>
          <w:rFonts w:ascii="Times New Roman" w:cs="Times New Roman" w:eastAsia="Times New Roman" w:hAnsi="Times New Roman"/>
          <w:sz w:val="20"/>
          <w:szCs w:val="20"/>
          <w:color w:val="auto"/>
        </w:rPr>
      </w:pPr>
    </w:p>
    <w:p>
      <w:pPr>
        <w:jc w:val="both"/>
        <w:ind w:firstLine="547"/>
        <w:spacing w:after="0" w:line="258" w:lineRule="auto"/>
        <w:tabs>
          <w:tab w:leader="none" w:pos="84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Determine the transaction price </w:t>
      </w:r>
      <w:r>
        <w:rPr>
          <w:rFonts w:ascii="Times New Roman" w:cs="Times New Roman" w:eastAsia="Times New Roman" w:hAnsi="Times New Roman"/>
          <w:sz w:val="20"/>
          <w:szCs w:val="20"/>
          <w:color w:val="auto"/>
        </w:rPr>
        <w:t>— The transaction price is determined based on the consideration to which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expects to be entitled in exchange for transferring products to the customer. Variable consideration is included in the transaction price if, in the Company’s judgment, it is probable that no significant future reversal of cumulative revenue under the contract will occur.</w:t>
      </w:r>
    </w:p>
    <w:p>
      <w:pPr>
        <w:spacing w:after="0" w:line="68" w:lineRule="exact"/>
        <w:rPr>
          <w:rFonts w:ascii="Times New Roman" w:cs="Times New Roman" w:eastAsia="Times New Roman" w:hAnsi="Times New Roman"/>
          <w:sz w:val="20"/>
          <w:szCs w:val="20"/>
          <w:color w:val="auto"/>
        </w:rPr>
      </w:pPr>
    </w:p>
    <w:p>
      <w:pPr>
        <w:jc w:val="both"/>
        <w:ind w:firstLine="547"/>
        <w:spacing w:after="0" w:line="252" w:lineRule="auto"/>
        <w:tabs>
          <w:tab w:leader="none" w:pos="88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Allocate the transaction price to the performance obligations in the contract </w:t>
      </w:r>
      <w:r>
        <w:rPr>
          <w:rFonts w:ascii="Times New Roman" w:cs="Times New Roman" w:eastAsia="Times New Roman" w:hAnsi="Times New Roman"/>
          <w:sz w:val="20"/>
          <w:szCs w:val="20"/>
          <w:color w:val="auto"/>
        </w:rPr>
        <w:t>— If the contract contains a single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performance obligation, the entire transaction price is allocated to that performance obligation. Contracts that contain multiple performance obligations require an allocation of the transaction price to each performance obligation based on a relative standalone selling price.</w:t>
      </w:r>
    </w:p>
    <w:p>
      <w:pPr>
        <w:spacing w:after="0" w:line="74" w:lineRule="exact"/>
        <w:rPr>
          <w:rFonts w:ascii="Times New Roman" w:cs="Times New Roman" w:eastAsia="Times New Roman" w:hAnsi="Times New Roman"/>
          <w:sz w:val="20"/>
          <w:szCs w:val="20"/>
          <w:color w:val="auto"/>
        </w:rPr>
      </w:pPr>
    </w:p>
    <w:p>
      <w:pPr>
        <w:jc w:val="both"/>
        <w:ind w:firstLine="547"/>
        <w:spacing w:after="0" w:line="258" w:lineRule="auto"/>
        <w:tabs>
          <w:tab w:leader="none" w:pos="85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Recognize revenue when a performance obligation is satisfied </w:t>
      </w:r>
      <w:r>
        <w:rPr>
          <w:rFonts w:ascii="Times New Roman" w:cs="Times New Roman" w:eastAsia="Times New Roman" w:hAnsi="Times New Roman"/>
          <w:sz w:val="20"/>
          <w:szCs w:val="20"/>
          <w:color w:val="auto"/>
        </w:rPr>
        <w:t>— Revenue is recognized when control of the product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transferred to the customer (i.e., when the Company’s performance obligation is satisfied), which typically occurs at a point in time at shipment or delivery, depending on the terms of the contract.</w:t>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Sales channels</w:t>
      </w:r>
    </w:p>
    <w:p>
      <w:pPr>
        <w:spacing w:after="0" w:line="118"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The Company sells products globally through its direct sales force, third-party distributors, independent sales representatives and consignment. The Company records revenue based on the amount of any discounted arrangement fee. When the Company transacts with a distributor, its contractual arrangement is with the distributor and not with the end customer. Whether the Company transacts business with and receives the order from a distributor or directly from an end customer, its revenue recognition policy and resulting pattern of revenue recognition for the order are the same.</w:t>
      </w:r>
    </w:p>
    <w:p>
      <w:pPr>
        <w:spacing w:after="0" w:line="77"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The Company also uses independent sales representatives to assist in the sales process with certain customers. Sales representatives are not distributors. If a sales representative is engaged in the sales process, the Company receives the order directly from and sells the products directly to the end customer. The Company pays a commission to the sales representative, calculated as a percentage of the related customer payment. Sales representatives’ commissions are recorded as expenses when incurred and are classified as selling, general and administrative expenses in the Company’s consolidated statements of operations.</w:t>
      </w:r>
    </w:p>
    <w:p>
      <w:pPr>
        <w:spacing w:after="0" w:line="77"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For consignment arrangements with distributors, delivery occurs and revenue is recognized when the distributor pulls product from consignment inventory that is stored at designated distributor locations. Recognition is not contingent upon resale of the products to the distributors’ customers. Until the products are pulled for use or sale by the distributor, the Company retains control over the products’ disposition, including the right to pull back or relocate the products.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Variable consideration</w:t>
      </w:r>
    </w:p>
    <w:p>
      <w:pPr>
        <w:spacing w:after="0" w:line="118"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Variable consideration includes sales in which the amount of consideration that the Company will receive is unknown as of the end of a reporting period. Such consideration primarily includes price protection provisions provided to distributors, sales under agreements that allow rights of return, referred to as stock rotation, provided to distributors, discounts and credits provided to distributors and returns provisions offered to direct customers. The Company estimates potential future returns, credits, and sales allowances based on historical return rates, anticipated customer claims, credits issued, and changes in product sales to customers.</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10800"/>
          </w:cols>
          <w:pgMar w:left="720" w:top="696" w:right="720" w:bottom="187" w:gutter="0" w:footer="0" w:header="0"/>
          <w:type w:val="continuous"/>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Practical expedients elected</w:t>
      </w:r>
    </w:p>
    <w:p>
      <w:pPr>
        <w:spacing w:after="0" w:line="118"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Revenue recognized is adjusted based on allowances, which are prepared on a portfolio basis using a most likely amount methodology. The length of time between revenue recognition and payment is not significant under any of the Company’s payment terms. Moreover, if the period between revenue recognition and when the customer pays is one year or less, the Company elected not to account for the significant financing component.</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Other Revenue Recognition Policies</w:t>
      </w:r>
    </w:p>
    <w:p>
      <w:pPr>
        <w:spacing w:after="0" w:line="118"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Shipping and handling activities are not considered a contractual performance obligation. The Company records shipping and handling costs billed to customers as revenue with offsetting costs recorded as cost of sale.</w:t>
      </w:r>
    </w:p>
    <w:p>
      <w:pPr>
        <w:spacing w:after="0" w:line="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Contract Assets and Contract Liabilities</w:t>
      </w:r>
    </w:p>
    <w:p>
      <w:pPr>
        <w:spacing w:after="0" w:line="118"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Contract assets and contract liabilities (deferred revenue) net are reported at the contract level for each reporting period. Contract assets typically result from contracts when revenue recognized exceeds the amount billed to the customer, and right to payment is not just subject to the passage of time. Contract assets are transferred to accounts receivable when the rights become unconditional. The Company had no material contract assets as of March 27, 2026 or March 28, 2025.</w:t>
      </w:r>
    </w:p>
    <w:p>
      <w:pPr>
        <w:spacing w:after="0" w:line="74"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Contract liabilities typically result from billings in excess of revenues recognized and relate to products shipped near the end of the reporting period for which the required revenue recognition criteria were not met. The Company had no material contract liabilities as of March 27, 2026 or March 28,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20"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The Company recognizes compensation costs for all stock-based compensation awards made to employees based upon the awards’ estimated grant-date fair value. Typically, stock-based compensation expense is recognized evenly over the vesting period. However, stock-based compensation expense related to performance-based awards is recognized relative to the probability of achievement of the requisite milestones during the vesting period. The Company accounts for forfeitures as they occur. Determining the fair value of certain stock-based compensation awards at the grant date requires judgment, including estimating the expected life of the stock awards and the volatility of the underlying market-based and projected future cash flow assumptions. Any changes to those estimates that the Company makes from time to time may have a significant impact on the stock-based compensation expense recorded and could materially impact the Company’s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20"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The Company commits substantial capital and resources to internal and collaborative research and development projects in order to provide innovative products and solutions to its customers. The Company conducts research primarily to develop new technologies, enhance current product performance, improve the functionality and reliability of existing products, and develop revolutionary new products and solutions. Research and development costs are expensed as incurred and include salaries, wages and other personnel-related costs, material costs and depreciation, consulting costs, software licensing costs, maintenance costs and facility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Pension and Other Postretirement Benefit Obligations</w:t>
      </w:r>
    </w:p>
    <w:p>
      <w:pPr>
        <w:spacing w:after="0" w:line="120"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The Company, through its subsidiaries, has various foreign defined benefit plans as well as U.S. defined contribution plans. Accredited independent actuaries calculate related plan assets, liabilities and expenses. The Company is required to make certain assumptions to assign value to the plan assets and liabilities. These assumptions are reviewed annually, based on current plan information and consultations with independent investment advisors and actuaries. The Company does not offer other defined benefits associated with postretirement benefit plans other than pensions.</w:t>
      </w:r>
    </w:p>
    <w:p>
      <w:pPr>
        <w:spacing w:after="0" w:line="77"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The Company recognizes the funded status of a benefit plan on its consolidated balance sheets and recognizes gains, losses and prior service cost or credits that arise during the period that are not recognized as components of net periodic benefit cost as a component of other comprehensive (loss) income, net of tax. In addition, the Company measures defined benefit plan assets and obligations as of the date of the employer’s fiscal year-end consolidated balance sheets and discloses in the notes to the consolidated financial statements the gains or losses, prior service costs or credits and transition asset or obligation.</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10800"/>
          </w:cols>
          <w:pgMar w:left="720" w:top="696" w:right="720" w:bottom="187" w:gutter="0" w:footer="0" w:header="0"/>
          <w:type w:val="continuous"/>
        </w:sectPr>
      </w:pPr>
    </w:p>
    <w:bookmarkStart w:id="81" w:name="page82"/>
    <w:bookmarkEnd w:id="81"/>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0" w:lineRule="exact"/>
        <w:rPr>
          <w:sz w:val="20"/>
          <w:szCs w:val="20"/>
          <w:color w:val="auto"/>
        </w:rPr>
      </w:pPr>
    </w:p>
    <w:p>
      <w:pPr>
        <w:jc w:val="both"/>
        <w:ind w:firstLine="540"/>
        <w:spacing w:after="0" w:line="245"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which requires the recognition of deferred tax assets and liabilities for the expected future tax consequences of temporary differences between the financial statement and tax basis of assets and liabilities, as measured by enacted tax rates anticipated to be in effect when these differences are expected to reverse. This method also requires the recognition of future tax benefits to the extent that realization of such benefits is more likely than not. Deferred tax expense or benefit is the result of changes in the deferred tax assets and liabilities. The Company assesses the likelihood that its deferred tax assets will be recovered from future taxable income and, to the extent it believes, based upon the weight of available evidence, it is more likely than not that some or all of the deferred tax assets will not be realized, a valuation allowance is established.</w:t>
      </w:r>
    </w:p>
    <w:p>
      <w:pPr>
        <w:spacing w:after="0" w:line="82" w:lineRule="exact"/>
        <w:rPr>
          <w:sz w:val="20"/>
          <w:szCs w:val="20"/>
          <w:color w:val="auto"/>
        </w:rPr>
      </w:pPr>
    </w:p>
    <w:p>
      <w:pPr>
        <w:jc w:val="both"/>
        <w:ind w:firstLine="540"/>
        <w:spacing w:after="0" w:line="244" w:lineRule="auto"/>
        <w:rPr>
          <w:sz w:val="20"/>
          <w:szCs w:val="20"/>
          <w:color w:val="auto"/>
        </w:rPr>
      </w:pPr>
      <w:r>
        <w:rPr>
          <w:rFonts w:ascii="Times New Roman" w:cs="Times New Roman" w:eastAsia="Times New Roman" w:hAnsi="Times New Roman"/>
          <w:sz w:val="20"/>
          <w:szCs w:val="20"/>
          <w:color w:val="auto"/>
        </w:rPr>
        <w:t>The Company recognizes a liability for potential payments of taxes to various tax authorities related to uncertain tax positions and other tax matters. The recorded liability is based on a determination of whether and how much of a tax benefit taken by the Company in its tax filings or positions is “more likely than not” to be realized. The amount of the benefit that may be recognized in the consolidated financial statements is the largest amount that has a greater than 50% likelihood of being realized upon ultimate settlement. To the extent that the assessment of such tax positions changes, the change in estimate is recorded in the period in which the determination is made. The Company establishes a liability, which is included in other long-term liabilities in the consolidated balance sheets, for tax-related uncertainties based on estimates of whether, and the extent to which, additional taxes will be due. These liabilities are established when the Company believes that certain positions might be challenged despite the Company’s belief that the tax return positions are fully supportable. The recorded liability is adjusted considering changes in the facts and circumstances. The provision for income taxes includes the impact of the recorded liability and changes thereto.</w:t>
      </w:r>
    </w:p>
    <w:p>
      <w:pPr>
        <w:spacing w:after="0" w:line="82"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Company recognizes interest and penalties related to uncertain tax positions as a component of income tax provision in the consolidated statements of operations. Accrued interest and penalties are included in accrued expenses and other current liabilities in the consolidated balance sheets.</w:t>
      </w:r>
    </w:p>
    <w:p>
      <w:pPr>
        <w:spacing w:after="0" w:line="68" w:lineRule="exact"/>
        <w:rPr>
          <w:sz w:val="20"/>
          <w:szCs w:val="20"/>
          <w:color w:val="auto"/>
        </w:rPr>
      </w:pPr>
    </w:p>
    <w:p>
      <w:pPr>
        <w:jc w:val="both"/>
        <w:ind w:firstLine="540"/>
        <w:spacing w:after="0" w:line="277" w:lineRule="auto"/>
        <w:rPr>
          <w:sz w:val="20"/>
          <w:szCs w:val="20"/>
          <w:color w:val="auto"/>
        </w:rPr>
      </w:pPr>
      <w:r>
        <w:rPr>
          <w:rFonts w:ascii="Times New Roman" w:cs="Times New Roman" w:eastAsia="Times New Roman" w:hAnsi="Times New Roman"/>
          <w:sz w:val="20"/>
          <w:szCs w:val="20"/>
          <w:color w:val="auto"/>
        </w:rPr>
        <w:t>All undistributed earnings of our foreign subsidiaries are permanently reinvested. Accordingly, the Company does not provide for U.S. income taxes on such undistributed earnings.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Income Per Share</w:t>
      </w:r>
    </w:p>
    <w:p>
      <w:pPr>
        <w:spacing w:after="0" w:line="120"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Basic net (loss) income per share is computed by dividing net (loss) income attributable to stockholders of the Company by the weighted-average number of common shares outstanding during the reporting period. Diluted net (loss) income per share is computed similarly to basic net (loss) income per share, except that it includes the potential dilution that could occur if dilutive securities were exercised. Information about potentially dilutive and antidilutive shares for the reporting period is provided in Note 17, “Net (Loss) Income per Share.”</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10800"/>
          </w:cols>
          <w:pgMar w:left="720" w:top="696" w:right="720" w:bottom="187" w:gutter="0" w:footer="0" w:header="0"/>
          <w:type w:val="continuous"/>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 and Significant Customers</w:t>
      </w:r>
    </w:p>
    <w:p>
      <w:pPr>
        <w:spacing w:after="0" w:line="120"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primarily of cash, cash equivalents and accounts receivable. The Company maintains its cash and cash equivalents with financial institutions that management believes to be of a high credit quality. To manage credit risk related to accounts receivables, the Company evaluates the creditworthiness of its customers and maintains allowances, to the extent necessary, for potential credit losses based upon the aging of its accounts receivable balances and known collection issues. The Company has not experienced any material credit losses during the prior two years.</w:t>
      </w:r>
    </w:p>
    <w:p>
      <w:pPr>
        <w:spacing w:after="0" w:line="8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As of both March 27, 2026 and March 28, 2025, no distributor or customer accounted for 10% or more of the Company’s outstanding trade accounts receivable.</w:t>
      </w:r>
    </w:p>
    <w:p>
      <w:pPr>
        <w:spacing w:after="0" w:line="49"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For the fiscal year ended March 29, 2024, Sanken Electric Co., Ltd. (“Sanken”) accounted for 0.6% of total net sales. For the fiscal years ended March 27, 2026, March 28, 2025 and March 29, 2024, sales to our largest, non-affiliated distributor accounted for 9.4%, 9.3%, and 10.2% of total net sales, respectively. No other customers accounted for 10% or more of total net sales for any of these periods. See Note 21, “Related Party Transactions” for a discussion of the termination, distribution and consulting agreements between Sanken and the Company to transition the marketing and sale of the Company’s products in Japan from Sanken to the Company.</w:t>
      </w:r>
    </w:p>
    <w:p>
      <w:pPr>
        <w:spacing w:after="0" w:line="80"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During the fiscal year ended March 27, 2026, sales from customers located outside of the United States in the aggregate accounted for 89.7% of the Company’s total net sales, with Greater China accounting for 28.0%, Japan accounting for 17.0% and Taiwan, included in Other Asia with net sales of $89,038, accounting for 10.0%. No other country accounted for greater than 10.0% of total net sales for the fiscal year ended March 27, 2026.</w:t>
      </w:r>
    </w:p>
    <w:p>
      <w:pPr>
        <w:spacing w:after="0" w:line="74"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During the fiscal year ended March 28, 2025, sales from customers located outside of the United States in the aggregate accounted for 87.2% of the Company’s total net sales, with Greater China accounting for 25.2%, Japan accounting for 21.2%, and South Korea accounting for 10.2%. No other country accounted for greater than 10.0% of total net sales for the fiscal year ended March 28, 2025.</w:t>
      </w:r>
    </w:p>
    <w:p>
      <w:pPr>
        <w:spacing w:after="0" w:line="74"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During the fiscal year ended March 29, 2024, sales from customers located outside of the United States in the aggregate accounted for 85.8% of the Company’s total net sales, with Greater China accounting for 26.2%, Japan accounting for 16.7%, and South Korea accounting for 10.9%. No other country accounted for greater than 10.0% of total net sales for the fiscal year ended March 29,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Comprehensive (Loss) Income</w:t>
      </w:r>
    </w:p>
    <w:p>
      <w:pPr>
        <w:spacing w:after="0" w:line="120"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Other comprehensive (loss) income refers to revenues, expenses, gains and losses that are excluded from net income as these amounts are recorded directly as an adjustment to stockholders’ equity, net of tax. The Company’s other comprehensive (loss) income was composed of foreign currency translation adjustments and pension liability adjustments.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Equity-Method Investments</w:t>
      </w:r>
    </w:p>
    <w:p>
      <w:pPr>
        <w:spacing w:after="0" w:line="120" w:lineRule="exact"/>
        <w:rPr>
          <w:sz w:val="20"/>
          <w:szCs w:val="20"/>
          <w:color w:val="auto"/>
        </w:rPr>
      </w:pPr>
    </w:p>
    <w:p>
      <w:pPr>
        <w:jc w:val="both"/>
        <w:ind w:firstLine="547"/>
        <w:spacing w:after="0" w:line="246" w:lineRule="auto"/>
        <w:rPr>
          <w:sz w:val="20"/>
          <w:szCs w:val="20"/>
          <w:color w:val="auto"/>
        </w:rPr>
      </w:pPr>
      <w:r>
        <w:rPr>
          <w:rFonts w:ascii="Times New Roman" w:cs="Times New Roman" w:eastAsia="Times New Roman" w:hAnsi="Times New Roman"/>
          <w:sz w:val="20"/>
          <w:szCs w:val="20"/>
          <w:color w:val="auto"/>
        </w:rPr>
        <w:t>The Company accounts for investments in common stock or partnership interests under the equity method if the Company has the ability to exercise significant influence, but not control, over an investee. Investments in equity-method investees are included within “Equity investment in related party” in the consolidated balance sheets. The Company’s proportional share of the earnings or losses as reported by equity-method investees are classified as “(Loss) income in earnings of equity investment” in the consolidated statements of operations. The Company regularly evaluates these investments, which are not carried at fair value, for other-than-temporary impairment and records any impairment charge in earnings when the decline in value below the carrying amount of its equity-method investment is determined to be other-than-temporary.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Subsequent Events Considerations</w:t>
      </w:r>
    </w:p>
    <w:p>
      <w:pPr>
        <w:spacing w:after="0" w:line="120"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The Company has evaluated all subsequent events and determined that, other than as reported herein, there are no material recognized or unrecognized subsequent events.</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10800"/>
          </w:cols>
          <w:pgMar w:left="720" w:top="696" w:right="720" w:bottom="187" w:gutter="0" w:footer="0" w:header="0"/>
          <w:type w:val="continuous"/>
        </w:sectPr>
      </w:pPr>
    </w:p>
    <w:bookmarkStart w:id="83" w:name="page84"/>
    <w:bookmarkEnd w:id="8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20"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In July 2025, the Financial Accounting Standards Board (“FASB”) issued Accounting Standards Update (“ASU”) No. 2025-05 Financial Instruments—Credit Losses (Topic 326): Measurement of Credit Losses for Accounts Receivable and Contract Assets (“ASU 2025-05”). ASU 2025-05 provides a practical expedient that can be elected to be applied to accounts receivable and contract assets, which would allow entities to assume that current conditions as of the balance sheet date do not change for the remaining life of the assets when estimating expected credit losses for such assets. ASU 2025-05 is effective for annual reporting periods that began after December 15, 2025 and interim reporting periods within those annual reporting periods. Early adoption is permitted. ASU 2025-05 is currently being evaluated by the Company, but it is not expected to have a material effect on the Company’s position or operations.</w:t>
      </w:r>
    </w:p>
    <w:p>
      <w:pPr>
        <w:spacing w:after="0" w:line="82"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In November 2024, the FASB issued ASU No. 2024-03, Income Statement—Reporting Comprehensive Income - Expense Disaggregation Disclosures (Subtopic 220-40): Disaggregation of Income Statement Expenses (“ASU 2024-03”). ASU 2024-03 requires additional disclosures of the nature of expenses included in the Company’s income statement. The new standard requires disclosures about specific types of expenses included in the expense captions presented on the face of the income statement as well as disclosures about selling expenses. ASU 2024-03 will be applied prospectively with the option for retrospective application. The FASB subsequently issued ASU 2025-01 Income Statement - Reporting Comprehensive Income - Expense Disaggregation Disclosures (Subtopic 220-40) to clarify that all public business entities are required to adopt the guidance as stipulated in ASU 2024-03 in annual reporting periods beginning after December 15, 2026, and interim periods within annual reporting periods beginning after December 15, 2027. Early adoption is permitted. The Company is currently evaluating the impact of adopting this guidance.</w:t>
      </w:r>
    </w:p>
    <w:p>
      <w:pPr>
        <w:spacing w:after="0" w:line="86"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In December 2023, the FASB issued ASU No. 2023-09, Income Taxes (Topic 740): Improvements to Income Tax Disclosures (“ASU 2023-09”). ASU 2023-09 requires entities to provide additional information of the Company’s tax rate reconciliation, as well as additional disclosures about income taxes paid by jurisdiction. ASU 2023-09 became effective for annual reporting periods that began after December 15, 2024, with early adoption permitted. ASU 2023-09 should be applied prospectively, but entities have the option to apply it retrospectively for each period presented. In fiscal year 2026, the Company adopted ASU 2023-09, which requires enhanced disaggregation of income taxes paid and the effective tax rate reconciliation. The Company adopted this guidance on a prospective basis; accordingly, the newly required disaggregated disclosures are provided for the current period, while prior period disclosures have not been retroactively adjusted and continue to be presented under the previous disclosure requirements, as permitted by ASU 2023-09.</w:t>
      </w:r>
    </w:p>
    <w:p>
      <w:pPr>
        <w:spacing w:after="0" w:line="86"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All other recent accounting pronouncements were determined to not have a material impact on the Company’s financial position, results of operations, cash flows, or related disclosures.</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10800"/>
          </w:cols>
          <w:pgMar w:left="720" w:top="696" w:right="720" w:bottom="187" w:gutter="0" w:footer="0" w:header="0"/>
          <w:type w:val="continuous"/>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4" w:lineRule="exact"/>
        <w:rPr>
          <w:sz w:val="20"/>
          <w:szCs w:val="20"/>
          <w:color w:val="auto"/>
        </w:rPr>
      </w:pPr>
    </w:p>
    <w:p>
      <w:pPr>
        <w:ind w:right="8260"/>
        <w:spacing w:after="0" w:line="367" w:lineRule="auto"/>
        <w:tabs>
          <w:tab w:leader="none" w:pos="547"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Business Combinations </w:t>
      </w:r>
      <w:r>
        <w:rPr>
          <w:rFonts w:ascii="Times New Roman" w:cs="Times New Roman" w:eastAsia="Times New Roman" w:hAnsi="Times New Roman"/>
          <w:sz w:val="20"/>
          <w:szCs w:val="20"/>
          <w:b w:val="1"/>
          <w:bCs w:val="1"/>
          <w:i w:val="1"/>
          <w:iCs w:val="1"/>
          <w:color w:val="auto"/>
        </w:rPr>
        <w:t>Crocus</w:t>
      </w:r>
    </w:p>
    <w:p>
      <w:pPr>
        <w:spacing w:after="0" w:line="1"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On August 7, 2023, the Company entered into an Agreement and Plan of Merger (the “Merger Agreement”) with Crocus Technology International Corp., (“Crocus”). Pursuant to the terms and conditions of the Merger Agreement, on October 31, 2023 (the “Closing Date”), the Company acquired all of the outstanding equity interests of Crocus. The acquisition of Crocus complemented and accelerated the Company’s tunnel magnetoresistance sensors roadmap and strengthens its position in the magnetic sensing market.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Notes Receivable from Crocus</w:t>
      </w:r>
    </w:p>
    <w:p>
      <w:pPr>
        <w:spacing w:after="0" w:line="118"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On September 11, 2023, to fund the ongoing operations of Crocus prior to the Closing Date, the Company entered into a note purchase agreement with Crocus, wherein the Company agreed to purchase promissory notes of up to $7,000. An initial promissory note of $4,000 was issued on September 11, 2023, and an additional promissory note was issued on October 2, 2023 for $3,000. The promissory notes were repaid in full in connection with the closing of the merger and included within the estimated fair value of consideration paid.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Allocation of Purchase Price</w:t>
      </w:r>
    </w:p>
    <w:p>
      <w:pPr>
        <w:spacing w:after="0" w:line="118"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The acquisition of Crocus was accounted for as a business combination. The purchase price for the acquisition was allocated based upon a valuation of the fair values of assets acquired and liabilities assumed. Assets acquired and liabilities assumed were recorded at their estimated fair values as of the acquisition date. Management applied the multi-period excess earnings method under the income approach to estimate the fair value of the completed technology asset and the distributor method under the income approach to estimate the fair value of the customer relationships asset. The fair value of intangible assets was based on estimates and assumptions developed by management. The process for estimating the fair values of identifiable intangible assets required the use of significant estimates and assumptions, including estimating future cash flows relating to revenue growth rates, operating margins, discount rates, and technology obsolescence curves. The excess of the purchase price over the fair values of tangible assets, identifiable intangible assets and assumed liabilities were recorded as goodwill for the acquisition. The allocation of the purchase price was finalized as of March 28, 2025, and no material changes have been made to the preliminary purchase price allocation.</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10800"/>
          </w:cols>
          <w:pgMar w:left="720" w:top="696" w:right="720" w:bottom="187" w:gutter="0" w:footer="0" w:header="0"/>
          <w:type w:val="continuous"/>
        </w:sectPr>
      </w:pPr>
    </w:p>
    <w:bookmarkStart w:id="85" w:name="page86"/>
    <w:bookmarkEnd w:id="85"/>
    <w:p>
      <w:pPr>
        <w:jc w:val="center"/>
        <w:ind w:left="2700"/>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ind w:left="26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ind w:left="2660"/>
        <w:spacing w:after="0"/>
        <w:rPr>
          <w:sz w:val="20"/>
          <w:szCs w:val="20"/>
          <w:color w:val="auto"/>
        </w:rPr>
      </w:pPr>
      <w:r>
        <w:rPr>
          <w:rFonts w:ascii="Times New Roman" w:cs="Times New Roman" w:eastAsia="Times New Roman" w:hAnsi="Times New Roman"/>
          <w:sz w:val="19"/>
          <w:szCs w:val="19"/>
          <w:b w:val="1"/>
          <w:bCs w:val="1"/>
          <w:color w:val="auto"/>
        </w:rPr>
        <w:t>(Amounts in thousands, except share and per share amounts)</w:t>
      </w:r>
    </w:p>
    <w:p>
      <w:pPr>
        <w:spacing w:after="0" w:line="2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final purchase price allocation is as follows: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purchase consideration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-133350</wp:posOffset>
                </wp:positionV>
                <wp:extent cx="6858000" cy="14541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5415"/>
                        </a:xfrm>
                        <a:prstGeom prst="rect">
                          <a:avLst/>
                        </a:prstGeom>
                        <a:solidFill>
                          <a:srgbClr val="E2E2E2"/>
                        </a:solidFill>
                      </wps:spPr>
                      <wps:bodyPr/>
                    </wps:wsp>
                  </a:graphicData>
                </a:graphic>
              </wp:anchor>
            </w:drawing>
          </mc:Choice>
          <mc:Fallback>
            <w:pict>
              <v:rect id="Shape 25" o:spid="_x0000_s1050" style="position:absolute;margin-left:0pt;margin-top:-10.4999pt;width:540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6858000" cy="14541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5415"/>
                        </a:xfrm>
                        <a:prstGeom prst="rect">
                          <a:avLst/>
                        </a:prstGeom>
                        <a:solidFill>
                          <a:srgbClr val="E2E2E2"/>
                        </a:solidFill>
                      </wps:spPr>
                      <wps:bodyPr/>
                    </wps:wsp>
                  </a:graphicData>
                </a:graphic>
              </wp:anchor>
            </w:drawing>
          </mc:Choice>
          <mc:Fallback>
            <w:pict>
              <v:rect id="Shape 26" o:spid="_x0000_s1051" style="position:absolute;margin-left:0pt;margin-top:-0.3999pt;width:540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Inventories</w:t>
      </w:r>
    </w:p>
    <w:p>
      <w:pPr>
        <w:spacing w:after="0"/>
        <w:rPr>
          <w:sz w:val="20"/>
          <w:szCs w:val="20"/>
          <w:color w:val="auto"/>
        </w:rPr>
      </w:pPr>
      <w:r>
        <w:rPr>
          <w:rFonts w:ascii="Times New Roman" w:cs="Times New Roman" w:eastAsia="Times New Roman" w:hAnsi="Times New Roman"/>
          <w:sz w:val="20"/>
          <w:szCs w:val="20"/>
          <w:color w:val="auto"/>
        </w:rPr>
        <w:t>Accounts receivable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6858000" cy="14541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5415"/>
                        </a:xfrm>
                        <a:prstGeom prst="rect">
                          <a:avLst/>
                        </a:prstGeom>
                        <a:solidFill>
                          <a:srgbClr val="E2E2E2"/>
                        </a:solidFill>
                      </wps:spPr>
                      <wps:bodyPr/>
                    </wps:wsp>
                  </a:graphicData>
                </a:graphic>
              </wp:anchor>
            </w:drawing>
          </mc:Choice>
          <mc:Fallback>
            <w:pict>
              <v:rect id="Shape 27" o:spid="_x0000_s1052" style="position:absolute;margin-left:0pt;margin-top:-0.3999pt;width:540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Prepaid expenses and other current assets</w:t>
      </w:r>
    </w:p>
    <w:p>
      <w:pPr>
        <w:spacing w:after="0"/>
        <w:rPr>
          <w:sz w:val="20"/>
          <w:szCs w:val="20"/>
          <w:color w:val="auto"/>
        </w:rPr>
      </w:pPr>
      <w:r>
        <w:rPr>
          <w:rFonts w:ascii="Times New Roman" w:cs="Times New Roman" w:eastAsia="Times New Roman" w:hAnsi="Times New Roman"/>
          <w:sz w:val="20"/>
          <w:szCs w:val="20"/>
          <w:color w:val="auto"/>
        </w:rPr>
        <w:t>Property, plant and equipment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6858000" cy="14541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5415"/>
                        </a:xfrm>
                        <a:prstGeom prst="rect">
                          <a:avLst/>
                        </a:prstGeom>
                        <a:solidFill>
                          <a:srgbClr val="E2E2E2"/>
                        </a:solidFill>
                      </wps:spPr>
                      <wps:bodyPr/>
                    </wps:wsp>
                  </a:graphicData>
                </a:graphic>
              </wp:anchor>
            </w:drawing>
          </mc:Choice>
          <mc:Fallback>
            <w:pict>
              <v:rect id="Shape 28" o:spid="_x0000_s1053" style="position:absolute;margin-left:0pt;margin-top:-0.3999pt;width:540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Right-of-use asset*</w:t>
      </w:r>
    </w:p>
    <w:p>
      <w:pPr>
        <w:spacing w:after="0"/>
        <w:rPr>
          <w:sz w:val="20"/>
          <w:szCs w:val="20"/>
          <w:color w:val="auto"/>
        </w:rPr>
      </w:pPr>
      <w:r>
        <w:rPr>
          <w:rFonts w:ascii="Times New Roman" w:cs="Times New Roman" w:eastAsia="Times New Roman" w:hAnsi="Times New Roman"/>
          <w:sz w:val="20"/>
          <w:szCs w:val="20"/>
          <w:color w:val="auto"/>
        </w:rPr>
        <w:t>Completed technology**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6858000" cy="14541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5415"/>
                        </a:xfrm>
                        <a:prstGeom prst="rect">
                          <a:avLst/>
                        </a:prstGeom>
                        <a:solidFill>
                          <a:srgbClr val="E2E2E2"/>
                        </a:solidFill>
                      </wps:spPr>
                      <wps:bodyPr/>
                    </wps:wsp>
                  </a:graphicData>
                </a:graphic>
              </wp:anchor>
            </w:drawing>
          </mc:Choice>
          <mc:Fallback>
            <w:pict>
              <v:rect id="Shape 29" o:spid="_x0000_s1054" style="position:absolute;margin-left:0pt;margin-top:-0.3999pt;width:540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Customer relationships**</w:t>
      </w:r>
    </w:p>
    <w:p>
      <w:pPr>
        <w:spacing w:after="0"/>
        <w:rPr>
          <w:sz w:val="20"/>
          <w:szCs w:val="20"/>
          <w:color w:val="auto"/>
        </w:rPr>
      </w:pPr>
      <w:r>
        <w:rPr>
          <w:rFonts w:ascii="Times New Roman" w:cs="Times New Roman" w:eastAsia="Times New Roman" w:hAnsi="Times New Roman"/>
          <w:sz w:val="20"/>
          <w:szCs w:val="20"/>
          <w:color w:val="auto"/>
        </w:rPr>
        <w:t>Other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-4445</wp:posOffset>
                </wp:positionV>
                <wp:extent cx="5622290" cy="15494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22290" cy="154940"/>
                        </a:xfrm>
                        <a:prstGeom prst="rect">
                          <a:avLst/>
                        </a:prstGeom>
                        <a:solidFill>
                          <a:srgbClr val="E2E2E2"/>
                        </a:solidFill>
                      </wps:spPr>
                      <wps:bodyPr/>
                    </wps:wsp>
                  </a:graphicData>
                </a:graphic>
              </wp:anchor>
            </w:drawing>
          </mc:Choice>
          <mc:Fallback>
            <w:pict>
              <v:rect id="Shape 30" o:spid="_x0000_s1055" style="position:absolute;margin-left:0pt;margin-top:-0.3499pt;width:442.7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ind w:left="100"/>
        <w:spacing w:after="0"/>
        <w:rPr>
          <w:sz w:val="20"/>
          <w:szCs w:val="20"/>
          <w:color w:val="auto"/>
        </w:rPr>
      </w:pPr>
      <w:r>
        <w:rPr>
          <w:rFonts w:ascii="Times New Roman" w:cs="Times New Roman" w:eastAsia="Times New Roman" w:hAnsi="Times New Roman"/>
          <w:sz w:val="20"/>
          <w:szCs w:val="20"/>
          <w:color w:val="auto"/>
        </w:rPr>
        <w:t>Total identifiable assets acquired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Accounts payable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6858000" cy="14541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5415"/>
                        </a:xfrm>
                        <a:prstGeom prst="rect">
                          <a:avLst/>
                        </a:prstGeom>
                        <a:solidFill>
                          <a:srgbClr val="E2E2E2"/>
                        </a:solidFill>
                      </wps:spPr>
                      <wps:bodyPr/>
                    </wps:wsp>
                  </a:graphicData>
                </a:graphic>
              </wp:anchor>
            </w:drawing>
          </mc:Choice>
          <mc:Fallback>
            <w:pict>
              <v:rect id="Shape 31" o:spid="_x0000_s1056" style="position:absolute;margin-left:0pt;margin-top:-0.3999pt;width:540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p>
      <w:pPr>
        <w:spacing w:after="0"/>
        <w:rPr>
          <w:sz w:val="20"/>
          <w:szCs w:val="20"/>
          <w:color w:val="auto"/>
        </w:rPr>
      </w:pPr>
      <w:r>
        <w:rPr>
          <w:rFonts w:ascii="Times New Roman" w:cs="Times New Roman" w:eastAsia="Times New Roman" w:hAnsi="Times New Roman"/>
          <w:sz w:val="20"/>
          <w:szCs w:val="20"/>
          <w:color w:val="auto"/>
        </w:rPr>
        <w:t>Long-term debt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6858000" cy="14541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5415"/>
                        </a:xfrm>
                        <a:prstGeom prst="rect">
                          <a:avLst/>
                        </a:prstGeom>
                        <a:solidFill>
                          <a:srgbClr val="E2E2E2"/>
                        </a:solidFill>
                      </wps:spPr>
                      <wps:bodyPr/>
                    </wps:wsp>
                  </a:graphicData>
                </a:graphic>
              </wp:anchor>
            </w:drawing>
          </mc:Choice>
          <mc:Fallback>
            <w:pict>
              <v:rect id="Shape 32" o:spid="_x0000_s1057" style="position:absolute;margin-left:0pt;margin-top:-0.3999pt;width:540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Lease liability***</w:t>
      </w:r>
    </w:p>
    <w:p>
      <w:pPr>
        <w:spacing w:after="0"/>
        <w:rPr>
          <w:sz w:val="20"/>
          <w:szCs w:val="20"/>
          <w:color w:val="auto"/>
        </w:rPr>
      </w:pPr>
      <w:r>
        <w:rPr>
          <w:rFonts w:ascii="Times New Roman" w:cs="Times New Roman" w:eastAsia="Times New Roman" w:hAnsi="Times New Roman"/>
          <w:sz w:val="20"/>
          <w:szCs w:val="20"/>
          <w:color w:val="auto"/>
        </w:rPr>
        <w:t>Other long-term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6858000" cy="14541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5415"/>
                        </a:xfrm>
                        <a:prstGeom prst="rect">
                          <a:avLst/>
                        </a:prstGeom>
                        <a:solidFill>
                          <a:srgbClr val="E2E2E2"/>
                        </a:solidFill>
                      </wps:spPr>
                      <wps:bodyPr/>
                    </wps:wsp>
                  </a:graphicData>
                </a:graphic>
              </wp:anchor>
            </w:drawing>
          </mc:Choice>
          <mc:Fallback>
            <w:pict>
              <v:rect id="Shape 33" o:spid="_x0000_s1058" style="position:absolute;margin-left:0pt;margin-top:-0.3999pt;width:540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Deferred income tax liabilities</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Total identifiable net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wp:posOffset>
                </wp:positionV>
                <wp:extent cx="5622290" cy="15494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22290" cy="154940"/>
                        </a:xfrm>
                        <a:prstGeom prst="rect">
                          <a:avLst/>
                        </a:prstGeom>
                        <a:solidFill>
                          <a:srgbClr val="E2E2E2"/>
                        </a:solidFill>
                      </wps:spPr>
                      <wps:bodyPr/>
                    </wps:wsp>
                  </a:graphicData>
                </a:graphic>
              </wp:anchor>
            </w:drawing>
          </mc:Choice>
          <mc:Fallback>
            <w:pict>
              <v:rect id="Shape 34" o:spid="_x0000_s1059" style="position:absolute;margin-left:0pt;margin-top:-0.0499pt;width:442.7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ind w:left="100"/>
        <w:spacing w:after="0"/>
        <w:rPr>
          <w:sz w:val="20"/>
          <w:szCs w:val="20"/>
          <w:color w:val="auto"/>
        </w:rPr>
      </w:pPr>
      <w:r>
        <w:rPr>
          <w:rFonts w:ascii="Times New Roman" w:cs="Times New Roman" w:eastAsia="Times New Roman" w:hAnsi="Times New Roman"/>
          <w:sz w:val="20"/>
          <w:szCs w:val="20"/>
          <w:color w:val="auto"/>
        </w:rPr>
        <w:t>Goodwill</w:t>
      </w:r>
    </w:p>
    <w:p>
      <w:pPr>
        <w:spacing w:after="0" w:line="1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Primarily included in Property, plant and equipment, net in the consolidated balance sheets.</w:t>
      </w:r>
    </w:p>
    <w:p>
      <w:pPr>
        <w:spacing w:after="0" w:line="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**Included in Intangible assets, net in the consolidated balance sheets.</w:t>
      </w:r>
    </w:p>
    <w:p>
      <w:pPr>
        <w:ind w:left="720"/>
        <w:spacing w:after="0"/>
        <w:rPr>
          <w:sz w:val="20"/>
          <w:szCs w:val="20"/>
          <w:color w:val="auto"/>
        </w:rPr>
      </w:pPr>
      <w:r>
        <w:rPr>
          <w:rFonts w:ascii="Times New Roman" w:cs="Times New Roman" w:eastAsia="Times New Roman" w:hAnsi="Times New Roman"/>
          <w:sz w:val="18"/>
          <w:szCs w:val="18"/>
          <w:color w:val="auto"/>
        </w:rPr>
        <w:t>***Primarily included in Long-term debt in the consolidated balance sheets.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411,772</w:t>
            </w:r>
          </w:p>
        </w:tc>
      </w:tr>
      <w:tr>
        <w:trPr>
          <w:trHeight w:val="230"/>
        </w:trPr>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4,155</w:t>
            </w:r>
          </w:p>
        </w:tc>
      </w:tr>
      <w:tr>
        <w:trPr>
          <w:trHeight w:val="230"/>
        </w:trPr>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4,208</w:t>
            </w:r>
          </w:p>
        </w:tc>
      </w:tr>
      <w:tr>
        <w:trPr>
          <w:trHeight w:val="230"/>
        </w:trPr>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w:t>
            </w:r>
          </w:p>
        </w:tc>
      </w:tr>
      <w:tr>
        <w:trPr>
          <w:trHeight w:val="230"/>
        </w:trPr>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2,400</w:t>
            </w:r>
          </w:p>
        </w:tc>
      </w:tr>
      <w:tr>
        <w:trPr>
          <w:trHeight w:val="230"/>
        </w:trPr>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7,606</w:t>
            </w:r>
          </w:p>
        </w:tc>
      </w:tr>
      <w:tr>
        <w:trPr>
          <w:trHeight w:val="230"/>
        </w:trPr>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9,770</w:t>
            </w:r>
          </w:p>
        </w:tc>
      </w:tr>
      <w:tr>
        <w:trPr>
          <w:trHeight w:val="230"/>
        </w:trPr>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234,000</w:t>
            </w:r>
          </w:p>
        </w:tc>
      </w:tr>
      <w:tr>
        <w:trPr>
          <w:trHeight w:val="230"/>
        </w:trPr>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12,000</w:t>
            </w:r>
          </w:p>
        </w:tc>
      </w:tr>
      <w:tr>
        <w:trPr>
          <w:trHeight w:val="249"/>
        </w:trPr>
        <w:tc>
          <w:tcPr>
            <w:tcW w:w="6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w:t>
            </w:r>
          </w:p>
        </w:tc>
      </w:tr>
      <w:tr>
        <w:trPr>
          <w:trHeight w:val="225"/>
        </w:trPr>
        <w:tc>
          <w:tcPr>
            <w:tcW w:w="640" w:type="dxa"/>
            <w:vAlign w:val="bottom"/>
            <w:shd w:val="clear" w:color="auto" w:fill="E2E2E2"/>
          </w:tcPr>
          <w:p>
            <w:pPr>
              <w:spacing w:after="0"/>
              <w:rPr>
                <w:sz w:val="19"/>
                <w:szCs w:val="19"/>
                <w:color w:val="auto"/>
              </w:rPr>
            </w:pPr>
          </w:p>
        </w:tc>
        <w:tc>
          <w:tcPr>
            <w:tcW w:w="13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274,849</w:t>
            </w:r>
          </w:p>
        </w:tc>
      </w:tr>
      <w:tr>
        <w:trPr>
          <w:trHeight w:val="211"/>
        </w:trPr>
        <w:tc>
          <w:tcPr>
            <w:tcW w:w="640" w:type="dxa"/>
            <w:vAlign w:val="bottom"/>
          </w:tcPr>
          <w:p>
            <w:pPr>
              <w:spacing w:after="0"/>
              <w:rPr>
                <w:sz w:val="18"/>
                <w:szCs w:val="18"/>
                <w:color w:val="auto"/>
              </w:rPr>
            </w:pPr>
          </w:p>
        </w:tc>
        <w:tc>
          <w:tcPr>
            <w:tcW w:w="13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(5,317)</w:t>
            </w:r>
          </w:p>
        </w:tc>
      </w:tr>
      <w:tr>
        <w:trPr>
          <w:trHeight w:val="230"/>
        </w:trPr>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(2,442)</w:t>
            </w:r>
          </w:p>
        </w:tc>
      </w:tr>
      <w:tr>
        <w:trPr>
          <w:trHeight w:val="230"/>
        </w:trPr>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w:t>
            </w:r>
          </w:p>
        </w:tc>
      </w:tr>
      <w:tr>
        <w:trPr>
          <w:trHeight w:val="230"/>
        </w:trPr>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(10,390)</w:t>
            </w:r>
          </w:p>
        </w:tc>
      </w:tr>
      <w:tr>
        <w:trPr>
          <w:trHeight w:val="230"/>
        </w:trPr>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(2,813)</w:t>
            </w:r>
          </w:p>
        </w:tc>
      </w:tr>
      <w:tr>
        <w:trPr>
          <w:trHeight w:val="249"/>
        </w:trPr>
        <w:tc>
          <w:tcPr>
            <w:tcW w:w="6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(15,889)</w:t>
            </w:r>
          </w:p>
        </w:tc>
      </w:tr>
      <w:tr>
        <w:trPr>
          <w:trHeight w:val="225"/>
        </w:trPr>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237,156</w:t>
            </w:r>
          </w:p>
        </w:tc>
      </w:tr>
      <w:tr>
        <w:trPr>
          <w:trHeight w:val="225"/>
        </w:trPr>
        <w:tc>
          <w:tcPr>
            <w:tcW w:w="640" w:type="dxa"/>
            <w:vAlign w:val="bottom"/>
            <w:tcBorders>
              <w:bottom w:val="single" w:sz="8" w:color="auto"/>
            </w:tcBorders>
            <w:shd w:val="clear" w:color="auto" w:fill="E2E2E2"/>
          </w:tcPr>
          <w:p>
            <w:pPr>
              <w:jc w:val="right"/>
              <w:ind w:right="4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174,616</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41" w:lineRule="exact"/>
        <w:rPr>
          <w:sz w:val="20"/>
          <w:szCs w:val="20"/>
          <w:color w:val="auto"/>
        </w:rPr>
      </w:pPr>
    </w:p>
    <w:p>
      <w:pPr>
        <w:sectPr>
          <w:pgSz w:w="12240" w:h="15840" w:orient="portrait"/>
          <w:cols w:equalWidth="0" w:num="2">
            <w:col w:w="8140" w:space="720"/>
            <w:col w:w="1940"/>
          </w:cols>
          <w:pgMar w:left="720" w:top="696" w:right="720" w:bottom="187" w:gutter="0" w:footer="0" w:header="0"/>
        </w:sect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The goodwill acquired is not deductible for U.S. income tax purposes. The amortization period for the intangible assets acquired is 12 years for completed technology and 15 years for customer relationships. The intangible assets are amortized using a method that approximates their economic benefit over their estimated useful lives. The goodwill recorded represents the anticipated incremental value of future cash flows potentially attributable to: (i) Crocus’ ability to grow the business with existing and new customers, including leveraging the Company’s customer base; (ii) Crocus’ ability to grow the business through new product introductions; and (iii) cost improvements due to the integration of Crocus’ operations into the Company’s existing infrastructure. Amortization of completed technology is included within cost of goods sold, and customer relationships are included within selling, general and administrative expenses.</w:t>
      </w:r>
    </w:p>
    <w:p>
      <w:pPr>
        <w:spacing w:after="0" w:line="82"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Company has not presented pro forma results of operations for Crocus because they are not material to the Company’s consolidated results of operations, financial position, or cash flows.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Acquisition-Related Costs</w:t>
      </w:r>
    </w:p>
    <w:p>
      <w:pPr>
        <w:spacing w:after="0" w:line="118"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Crocus acquisition-related costs were $722 and $8,229 for the fiscal years ended March 28, 2025 and March 29, 2024, respectively, and are included in the selling, general and administrative expenses in the consolidated statements of operations.</w:t>
      </w:r>
    </w:p>
    <w:p>
      <w:pPr>
        <w:sectPr>
          <w:pgSz w:w="12240" w:h="15840" w:orient="portrait"/>
          <w:cols w:equalWidth="0" w:num="1">
            <w:col w:w="10800"/>
          </w:cols>
          <w:pgMar w:left="720" w:top="696" w:right="720" w:bottom="1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0800"/>
          </w:cols>
          <w:pgMar w:left="720" w:top="696" w:right="720" w:bottom="187" w:gutter="0" w:footer="0" w:header="0"/>
          <w:type w:val="continuous"/>
        </w:sectPr>
      </w:pPr>
    </w:p>
    <w:bookmarkStart w:id="86" w:name="page87"/>
    <w:bookmarkEnd w:id="8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4" w:lineRule="exact"/>
        <w:rPr>
          <w:sz w:val="20"/>
          <w:szCs w:val="20"/>
          <w:color w:val="auto"/>
        </w:rPr>
      </w:pPr>
    </w:p>
    <w:p>
      <w:pPr>
        <w:ind w:left="540" w:hanging="540"/>
        <w:spacing w:after="0"/>
        <w:tabs>
          <w:tab w:leader="none" w:pos="54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from Contracts with Customers</w:t>
      </w:r>
    </w:p>
    <w:p>
      <w:pPr>
        <w:spacing w:after="0" w:line="124"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The following tables summarize net sales disaggregated by market, by product and by geography for the fiscal years ended March 27, 2026, March 28, 2025 and March 29, 2024. The categorization of net sales by market is determined using various characteristics of the product and the application into which the Company’s product will be incorporated. The categorization of net sales by geography is determined based on the location to which the products are shipped.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 by market: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1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206"/>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27,</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86"/>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26"/>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E2E2E2"/>
            </w:tcBorders>
          </w:tcPr>
          <w:p>
            <w:pPr>
              <w:spacing w:after="0"/>
              <w:rPr>
                <w:sz w:val="17"/>
                <w:szCs w:val="17"/>
                <w:color w:val="auto"/>
              </w:rPr>
            </w:pPr>
          </w:p>
        </w:tc>
        <w:tc>
          <w:tcPr>
            <w:tcW w:w="212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26"/>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0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Automotive</w:t>
            </w:r>
          </w:p>
        </w:tc>
        <w:tc>
          <w:tcPr>
            <w:tcW w:w="2120" w:type="dxa"/>
            <w:vAlign w:val="bottom"/>
            <w:shd w:val="clear" w:color="auto" w:fill="E2E2E2"/>
          </w:tcPr>
          <w:p>
            <w:pPr>
              <w:spacing w:after="0"/>
              <w:rPr>
                <w:sz w:val="19"/>
                <w:szCs w:val="19"/>
                <w:color w:val="auto"/>
              </w:rPr>
            </w:pPr>
          </w:p>
        </w:tc>
        <w:tc>
          <w:tcPr>
            <w:tcW w:w="2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E2E2E2"/>
          </w:tcPr>
          <w:p>
            <w:pPr>
              <w:jc w:val="right"/>
              <w:ind w:right="26"/>
              <w:spacing w:after="0" w:line="225" w:lineRule="exact"/>
              <w:rPr>
                <w:sz w:val="20"/>
                <w:szCs w:val="20"/>
                <w:color w:val="auto"/>
              </w:rPr>
            </w:pPr>
            <w:r>
              <w:rPr>
                <w:rFonts w:ascii="Times New Roman" w:cs="Times New Roman" w:eastAsia="Times New Roman" w:hAnsi="Times New Roman"/>
                <w:sz w:val="20"/>
                <w:szCs w:val="20"/>
                <w:color w:val="auto"/>
              </w:rPr>
              <w:t>628,561</w:t>
            </w:r>
          </w:p>
        </w:tc>
        <w:tc>
          <w:tcPr>
            <w:tcW w:w="140" w:type="dxa"/>
            <w:vAlign w:val="bottom"/>
            <w:shd w:val="clear" w:color="auto" w:fill="E2E2E2"/>
          </w:tcPr>
          <w:p>
            <w:pPr>
              <w:spacing w:after="0"/>
              <w:rPr>
                <w:sz w:val="19"/>
                <w:szCs w:val="19"/>
                <w:color w:val="auto"/>
              </w:rPr>
            </w:pPr>
          </w:p>
        </w:tc>
        <w:tc>
          <w:tcPr>
            <w:tcW w:w="200" w:type="dxa"/>
            <w:vAlign w:val="bottom"/>
            <w:shd w:val="clear" w:color="auto" w:fill="E2E2E2"/>
          </w:tcPr>
          <w:p>
            <w:pPr>
              <w:jc w:val="right"/>
              <w:ind w:right="7"/>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E2E2E2"/>
          </w:tcPr>
          <w:p>
            <w:pPr>
              <w:jc w:val="right"/>
              <w:ind w:right="6"/>
              <w:spacing w:after="0" w:line="225" w:lineRule="exact"/>
              <w:rPr>
                <w:sz w:val="20"/>
                <w:szCs w:val="20"/>
                <w:color w:val="auto"/>
              </w:rPr>
            </w:pPr>
            <w:r>
              <w:rPr>
                <w:rFonts w:ascii="Times New Roman" w:cs="Times New Roman" w:eastAsia="Times New Roman" w:hAnsi="Times New Roman"/>
                <w:sz w:val="20"/>
                <w:szCs w:val="20"/>
                <w:color w:val="auto"/>
              </w:rPr>
              <w:t>535,205</w:t>
            </w:r>
          </w:p>
        </w:tc>
        <w:tc>
          <w:tcPr>
            <w:tcW w:w="160" w:type="dxa"/>
            <w:vAlign w:val="bottom"/>
            <w:shd w:val="clear" w:color="auto" w:fill="E2E2E2"/>
          </w:tcPr>
          <w:p>
            <w:pPr>
              <w:spacing w:after="0"/>
              <w:rPr>
                <w:sz w:val="19"/>
                <w:szCs w:val="19"/>
                <w:color w:val="auto"/>
              </w:rPr>
            </w:pPr>
          </w:p>
        </w:tc>
        <w:tc>
          <w:tcPr>
            <w:tcW w:w="2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759,454</w:t>
            </w:r>
          </w:p>
        </w:tc>
        <w:tc>
          <w:tcPr>
            <w:tcW w:w="0" w:type="dxa"/>
            <w:vAlign w:val="bottom"/>
          </w:tcPr>
          <w:p>
            <w:pPr>
              <w:spacing w:after="0"/>
              <w:rPr>
                <w:sz w:val="1"/>
                <w:szCs w:val="1"/>
                <w:color w:val="auto"/>
              </w:rPr>
            </w:pPr>
          </w:p>
        </w:tc>
      </w:tr>
      <w:tr>
        <w:trPr>
          <w:trHeight w:val="244"/>
        </w:trPr>
        <w:tc>
          <w:tcPr>
            <w:tcW w:w="414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Industrial and other</w:t>
            </w:r>
          </w:p>
        </w:tc>
        <w:tc>
          <w:tcPr>
            <w:tcW w:w="2120" w:type="dxa"/>
            <w:vAlign w:val="bottom"/>
            <w:tcBorders>
              <w:bottom w:val="single" w:sz="8" w:color="E2E2E2"/>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20"/>
                <w:szCs w:val="20"/>
                <w:color w:val="auto"/>
              </w:rPr>
              <w:t>261,535</w:t>
            </w:r>
          </w:p>
        </w:tc>
        <w:tc>
          <w:tcPr>
            <w:tcW w:w="140" w:type="dxa"/>
            <w:vAlign w:val="bottom"/>
            <w:tcBorders>
              <w:bottom w:val="single" w:sz="8" w:color="E2E2E2"/>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189,801</w:t>
            </w:r>
          </w:p>
        </w:tc>
        <w:tc>
          <w:tcPr>
            <w:tcW w:w="160" w:type="dxa"/>
            <w:vAlign w:val="bottom"/>
            <w:tcBorders>
              <w:bottom w:val="single" w:sz="8" w:color="E2E2E2"/>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289,913</w:t>
            </w:r>
          </w:p>
        </w:tc>
        <w:tc>
          <w:tcPr>
            <w:tcW w:w="0" w:type="dxa"/>
            <w:vAlign w:val="bottom"/>
          </w:tcPr>
          <w:p>
            <w:pPr>
              <w:spacing w:after="0"/>
              <w:rPr>
                <w:sz w:val="1"/>
                <w:szCs w:val="1"/>
                <w:color w:val="auto"/>
              </w:rPr>
            </w:pPr>
          </w:p>
        </w:tc>
      </w:tr>
      <w:tr>
        <w:trPr>
          <w:trHeight w:val="245"/>
        </w:trPr>
        <w:tc>
          <w:tcPr>
            <w:tcW w:w="4140" w:type="dxa"/>
            <w:vAlign w:val="bottom"/>
            <w:tcBorders>
              <w:bottom w:val="single" w:sz="8" w:color="E2E2E2"/>
            </w:tcBorders>
            <w:shd w:val="clear" w:color="auto" w:fill="E2E2E2"/>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rPr>
              <w:t>Total net sales</w:t>
            </w:r>
          </w:p>
        </w:tc>
        <w:tc>
          <w:tcPr>
            <w:tcW w:w="2120" w:type="dxa"/>
            <w:vAlign w:val="bottom"/>
            <w:tcBorders>
              <w:bottom w:val="single" w:sz="8" w:color="E2E2E2"/>
            </w:tcBorders>
            <w:shd w:val="clear" w:color="auto" w:fill="E2E2E2"/>
          </w:tcPr>
          <w:p>
            <w:pPr>
              <w:spacing w:after="0"/>
              <w:rPr>
                <w:sz w:val="21"/>
                <w:szCs w:val="21"/>
                <w:color w:val="auto"/>
              </w:rPr>
            </w:pPr>
          </w:p>
        </w:tc>
        <w:tc>
          <w:tcPr>
            <w:tcW w:w="2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E2E2E2"/>
          </w:tcPr>
          <w:p>
            <w:pPr>
              <w:jc w:val="right"/>
              <w:ind w:right="26"/>
              <w:spacing w:after="0" w:line="225" w:lineRule="exact"/>
              <w:rPr>
                <w:sz w:val="20"/>
                <w:szCs w:val="20"/>
                <w:color w:val="auto"/>
              </w:rPr>
            </w:pPr>
            <w:r>
              <w:rPr>
                <w:rFonts w:ascii="Times New Roman" w:cs="Times New Roman" w:eastAsia="Times New Roman" w:hAnsi="Times New Roman"/>
                <w:sz w:val="20"/>
                <w:szCs w:val="20"/>
                <w:color w:val="auto"/>
              </w:rPr>
              <w:t>890,096</w:t>
            </w:r>
          </w:p>
        </w:tc>
        <w:tc>
          <w:tcPr>
            <w:tcW w:w="140" w:type="dxa"/>
            <w:vAlign w:val="bottom"/>
            <w:tcBorders>
              <w:bottom w:val="single" w:sz="8" w:color="E2E2E2"/>
            </w:tcBorders>
            <w:shd w:val="clear" w:color="auto" w:fill="E2E2E2"/>
          </w:tcPr>
          <w:p>
            <w:pPr>
              <w:spacing w:after="0"/>
              <w:rPr>
                <w:sz w:val="21"/>
                <w:szCs w:val="21"/>
                <w:color w:val="auto"/>
              </w:rPr>
            </w:pPr>
          </w:p>
        </w:tc>
        <w:tc>
          <w:tcPr>
            <w:tcW w:w="200" w:type="dxa"/>
            <w:vAlign w:val="bottom"/>
            <w:tcBorders>
              <w:bottom w:val="single" w:sz="8" w:color="auto"/>
            </w:tcBorders>
            <w:shd w:val="clear" w:color="auto" w:fill="E2E2E2"/>
          </w:tcPr>
          <w:p>
            <w:pPr>
              <w:jc w:val="right"/>
              <w:ind w:right="7"/>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2E2E2"/>
          </w:tcPr>
          <w:p>
            <w:pPr>
              <w:jc w:val="right"/>
              <w:ind w:right="6"/>
              <w:spacing w:after="0" w:line="225" w:lineRule="exact"/>
              <w:rPr>
                <w:sz w:val="20"/>
                <w:szCs w:val="20"/>
                <w:color w:val="auto"/>
              </w:rPr>
            </w:pPr>
            <w:r>
              <w:rPr>
                <w:rFonts w:ascii="Times New Roman" w:cs="Times New Roman" w:eastAsia="Times New Roman" w:hAnsi="Times New Roman"/>
                <w:sz w:val="20"/>
                <w:szCs w:val="20"/>
                <w:color w:val="auto"/>
              </w:rPr>
              <w:t>725,006</w:t>
            </w:r>
          </w:p>
        </w:tc>
        <w:tc>
          <w:tcPr>
            <w:tcW w:w="160" w:type="dxa"/>
            <w:vAlign w:val="bottom"/>
            <w:tcBorders>
              <w:bottom w:val="single" w:sz="8" w:color="E2E2E2"/>
            </w:tcBorders>
            <w:shd w:val="clear" w:color="auto" w:fill="E2E2E2"/>
          </w:tcPr>
          <w:p>
            <w:pPr>
              <w:spacing w:after="0"/>
              <w:rPr>
                <w:sz w:val="21"/>
                <w:szCs w:val="21"/>
                <w:color w:val="auto"/>
              </w:rPr>
            </w:pPr>
          </w:p>
        </w:tc>
        <w:tc>
          <w:tcPr>
            <w:tcW w:w="2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gridSpan w:val="2"/>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1,049,367</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Net sales by product:</w:t>
            </w:r>
          </w:p>
        </w:tc>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414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1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206"/>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27,</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86"/>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26"/>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E2E2E2"/>
            </w:tcBorders>
          </w:tcPr>
          <w:p>
            <w:pPr>
              <w:spacing w:after="0"/>
              <w:rPr>
                <w:sz w:val="17"/>
                <w:szCs w:val="17"/>
                <w:color w:val="auto"/>
              </w:rPr>
            </w:pPr>
          </w:p>
        </w:tc>
        <w:tc>
          <w:tcPr>
            <w:tcW w:w="212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26"/>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0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Magnetic sensors</w:t>
            </w:r>
          </w:p>
        </w:tc>
        <w:tc>
          <w:tcPr>
            <w:tcW w:w="2120" w:type="dxa"/>
            <w:vAlign w:val="bottom"/>
            <w:shd w:val="clear" w:color="auto" w:fill="E2E2E2"/>
          </w:tcPr>
          <w:p>
            <w:pPr>
              <w:spacing w:after="0"/>
              <w:rPr>
                <w:sz w:val="19"/>
                <w:szCs w:val="19"/>
                <w:color w:val="auto"/>
              </w:rPr>
            </w:pPr>
          </w:p>
        </w:tc>
        <w:tc>
          <w:tcPr>
            <w:tcW w:w="2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E2E2E2"/>
          </w:tcPr>
          <w:p>
            <w:pPr>
              <w:jc w:val="right"/>
              <w:ind w:right="26"/>
              <w:spacing w:after="0" w:line="225" w:lineRule="exact"/>
              <w:rPr>
                <w:sz w:val="20"/>
                <w:szCs w:val="20"/>
                <w:color w:val="auto"/>
              </w:rPr>
            </w:pPr>
            <w:r>
              <w:rPr>
                <w:rFonts w:ascii="Times New Roman" w:cs="Times New Roman" w:eastAsia="Times New Roman" w:hAnsi="Times New Roman"/>
                <w:sz w:val="20"/>
                <w:szCs w:val="20"/>
                <w:color w:val="auto"/>
              </w:rPr>
              <w:t>538,538</w:t>
            </w:r>
          </w:p>
        </w:tc>
        <w:tc>
          <w:tcPr>
            <w:tcW w:w="140" w:type="dxa"/>
            <w:vAlign w:val="bottom"/>
            <w:shd w:val="clear" w:color="auto" w:fill="E2E2E2"/>
          </w:tcPr>
          <w:p>
            <w:pPr>
              <w:spacing w:after="0"/>
              <w:rPr>
                <w:sz w:val="19"/>
                <w:szCs w:val="19"/>
                <w:color w:val="auto"/>
              </w:rPr>
            </w:pPr>
          </w:p>
        </w:tc>
        <w:tc>
          <w:tcPr>
            <w:tcW w:w="200" w:type="dxa"/>
            <w:vAlign w:val="bottom"/>
            <w:shd w:val="clear" w:color="auto" w:fill="E2E2E2"/>
          </w:tcPr>
          <w:p>
            <w:pPr>
              <w:jc w:val="right"/>
              <w:ind w:right="7"/>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E2E2E2"/>
          </w:tcPr>
          <w:p>
            <w:pPr>
              <w:jc w:val="right"/>
              <w:ind w:right="6"/>
              <w:spacing w:after="0" w:line="225" w:lineRule="exact"/>
              <w:rPr>
                <w:sz w:val="20"/>
                <w:szCs w:val="20"/>
                <w:color w:val="auto"/>
              </w:rPr>
            </w:pPr>
            <w:r>
              <w:rPr>
                <w:rFonts w:ascii="Times New Roman" w:cs="Times New Roman" w:eastAsia="Times New Roman" w:hAnsi="Times New Roman"/>
                <w:sz w:val="20"/>
                <w:szCs w:val="20"/>
                <w:color w:val="auto"/>
              </w:rPr>
              <w:t>474,557</w:t>
            </w:r>
          </w:p>
        </w:tc>
        <w:tc>
          <w:tcPr>
            <w:tcW w:w="160" w:type="dxa"/>
            <w:vAlign w:val="bottom"/>
            <w:shd w:val="clear" w:color="auto" w:fill="E2E2E2"/>
          </w:tcPr>
          <w:p>
            <w:pPr>
              <w:spacing w:after="0"/>
              <w:rPr>
                <w:sz w:val="19"/>
                <w:szCs w:val="19"/>
                <w:color w:val="auto"/>
              </w:rPr>
            </w:pPr>
          </w:p>
        </w:tc>
        <w:tc>
          <w:tcPr>
            <w:tcW w:w="2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649,869</w:t>
            </w:r>
          </w:p>
        </w:tc>
        <w:tc>
          <w:tcPr>
            <w:tcW w:w="0" w:type="dxa"/>
            <w:vAlign w:val="bottom"/>
          </w:tcPr>
          <w:p>
            <w:pPr>
              <w:spacing w:after="0"/>
              <w:rPr>
                <w:sz w:val="1"/>
                <w:szCs w:val="1"/>
                <w:color w:val="auto"/>
              </w:rPr>
            </w:pPr>
          </w:p>
        </w:tc>
      </w:tr>
      <w:tr>
        <w:trPr>
          <w:trHeight w:val="244"/>
        </w:trPr>
        <w:tc>
          <w:tcPr>
            <w:tcW w:w="414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Power integrated circuits</w:t>
            </w:r>
          </w:p>
        </w:tc>
        <w:tc>
          <w:tcPr>
            <w:tcW w:w="2120" w:type="dxa"/>
            <w:vAlign w:val="bottom"/>
            <w:tcBorders>
              <w:bottom w:val="single" w:sz="8" w:color="E2E2E2"/>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20"/>
                <w:szCs w:val="20"/>
                <w:color w:val="auto"/>
              </w:rPr>
              <w:t>351,558</w:t>
            </w:r>
          </w:p>
        </w:tc>
        <w:tc>
          <w:tcPr>
            <w:tcW w:w="140" w:type="dxa"/>
            <w:vAlign w:val="bottom"/>
            <w:tcBorders>
              <w:bottom w:val="single" w:sz="8" w:color="E2E2E2"/>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250,449</w:t>
            </w:r>
          </w:p>
        </w:tc>
        <w:tc>
          <w:tcPr>
            <w:tcW w:w="160" w:type="dxa"/>
            <w:vAlign w:val="bottom"/>
            <w:tcBorders>
              <w:bottom w:val="single" w:sz="8" w:color="E2E2E2"/>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399,498</w:t>
            </w:r>
          </w:p>
        </w:tc>
        <w:tc>
          <w:tcPr>
            <w:tcW w:w="0" w:type="dxa"/>
            <w:vAlign w:val="bottom"/>
          </w:tcPr>
          <w:p>
            <w:pPr>
              <w:spacing w:after="0"/>
              <w:rPr>
                <w:sz w:val="1"/>
                <w:szCs w:val="1"/>
                <w:color w:val="auto"/>
              </w:rPr>
            </w:pPr>
          </w:p>
        </w:tc>
      </w:tr>
      <w:tr>
        <w:trPr>
          <w:trHeight w:val="245"/>
        </w:trPr>
        <w:tc>
          <w:tcPr>
            <w:tcW w:w="4140" w:type="dxa"/>
            <w:vAlign w:val="bottom"/>
            <w:tcBorders>
              <w:bottom w:val="single" w:sz="8" w:color="E2E2E2"/>
            </w:tcBorders>
            <w:shd w:val="clear" w:color="auto" w:fill="E2E2E2"/>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rPr>
              <w:t>Total net sales</w:t>
            </w:r>
          </w:p>
        </w:tc>
        <w:tc>
          <w:tcPr>
            <w:tcW w:w="2120" w:type="dxa"/>
            <w:vAlign w:val="bottom"/>
            <w:tcBorders>
              <w:bottom w:val="single" w:sz="8" w:color="E2E2E2"/>
            </w:tcBorders>
            <w:shd w:val="clear" w:color="auto" w:fill="E2E2E2"/>
          </w:tcPr>
          <w:p>
            <w:pPr>
              <w:spacing w:after="0"/>
              <w:rPr>
                <w:sz w:val="21"/>
                <w:szCs w:val="21"/>
                <w:color w:val="auto"/>
              </w:rPr>
            </w:pPr>
          </w:p>
        </w:tc>
        <w:tc>
          <w:tcPr>
            <w:tcW w:w="2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E2E2E2"/>
          </w:tcPr>
          <w:p>
            <w:pPr>
              <w:jc w:val="right"/>
              <w:ind w:right="26"/>
              <w:spacing w:after="0" w:line="225" w:lineRule="exact"/>
              <w:rPr>
                <w:sz w:val="20"/>
                <w:szCs w:val="20"/>
                <w:color w:val="auto"/>
              </w:rPr>
            </w:pPr>
            <w:r>
              <w:rPr>
                <w:rFonts w:ascii="Times New Roman" w:cs="Times New Roman" w:eastAsia="Times New Roman" w:hAnsi="Times New Roman"/>
                <w:sz w:val="20"/>
                <w:szCs w:val="20"/>
                <w:color w:val="auto"/>
              </w:rPr>
              <w:t>890,096</w:t>
            </w:r>
          </w:p>
        </w:tc>
        <w:tc>
          <w:tcPr>
            <w:tcW w:w="140" w:type="dxa"/>
            <w:vAlign w:val="bottom"/>
            <w:tcBorders>
              <w:bottom w:val="single" w:sz="8" w:color="E2E2E2"/>
            </w:tcBorders>
            <w:shd w:val="clear" w:color="auto" w:fill="E2E2E2"/>
          </w:tcPr>
          <w:p>
            <w:pPr>
              <w:spacing w:after="0"/>
              <w:rPr>
                <w:sz w:val="21"/>
                <w:szCs w:val="21"/>
                <w:color w:val="auto"/>
              </w:rPr>
            </w:pPr>
          </w:p>
        </w:tc>
        <w:tc>
          <w:tcPr>
            <w:tcW w:w="200" w:type="dxa"/>
            <w:vAlign w:val="bottom"/>
            <w:tcBorders>
              <w:bottom w:val="single" w:sz="8" w:color="auto"/>
            </w:tcBorders>
            <w:shd w:val="clear" w:color="auto" w:fill="E2E2E2"/>
          </w:tcPr>
          <w:p>
            <w:pPr>
              <w:jc w:val="right"/>
              <w:ind w:right="7"/>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2E2E2"/>
          </w:tcPr>
          <w:p>
            <w:pPr>
              <w:jc w:val="right"/>
              <w:ind w:right="6"/>
              <w:spacing w:after="0" w:line="225" w:lineRule="exact"/>
              <w:rPr>
                <w:sz w:val="20"/>
                <w:szCs w:val="20"/>
                <w:color w:val="auto"/>
              </w:rPr>
            </w:pPr>
            <w:r>
              <w:rPr>
                <w:rFonts w:ascii="Times New Roman" w:cs="Times New Roman" w:eastAsia="Times New Roman" w:hAnsi="Times New Roman"/>
                <w:sz w:val="20"/>
                <w:szCs w:val="20"/>
                <w:color w:val="auto"/>
              </w:rPr>
              <w:t>725,006</w:t>
            </w:r>
          </w:p>
        </w:tc>
        <w:tc>
          <w:tcPr>
            <w:tcW w:w="160" w:type="dxa"/>
            <w:vAlign w:val="bottom"/>
            <w:tcBorders>
              <w:bottom w:val="single" w:sz="8" w:color="E2E2E2"/>
            </w:tcBorders>
            <w:shd w:val="clear" w:color="auto" w:fill="E2E2E2"/>
          </w:tcPr>
          <w:p>
            <w:pPr>
              <w:spacing w:after="0"/>
              <w:rPr>
                <w:sz w:val="21"/>
                <w:szCs w:val="21"/>
                <w:color w:val="auto"/>
              </w:rPr>
            </w:pPr>
          </w:p>
        </w:tc>
        <w:tc>
          <w:tcPr>
            <w:tcW w:w="2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gridSpan w:val="2"/>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1,049,367</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Net sales by geography:</w:t>
            </w:r>
          </w:p>
        </w:tc>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14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206"/>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226"/>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26"/>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E2E2E2"/>
            </w:tcBorders>
          </w:tcPr>
          <w:p>
            <w:pPr>
              <w:spacing w:after="0"/>
              <w:rPr>
                <w:sz w:val="17"/>
                <w:szCs w:val="17"/>
                <w:color w:val="auto"/>
              </w:rPr>
            </w:pPr>
          </w:p>
        </w:tc>
        <w:tc>
          <w:tcPr>
            <w:tcW w:w="212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26"/>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0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1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Americas:</w:t>
            </w:r>
          </w:p>
        </w:tc>
        <w:tc>
          <w:tcPr>
            <w:tcW w:w="21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24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22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120" w:type="dxa"/>
            <w:vAlign w:val="bottom"/>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United States</w:t>
            </w:r>
          </w:p>
        </w:tc>
        <w:tc>
          <w:tcPr>
            <w:tcW w:w="2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91,412</w:t>
            </w:r>
          </w:p>
        </w:tc>
        <w:tc>
          <w:tcPr>
            <w:tcW w:w="140" w:type="dxa"/>
            <w:vAlign w:val="bottom"/>
          </w:tcPr>
          <w:p>
            <w:pPr>
              <w:spacing w:after="0"/>
              <w:rPr>
                <w:sz w:val="21"/>
                <w:szCs w:val="21"/>
                <w:color w:val="auto"/>
              </w:rPr>
            </w:pPr>
          </w:p>
        </w:tc>
        <w:tc>
          <w:tcPr>
            <w:tcW w:w="2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92,458</w:t>
            </w:r>
          </w:p>
        </w:tc>
        <w:tc>
          <w:tcPr>
            <w:tcW w:w="1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149,283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1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Other Americas</w:t>
            </w:r>
          </w:p>
        </w:tc>
        <w:tc>
          <w:tcPr>
            <w:tcW w:w="212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240" w:type="dxa"/>
            <w:vAlign w:val="bottom"/>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41,778</w:t>
            </w:r>
          </w:p>
        </w:tc>
        <w:tc>
          <w:tcPr>
            <w:tcW w:w="14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220" w:type="dxa"/>
            <w:vAlign w:val="bottom"/>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24,851</w:t>
            </w:r>
          </w:p>
        </w:tc>
        <w:tc>
          <w:tcPr>
            <w:tcW w:w="1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32,119</w:t>
            </w:r>
          </w:p>
        </w:tc>
        <w:tc>
          <w:tcPr>
            <w:tcW w:w="60" w:type="dxa"/>
            <w:vAlign w:val="bottom"/>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EMEA:</w:t>
            </w:r>
          </w:p>
        </w:tc>
        <w:tc>
          <w:tcPr>
            <w:tcW w:w="2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1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Europe</w:t>
            </w:r>
          </w:p>
        </w:tc>
        <w:tc>
          <w:tcPr>
            <w:tcW w:w="212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240" w:type="dxa"/>
            <w:vAlign w:val="bottom"/>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120,562</w:t>
            </w:r>
          </w:p>
        </w:tc>
        <w:tc>
          <w:tcPr>
            <w:tcW w:w="14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220" w:type="dxa"/>
            <w:vAlign w:val="bottom"/>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106,726</w:t>
            </w:r>
          </w:p>
        </w:tc>
        <w:tc>
          <w:tcPr>
            <w:tcW w:w="1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176,628</w:t>
            </w:r>
          </w:p>
        </w:tc>
        <w:tc>
          <w:tcPr>
            <w:tcW w:w="60" w:type="dxa"/>
            <w:vAlign w:val="bottom"/>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Asia:</w:t>
            </w:r>
          </w:p>
        </w:tc>
        <w:tc>
          <w:tcPr>
            <w:tcW w:w="2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1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Greater China</w:t>
            </w:r>
          </w:p>
        </w:tc>
        <w:tc>
          <w:tcPr>
            <w:tcW w:w="212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240" w:type="dxa"/>
            <w:vAlign w:val="bottom"/>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249,417</w:t>
            </w:r>
          </w:p>
        </w:tc>
        <w:tc>
          <w:tcPr>
            <w:tcW w:w="14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220" w:type="dxa"/>
            <w:vAlign w:val="bottom"/>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183,033</w:t>
            </w:r>
          </w:p>
        </w:tc>
        <w:tc>
          <w:tcPr>
            <w:tcW w:w="1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274,851</w:t>
            </w:r>
          </w:p>
        </w:tc>
        <w:tc>
          <w:tcPr>
            <w:tcW w:w="60" w:type="dxa"/>
            <w:vAlign w:val="bottom"/>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Japan</w:t>
            </w:r>
          </w:p>
        </w:tc>
        <w:tc>
          <w:tcPr>
            <w:tcW w:w="2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150,946</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153,842</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1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South Korea</w:t>
            </w:r>
          </w:p>
        </w:tc>
        <w:tc>
          <w:tcPr>
            <w:tcW w:w="212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240" w:type="dxa"/>
            <w:vAlign w:val="bottom"/>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77,976</w:t>
            </w:r>
          </w:p>
        </w:tc>
        <w:tc>
          <w:tcPr>
            <w:tcW w:w="14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220" w:type="dxa"/>
            <w:vAlign w:val="bottom"/>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73,702</w:t>
            </w:r>
          </w:p>
        </w:tc>
        <w:tc>
          <w:tcPr>
            <w:tcW w:w="1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113,877</w:t>
            </w:r>
          </w:p>
        </w:tc>
        <w:tc>
          <w:tcPr>
            <w:tcW w:w="60" w:type="dxa"/>
            <w:vAlign w:val="bottom"/>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14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Other Asia</w:t>
            </w:r>
          </w:p>
        </w:tc>
        <w:tc>
          <w:tcPr>
            <w:tcW w:w="2120" w:type="dxa"/>
            <w:vAlign w:val="bottom"/>
            <w:tcBorders>
              <w:bottom w:val="single" w:sz="8" w:color="E2E2E2"/>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20"/>
                <w:szCs w:val="20"/>
                <w:color w:val="auto"/>
              </w:rPr>
              <w:t>158,005</w:t>
            </w:r>
          </w:p>
        </w:tc>
        <w:tc>
          <w:tcPr>
            <w:tcW w:w="140" w:type="dxa"/>
            <w:vAlign w:val="bottom"/>
            <w:tcBorders>
              <w:bottom w:val="single" w:sz="8" w:color="E2E2E2"/>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20"/>
                <w:szCs w:val="20"/>
                <w:color w:val="auto"/>
              </w:rPr>
              <w:t>90,394</w:t>
            </w:r>
          </w:p>
        </w:tc>
        <w:tc>
          <w:tcPr>
            <w:tcW w:w="160" w:type="dxa"/>
            <w:vAlign w:val="bottom"/>
            <w:tcBorders>
              <w:bottom w:val="single" w:sz="8" w:color="E2E2E2"/>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126,896</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140" w:type="dxa"/>
            <w:vAlign w:val="bottom"/>
            <w:tcBorders>
              <w:bottom w:val="single" w:sz="8" w:color="E2E2E2"/>
            </w:tcBorders>
            <w:shd w:val="clear" w:color="auto" w:fill="E2E2E2"/>
          </w:tcPr>
          <w:p>
            <w:pPr>
              <w:ind w:left="400"/>
              <w:spacing w:after="0"/>
              <w:rPr>
                <w:sz w:val="20"/>
                <w:szCs w:val="20"/>
                <w:color w:val="auto"/>
              </w:rPr>
            </w:pPr>
            <w:r>
              <w:rPr>
                <w:rFonts w:ascii="Times New Roman" w:cs="Times New Roman" w:eastAsia="Times New Roman" w:hAnsi="Times New Roman"/>
                <w:sz w:val="20"/>
                <w:szCs w:val="20"/>
                <w:b w:val="1"/>
                <w:bCs w:val="1"/>
                <w:color w:val="auto"/>
              </w:rPr>
              <w:t>Total net sales</w:t>
            </w:r>
          </w:p>
        </w:tc>
        <w:tc>
          <w:tcPr>
            <w:tcW w:w="2120" w:type="dxa"/>
            <w:vAlign w:val="bottom"/>
            <w:tcBorders>
              <w:bottom w:val="single" w:sz="8" w:color="E2E2E2"/>
            </w:tcBorders>
            <w:shd w:val="clear" w:color="auto" w:fill="E2E2E2"/>
          </w:tcPr>
          <w:p>
            <w:pPr>
              <w:spacing w:after="0"/>
              <w:rPr>
                <w:sz w:val="22"/>
                <w:szCs w:val="22"/>
                <w:color w:val="auto"/>
              </w:rPr>
            </w:pPr>
          </w:p>
        </w:tc>
        <w:tc>
          <w:tcPr>
            <w:tcW w:w="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890,096</w:t>
            </w:r>
          </w:p>
        </w:tc>
        <w:tc>
          <w:tcPr>
            <w:tcW w:w="140" w:type="dxa"/>
            <w:vAlign w:val="bottom"/>
            <w:tcBorders>
              <w:bottom w:val="single" w:sz="8" w:color="E2E2E2"/>
            </w:tcBorders>
            <w:shd w:val="clear" w:color="auto" w:fill="E2E2E2"/>
          </w:tcPr>
          <w:p>
            <w:pPr>
              <w:spacing w:after="0"/>
              <w:rPr>
                <w:sz w:val="22"/>
                <w:szCs w:val="22"/>
                <w:color w:val="auto"/>
              </w:rPr>
            </w:pPr>
          </w:p>
        </w:tc>
        <w:tc>
          <w:tcPr>
            <w:tcW w:w="200" w:type="dxa"/>
            <w:vAlign w:val="bottom"/>
            <w:tcBorders>
              <w:bottom w:val="single" w:sz="8" w:color="auto"/>
            </w:tcBorders>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725,006</w:t>
            </w:r>
          </w:p>
        </w:tc>
        <w:tc>
          <w:tcPr>
            <w:tcW w:w="160" w:type="dxa"/>
            <w:vAlign w:val="bottom"/>
            <w:tcBorders>
              <w:bottom w:val="single" w:sz="8" w:color="E2E2E2"/>
            </w:tcBorders>
            <w:shd w:val="clear" w:color="auto" w:fill="E2E2E2"/>
          </w:tcPr>
          <w:p>
            <w:pPr>
              <w:spacing w:after="0"/>
              <w:rPr>
                <w:sz w:val="22"/>
                <w:szCs w:val="22"/>
                <w:color w:val="auto"/>
              </w:rPr>
            </w:pPr>
          </w:p>
        </w:tc>
        <w:tc>
          <w:tcPr>
            <w:tcW w:w="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1,049,367</w:t>
            </w:r>
          </w:p>
        </w:tc>
        <w:tc>
          <w:tcPr>
            <w:tcW w:w="60" w:type="dxa"/>
            <w:vAlign w:val="bottom"/>
            <w:tcBorders>
              <w:bottom w:val="single" w:sz="8" w:color="auto"/>
            </w:tcBorders>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-4638040</wp:posOffset>
            </wp:positionV>
            <wp:extent cx="287464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a:extLst>
                        <a:ext uri="{28A0092B-C50C-407E-A947-70E740481C1C}"/>
                      </a:extLst>
                    </a:blip>
                    <a:srcRect/>
                    <a:stretch>
                      <a:fillRect/>
                    </a:stretch>
                  </pic:blipFill>
                  <pic:spPr bwMode="auto">
                    <a:xfrm>
                      <a:off x="0" y="0"/>
                      <a:ext cx="2874645" cy="3810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-3338830</wp:posOffset>
            </wp:positionV>
            <wp:extent cx="287464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a:extLst>
                        <a:ext uri="{28A0092B-C50C-407E-A947-70E740481C1C}"/>
                      </a:extLst>
                    </a:blip>
                    <a:srcRect/>
                    <a:stretch>
                      <a:fillRect/>
                    </a:stretch>
                  </pic:blipFill>
                  <pic:spPr bwMode="auto">
                    <a:xfrm>
                      <a:off x="0" y="0"/>
                      <a:ext cx="2874645" cy="3810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-2089150</wp:posOffset>
            </wp:positionV>
            <wp:extent cx="287464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
                      <a:extLst>
                        <a:ext uri="{28A0092B-C50C-407E-A947-70E740481C1C}"/>
                      </a:extLst>
                    </a:blip>
                    <a:srcRect/>
                    <a:stretch>
                      <a:fillRect/>
                    </a:stretch>
                  </pic:blipFill>
                  <pic:spPr bwMode="auto">
                    <a:xfrm>
                      <a:off x="0" y="0"/>
                      <a:ext cx="2874645" cy="38100"/>
                    </a:xfrm>
                    <a:prstGeom prst="rect">
                      <a:avLst/>
                    </a:prstGeom>
                    <a:noFill/>
                  </pic:spPr>
                </pic:pic>
              </a:graphicData>
            </a:graphic>
          </wp:anchor>
        </w:drawing>
      </w:r>
    </w:p>
    <w:p>
      <w:pPr>
        <w:spacing w:after="0" w:line="99"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The Company recognizes sales net of returns and sales allowances, which include credits issued, price protection adjustments and stock rotation rights. As of March 27, 2026 and March 28, 2025, the obligation associated with returns and sales allowances, was $48,616 and $33,855, respectively, and was netted against trade accounts receivable in the consolidated balance sheets.</w:t>
      </w:r>
    </w:p>
    <w:p>
      <w:pPr>
        <w:spacing w:after="0" w:line="68"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Unsatisfied performance obligations primarily represent contracts for products with future delivery dates. The Company elected not to disclose the amount of unsatisfied performance obligations as these contracts have original expected durations of less than one year.</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10800"/>
          </w:cols>
          <w:pgMar w:left="720" w:top="696" w:right="720" w:bottom="187" w:gutter="0" w:footer="0" w:header="0"/>
          <w:type w:val="continuous"/>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4" w:lineRule="exact"/>
        <w:rPr>
          <w:sz w:val="20"/>
          <w:szCs w:val="20"/>
          <w:color w:val="auto"/>
        </w:rPr>
      </w:pPr>
    </w:p>
    <w:p>
      <w:pPr>
        <w:ind w:left="540" w:hanging="540"/>
        <w:spacing w:after="0"/>
        <w:tabs>
          <w:tab w:leader="none" w:pos="54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tables present information about the Company’s financial assets and liabilities as of March 27, 2026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28, 2025 measured at fair value on a recurring basis: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80" w:type="dxa"/>
            <w:vAlign w:val="bottom"/>
            <w:gridSpan w:val="15"/>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Fair Value Measurement at March 27, 2026:</w:t>
            </w:r>
          </w:p>
        </w:tc>
        <w:tc>
          <w:tcPr>
            <w:tcW w:w="9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93"/>
        </w:trPr>
        <w:tc>
          <w:tcPr>
            <w:tcW w:w="5460" w:type="dxa"/>
            <w:vAlign w:val="bottom"/>
            <w:tcBorders>
              <w:bottom w:val="single" w:sz="8" w:color="E2E2E2"/>
            </w:tcBorders>
          </w:tcPr>
          <w:p>
            <w:pPr>
              <w:spacing w:after="0"/>
              <w:rPr>
                <w:sz w:val="16"/>
                <w:szCs w:val="16"/>
                <w:color w:val="auto"/>
              </w:rPr>
            </w:pPr>
          </w:p>
        </w:tc>
        <w:tc>
          <w:tcPr>
            <w:tcW w:w="20" w:type="dxa"/>
            <w:vAlign w:val="bottom"/>
            <w:tcBorders>
              <w:bottom w:val="single" w:sz="8" w:color="E2E2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E2E2E2"/>
            </w:tcBorders>
          </w:tcPr>
          <w:p>
            <w:pPr>
              <w:spacing w:after="0"/>
              <w:rPr>
                <w:sz w:val="16"/>
                <w:szCs w:val="16"/>
                <w:color w:val="auto"/>
              </w:rPr>
            </w:pPr>
          </w:p>
        </w:tc>
        <w:tc>
          <w:tcPr>
            <w:tcW w:w="20" w:type="dxa"/>
            <w:vAlign w:val="bottom"/>
            <w:tcBorders>
              <w:bottom w:val="single" w:sz="8" w:color="E2E2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Borders>
              <w:bottom w:val="single" w:sz="8" w:color="E2E2E2"/>
            </w:tcBorders>
          </w:tcPr>
          <w:p>
            <w:pPr>
              <w:spacing w:after="0"/>
              <w:rPr>
                <w:sz w:val="16"/>
                <w:szCs w:val="16"/>
                <w:color w:val="auto"/>
              </w:rPr>
            </w:pPr>
          </w:p>
        </w:tc>
        <w:tc>
          <w:tcPr>
            <w:tcW w:w="20" w:type="dxa"/>
            <w:vAlign w:val="bottom"/>
            <w:tcBorders>
              <w:bottom w:val="single" w:sz="8" w:color="E2E2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Borders>
              <w:bottom w:val="single" w:sz="8" w:color="E2E2E2"/>
            </w:tcBorders>
          </w:tcPr>
          <w:p>
            <w:pPr>
              <w:spacing w:after="0"/>
              <w:rPr>
                <w:sz w:val="16"/>
                <w:szCs w:val="16"/>
                <w:color w:val="auto"/>
              </w:rPr>
            </w:pPr>
          </w:p>
        </w:tc>
        <w:tc>
          <w:tcPr>
            <w:tcW w:w="20" w:type="dxa"/>
            <w:vAlign w:val="bottom"/>
            <w:tcBorders>
              <w:bottom w:val="single" w:sz="8" w:color="E2E2E2"/>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Borders>
              <w:bottom w:val="single" w:sz="8" w:color="auto"/>
            </w:tcBorders>
          </w:tcPr>
          <w:p>
            <w:pPr>
              <w:spacing w:after="0"/>
              <w:rPr>
                <w:sz w:val="16"/>
                <w:szCs w:val="16"/>
                <w:color w:val="auto"/>
              </w:rPr>
            </w:pPr>
          </w:p>
        </w:tc>
      </w:tr>
      <w:tr>
        <w:trPr>
          <w:trHeight w:val="239"/>
        </w:trPr>
        <w:tc>
          <w:tcPr>
            <w:tcW w:w="54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80" w:type="dxa"/>
            <w:vAlign w:val="bottom"/>
            <w:shd w:val="clear" w:color="auto" w:fill="E2E2E2"/>
          </w:tcPr>
          <w:p>
            <w:pPr>
              <w:spacing w:after="0"/>
              <w:rPr>
                <w:sz w:val="20"/>
                <w:szCs w:val="20"/>
                <w:color w:val="auto"/>
              </w:rPr>
            </w:pPr>
          </w:p>
        </w:tc>
        <w:tc>
          <w:tcPr>
            <w:tcW w:w="10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900" w:type="dxa"/>
            <w:vAlign w:val="bottom"/>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r>
      <w:tr>
        <w:trPr>
          <w:trHeight w:val="244"/>
        </w:trPr>
        <w:tc>
          <w:tcPr>
            <w:tcW w:w="54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Cash equivalents:</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5480" w:type="dxa"/>
            <w:vAlign w:val="bottom"/>
            <w:gridSpan w:val="2"/>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Money market fund deposits</w:t>
            </w:r>
          </w:p>
        </w:tc>
        <w:tc>
          <w:tcPr>
            <w:tcW w:w="18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E2E2E2"/>
          </w:tcPr>
          <w:p>
            <w:pPr>
              <w:jc w:val="right"/>
              <w:ind w:right="27"/>
              <w:spacing w:after="0"/>
              <w:rPr>
                <w:sz w:val="20"/>
                <w:szCs w:val="20"/>
                <w:color w:val="auto"/>
              </w:rPr>
            </w:pPr>
            <w:r>
              <w:rPr>
                <w:rFonts w:ascii="Times New Roman" w:cs="Times New Roman" w:eastAsia="Times New Roman" w:hAnsi="Times New Roman"/>
                <w:sz w:val="20"/>
                <w:szCs w:val="20"/>
                <w:color w:val="auto"/>
              </w:rPr>
              <w:t>42,173</w:t>
            </w:r>
          </w:p>
        </w:tc>
        <w:tc>
          <w:tcPr>
            <w:tcW w:w="20" w:type="dxa"/>
            <w:vAlign w:val="bottom"/>
            <w:shd w:val="clear" w:color="auto" w:fill="E2E2E2"/>
          </w:tcPr>
          <w:p>
            <w:pPr>
              <w:spacing w:after="0"/>
              <w:rPr>
                <w:sz w:val="21"/>
                <w:szCs w:val="21"/>
                <w:color w:val="auto"/>
              </w:rPr>
            </w:pPr>
          </w:p>
        </w:tc>
        <w:tc>
          <w:tcPr>
            <w:tcW w:w="320" w:type="dxa"/>
            <w:vAlign w:val="bottom"/>
            <w:gridSpan w:val="3"/>
            <w:shd w:val="clear" w:color="auto" w:fill="E2E2E2"/>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E2E2E2"/>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shd w:val="clear" w:color="auto" w:fill="E2E2E2"/>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3"/>
            <w:shd w:val="clear" w:color="auto" w:fill="E2E2E2"/>
          </w:tcPr>
          <w:p>
            <w:pPr>
              <w:jc w:val="right"/>
              <w:ind w:right="55"/>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42,173</w:t>
            </w:r>
          </w:p>
        </w:tc>
        <w:tc>
          <w:tcPr>
            <w:tcW w:w="60" w:type="dxa"/>
            <w:vAlign w:val="bottom"/>
            <w:shd w:val="clear" w:color="auto" w:fill="E2E2E2"/>
          </w:tcPr>
          <w:p>
            <w:pPr>
              <w:spacing w:after="0"/>
              <w:rPr>
                <w:sz w:val="21"/>
                <w:szCs w:val="21"/>
                <w:color w:val="auto"/>
              </w:rPr>
            </w:pPr>
          </w:p>
        </w:tc>
      </w:tr>
      <w:tr>
        <w:trPr>
          <w:trHeight w:val="244"/>
        </w:trPr>
        <w:tc>
          <w:tcPr>
            <w:tcW w:w="54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Restricted cash:</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5480" w:type="dxa"/>
            <w:vAlign w:val="bottom"/>
            <w:gridSpan w:val="2"/>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Money market fund deposits</w:t>
            </w:r>
          </w:p>
        </w:tc>
        <w:tc>
          <w:tcPr>
            <w:tcW w:w="180" w:type="dxa"/>
            <w:vAlign w:val="bottom"/>
            <w:shd w:val="clear" w:color="auto" w:fill="E2E2E2"/>
          </w:tcPr>
          <w:p>
            <w:pPr>
              <w:spacing w:after="0"/>
              <w:rPr>
                <w:sz w:val="21"/>
                <w:szCs w:val="21"/>
                <w:color w:val="auto"/>
              </w:rPr>
            </w:pPr>
          </w:p>
        </w:tc>
        <w:tc>
          <w:tcPr>
            <w:tcW w:w="1040" w:type="dxa"/>
            <w:vAlign w:val="bottom"/>
            <w:shd w:val="clear" w:color="auto" w:fill="E2E2E2"/>
          </w:tcPr>
          <w:p>
            <w:pPr>
              <w:jc w:val="right"/>
              <w:ind w:right="27"/>
              <w:spacing w:after="0"/>
              <w:rPr>
                <w:sz w:val="20"/>
                <w:szCs w:val="20"/>
                <w:color w:val="auto"/>
              </w:rPr>
            </w:pPr>
            <w:r>
              <w:rPr>
                <w:rFonts w:ascii="Times New Roman" w:cs="Times New Roman" w:eastAsia="Times New Roman" w:hAnsi="Times New Roman"/>
                <w:sz w:val="20"/>
                <w:szCs w:val="20"/>
                <w:color w:val="auto"/>
              </w:rPr>
              <w:t>6,604</w:t>
            </w:r>
          </w:p>
        </w:tc>
        <w:tc>
          <w:tcPr>
            <w:tcW w:w="20" w:type="dxa"/>
            <w:vAlign w:val="bottom"/>
            <w:shd w:val="clear" w:color="auto" w:fill="E2E2E2"/>
          </w:tcPr>
          <w:p>
            <w:pPr>
              <w:spacing w:after="0"/>
              <w:rPr>
                <w:sz w:val="21"/>
                <w:szCs w:val="21"/>
                <w:color w:val="auto"/>
              </w:rPr>
            </w:pPr>
          </w:p>
        </w:tc>
        <w:tc>
          <w:tcPr>
            <w:tcW w:w="12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060" w:type="dxa"/>
            <w:vAlign w:val="bottom"/>
            <w:gridSpan w:val="2"/>
            <w:shd w:val="clear" w:color="auto" w:fill="E2E2E2"/>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06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6,604</w:t>
            </w:r>
          </w:p>
        </w:tc>
        <w:tc>
          <w:tcPr>
            <w:tcW w:w="60" w:type="dxa"/>
            <w:vAlign w:val="bottom"/>
            <w:shd w:val="clear" w:color="auto" w:fill="E2E2E2"/>
          </w:tcPr>
          <w:p>
            <w:pPr>
              <w:spacing w:after="0"/>
              <w:rPr>
                <w:sz w:val="21"/>
                <w:szCs w:val="21"/>
                <w:color w:val="auto"/>
              </w:rPr>
            </w:pPr>
          </w:p>
        </w:tc>
      </w:tr>
      <w:tr>
        <w:trPr>
          <w:trHeight w:val="244"/>
        </w:trPr>
        <w:tc>
          <w:tcPr>
            <w:tcW w:w="54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long-term assets:</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5480" w:type="dxa"/>
            <w:vAlign w:val="bottom"/>
            <w:gridSpan w:val="2"/>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Investment in debt security</w:t>
            </w:r>
          </w:p>
        </w:tc>
        <w:tc>
          <w:tcPr>
            <w:tcW w:w="180" w:type="dxa"/>
            <w:vAlign w:val="bottom"/>
            <w:tcBorders>
              <w:bottom w:val="single" w:sz="8" w:color="auto"/>
            </w:tcBorders>
            <w:shd w:val="clear" w:color="auto" w:fill="E2E2E2"/>
          </w:tcPr>
          <w:p>
            <w:pPr>
              <w:spacing w:after="0"/>
              <w:rPr>
                <w:sz w:val="21"/>
                <w:szCs w:val="21"/>
                <w:color w:val="auto"/>
              </w:rPr>
            </w:pPr>
          </w:p>
        </w:tc>
        <w:tc>
          <w:tcPr>
            <w:tcW w:w="1060" w:type="dxa"/>
            <w:vAlign w:val="bottom"/>
            <w:tcBorders>
              <w:bottom w:val="single" w:sz="8" w:color="auto"/>
            </w:tcBorders>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80" w:type="dxa"/>
            <w:vAlign w:val="bottom"/>
            <w:tcBorders>
              <w:bottom w:val="single" w:sz="8" w:color="auto"/>
            </w:tcBorders>
            <w:shd w:val="clear" w:color="auto" w:fill="E2E2E2"/>
          </w:tcPr>
          <w:p>
            <w:pPr>
              <w:spacing w:after="0"/>
              <w:rPr>
                <w:sz w:val="21"/>
                <w:szCs w:val="21"/>
                <w:color w:val="auto"/>
              </w:rPr>
            </w:pPr>
          </w:p>
        </w:tc>
        <w:tc>
          <w:tcPr>
            <w:tcW w:w="1060" w:type="dxa"/>
            <w:vAlign w:val="bottom"/>
            <w:tcBorders>
              <w:bottom w:val="single" w:sz="8" w:color="auto"/>
            </w:tcBorders>
            <w:gridSpan w:val="2"/>
            <w:shd w:val="clear" w:color="auto" w:fill="E2E2E2"/>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80" w:type="dxa"/>
            <w:vAlign w:val="bottom"/>
            <w:tcBorders>
              <w:bottom w:val="single" w:sz="8" w:color="auto"/>
            </w:tcBorders>
            <w:shd w:val="clear" w:color="auto" w:fill="E2E2E2"/>
          </w:tcPr>
          <w:p>
            <w:pPr>
              <w:spacing w:after="0"/>
              <w:rPr>
                <w:sz w:val="21"/>
                <w:szCs w:val="21"/>
                <w:color w:val="auto"/>
              </w:rPr>
            </w:pPr>
          </w:p>
        </w:tc>
        <w:tc>
          <w:tcPr>
            <w:tcW w:w="1040" w:type="dxa"/>
            <w:vAlign w:val="bottom"/>
            <w:tcBorders>
              <w:bottom w:val="single" w:sz="8" w:color="auto"/>
            </w:tcBorders>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3,477</w:t>
            </w:r>
          </w:p>
        </w:tc>
        <w:tc>
          <w:tcPr>
            <w:tcW w:w="20" w:type="dxa"/>
            <w:vAlign w:val="bottom"/>
            <w:tcBorders>
              <w:bottom w:val="single" w:sz="8" w:color="auto"/>
            </w:tcBorders>
            <w:shd w:val="clear" w:color="auto" w:fill="E2E2E2"/>
          </w:tcPr>
          <w:p>
            <w:pPr>
              <w:spacing w:after="0"/>
              <w:rPr>
                <w:sz w:val="21"/>
                <w:szCs w:val="21"/>
                <w:color w:val="auto"/>
              </w:rPr>
            </w:pPr>
          </w:p>
        </w:tc>
        <w:tc>
          <w:tcPr>
            <w:tcW w:w="12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220" w:type="dxa"/>
            <w:vAlign w:val="bottom"/>
            <w:tcBorders>
              <w:bottom w:val="single" w:sz="8" w:color="auto"/>
            </w:tcBorders>
            <w:shd w:val="clear" w:color="auto" w:fill="E2E2E2"/>
          </w:tcPr>
          <w:p>
            <w:pPr>
              <w:spacing w:after="0"/>
              <w:rPr>
                <w:sz w:val="21"/>
                <w:szCs w:val="21"/>
                <w:color w:val="auto"/>
              </w:rPr>
            </w:pP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3,477</w:t>
            </w:r>
          </w:p>
        </w:tc>
        <w:tc>
          <w:tcPr>
            <w:tcW w:w="60" w:type="dxa"/>
            <w:vAlign w:val="bottom"/>
            <w:tcBorders>
              <w:bottom w:val="single" w:sz="8" w:color="auto"/>
            </w:tcBorders>
            <w:shd w:val="clear" w:color="auto" w:fill="E2E2E2"/>
          </w:tcPr>
          <w:p>
            <w:pPr>
              <w:spacing w:after="0"/>
              <w:rPr>
                <w:sz w:val="21"/>
                <w:szCs w:val="21"/>
                <w:color w:val="auto"/>
              </w:rPr>
            </w:pPr>
          </w:p>
        </w:tc>
      </w:tr>
      <w:tr>
        <w:trPr>
          <w:trHeight w:val="239"/>
        </w:trPr>
        <w:tc>
          <w:tcPr>
            <w:tcW w:w="5480" w:type="dxa"/>
            <w:vAlign w:val="bottom"/>
            <w:gridSpan w:val="2"/>
          </w:tcPr>
          <w:p>
            <w:pPr>
              <w:ind w:left="60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48,777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3,477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52,254</w:t>
            </w:r>
          </w:p>
        </w:tc>
        <w:tc>
          <w:tcPr>
            <w:tcW w:w="60" w:type="dxa"/>
            <w:vAlign w:val="bottom"/>
          </w:tcPr>
          <w:p>
            <w:pPr>
              <w:spacing w:after="0"/>
              <w:rPr>
                <w:sz w:val="20"/>
                <w:szCs w:val="20"/>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579"/>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80" w:type="dxa"/>
            <w:vAlign w:val="bottom"/>
            <w:gridSpan w:val="15"/>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Fair Value Measurement at March 28, 2025:</w:t>
            </w:r>
          </w:p>
        </w:tc>
        <w:tc>
          <w:tcPr>
            <w:tcW w:w="9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3"/>
        </w:trPr>
        <w:tc>
          <w:tcPr>
            <w:tcW w:w="5460" w:type="dxa"/>
            <w:vAlign w:val="bottom"/>
            <w:tcBorders>
              <w:bottom w:val="single" w:sz="8" w:color="E2E2E2"/>
            </w:tcBorders>
          </w:tcPr>
          <w:p>
            <w:pPr>
              <w:spacing w:after="0"/>
              <w:rPr>
                <w:sz w:val="16"/>
                <w:szCs w:val="16"/>
                <w:color w:val="auto"/>
              </w:rPr>
            </w:pPr>
          </w:p>
        </w:tc>
        <w:tc>
          <w:tcPr>
            <w:tcW w:w="20" w:type="dxa"/>
            <w:vAlign w:val="bottom"/>
            <w:tcBorders>
              <w:bottom w:val="single" w:sz="8" w:color="E2E2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E2E2E2"/>
            </w:tcBorders>
          </w:tcPr>
          <w:p>
            <w:pPr>
              <w:spacing w:after="0"/>
              <w:rPr>
                <w:sz w:val="16"/>
                <w:szCs w:val="16"/>
                <w:color w:val="auto"/>
              </w:rPr>
            </w:pPr>
          </w:p>
        </w:tc>
        <w:tc>
          <w:tcPr>
            <w:tcW w:w="20" w:type="dxa"/>
            <w:vAlign w:val="bottom"/>
            <w:tcBorders>
              <w:bottom w:val="single" w:sz="8" w:color="E2E2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Borders>
              <w:bottom w:val="single" w:sz="8" w:color="E2E2E2"/>
            </w:tcBorders>
          </w:tcPr>
          <w:p>
            <w:pPr>
              <w:spacing w:after="0"/>
              <w:rPr>
                <w:sz w:val="16"/>
                <w:szCs w:val="16"/>
                <w:color w:val="auto"/>
              </w:rPr>
            </w:pPr>
          </w:p>
        </w:tc>
        <w:tc>
          <w:tcPr>
            <w:tcW w:w="20" w:type="dxa"/>
            <w:vAlign w:val="bottom"/>
            <w:tcBorders>
              <w:bottom w:val="single" w:sz="8" w:color="E2E2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Borders>
              <w:bottom w:val="single" w:sz="8" w:color="E2E2E2"/>
            </w:tcBorders>
          </w:tcPr>
          <w:p>
            <w:pPr>
              <w:spacing w:after="0"/>
              <w:rPr>
                <w:sz w:val="16"/>
                <w:szCs w:val="16"/>
                <w:color w:val="auto"/>
              </w:rPr>
            </w:pPr>
          </w:p>
        </w:tc>
        <w:tc>
          <w:tcPr>
            <w:tcW w:w="20" w:type="dxa"/>
            <w:vAlign w:val="bottom"/>
            <w:tcBorders>
              <w:bottom w:val="single" w:sz="8" w:color="E2E2E2"/>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Borders>
              <w:bottom w:val="single" w:sz="8" w:color="auto"/>
            </w:tcBorders>
          </w:tcPr>
          <w:p>
            <w:pPr>
              <w:spacing w:after="0"/>
              <w:rPr>
                <w:sz w:val="16"/>
                <w:szCs w:val="16"/>
                <w:color w:val="auto"/>
              </w:rPr>
            </w:pPr>
          </w:p>
        </w:tc>
      </w:tr>
      <w:tr>
        <w:trPr>
          <w:trHeight w:val="239"/>
        </w:trPr>
        <w:tc>
          <w:tcPr>
            <w:tcW w:w="54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80" w:type="dxa"/>
            <w:vAlign w:val="bottom"/>
            <w:shd w:val="clear" w:color="auto" w:fill="E2E2E2"/>
          </w:tcPr>
          <w:p>
            <w:pPr>
              <w:spacing w:after="0"/>
              <w:rPr>
                <w:sz w:val="20"/>
                <w:szCs w:val="20"/>
                <w:color w:val="auto"/>
              </w:rPr>
            </w:pPr>
          </w:p>
        </w:tc>
        <w:tc>
          <w:tcPr>
            <w:tcW w:w="10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900" w:type="dxa"/>
            <w:vAlign w:val="bottom"/>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r>
      <w:tr>
        <w:trPr>
          <w:trHeight w:val="244"/>
        </w:trPr>
        <w:tc>
          <w:tcPr>
            <w:tcW w:w="54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Cash equivalents:</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5480" w:type="dxa"/>
            <w:vAlign w:val="bottom"/>
            <w:gridSpan w:val="2"/>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Money market fund deposits</w:t>
            </w:r>
          </w:p>
        </w:tc>
        <w:tc>
          <w:tcPr>
            <w:tcW w:w="18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E2E2E2"/>
          </w:tcPr>
          <w:p>
            <w:pPr>
              <w:jc w:val="right"/>
              <w:ind w:right="27"/>
              <w:spacing w:after="0"/>
              <w:rPr>
                <w:sz w:val="20"/>
                <w:szCs w:val="20"/>
                <w:color w:val="auto"/>
              </w:rPr>
            </w:pPr>
            <w:r>
              <w:rPr>
                <w:rFonts w:ascii="Times New Roman" w:cs="Times New Roman" w:eastAsia="Times New Roman" w:hAnsi="Times New Roman"/>
                <w:sz w:val="20"/>
                <w:szCs w:val="20"/>
                <w:color w:val="auto"/>
              </w:rPr>
              <w:t>30,814</w:t>
            </w:r>
          </w:p>
        </w:tc>
        <w:tc>
          <w:tcPr>
            <w:tcW w:w="20" w:type="dxa"/>
            <w:vAlign w:val="bottom"/>
            <w:shd w:val="clear" w:color="auto" w:fill="E2E2E2"/>
          </w:tcPr>
          <w:p>
            <w:pPr>
              <w:spacing w:after="0"/>
              <w:rPr>
                <w:sz w:val="21"/>
                <w:szCs w:val="21"/>
                <w:color w:val="auto"/>
              </w:rPr>
            </w:pPr>
          </w:p>
        </w:tc>
        <w:tc>
          <w:tcPr>
            <w:tcW w:w="320" w:type="dxa"/>
            <w:vAlign w:val="bottom"/>
            <w:gridSpan w:val="3"/>
            <w:shd w:val="clear" w:color="auto" w:fill="E2E2E2"/>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E2E2E2"/>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shd w:val="clear" w:color="auto" w:fill="E2E2E2"/>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3"/>
            <w:shd w:val="clear" w:color="auto" w:fill="E2E2E2"/>
          </w:tcPr>
          <w:p>
            <w:pPr>
              <w:jc w:val="right"/>
              <w:ind w:right="55"/>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30,814</w:t>
            </w:r>
          </w:p>
        </w:tc>
        <w:tc>
          <w:tcPr>
            <w:tcW w:w="60" w:type="dxa"/>
            <w:vAlign w:val="bottom"/>
            <w:shd w:val="clear" w:color="auto" w:fill="E2E2E2"/>
          </w:tcPr>
          <w:p>
            <w:pPr>
              <w:spacing w:after="0"/>
              <w:rPr>
                <w:sz w:val="21"/>
                <w:szCs w:val="21"/>
                <w:color w:val="auto"/>
              </w:rPr>
            </w:pPr>
          </w:p>
        </w:tc>
      </w:tr>
      <w:tr>
        <w:trPr>
          <w:trHeight w:val="244"/>
        </w:trPr>
        <w:tc>
          <w:tcPr>
            <w:tcW w:w="54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Restricted cash:</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4"/>
        </w:trPr>
        <w:tc>
          <w:tcPr>
            <w:tcW w:w="5480" w:type="dxa"/>
            <w:vAlign w:val="bottom"/>
            <w:tcBorders>
              <w:bottom w:val="single" w:sz="8" w:color="E2E2E2"/>
            </w:tcBorders>
            <w:gridSpan w:val="2"/>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Money market fund deposits</w:t>
            </w:r>
          </w:p>
        </w:tc>
        <w:tc>
          <w:tcPr>
            <w:tcW w:w="180" w:type="dxa"/>
            <w:vAlign w:val="bottom"/>
            <w:tcBorders>
              <w:bottom w:val="single" w:sz="8" w:color="auto"/>
            </w:tcBorders>
            <w:shd w:val="clear" w:color="auto" w:fill="E2E2E2"/>
          </w:tcPr>
          <w:p>
            <w:pPr>
              <w:spacing w:after="0"/>
              <w:rPr>
                <w:sz w:val="22"/>
                <w:szCs w:val="22"/>
                <w:color w:val="auto"/>
              </w:rPr>
            </w:pPr>
          </w:p>
        </w:tc>
        <w:tc>
          <w:tcPr>
            <w:tcW w:w="1040" w:type="dxa"/>
            <w:vAlign w:val="bottom"/>
            <w:tcBorders>
              <w:bottom w:val="single" w:sz="8" w:color="auto"/>
            </w:tcBorders>
            <w:shd w:val="clear" w:color="auto" w:fill="E2E2E2"/>
          </w:tcPr>
          <w:p>
            <w:pPr>
              <w:jc w:val="right"/>
              <w:ind w:right="27"/>
              <w:spacing w:after="0"/>
              <w:rPr>
                <w:sz w:val="20"/>
                <w:szCs w:val="20"/>
                <w:color w:val="auto"/>
              </w:rPr>
            </w:pPr>
            <w:r>
              <w:rPr>
                <w:rFonts w:ascii="Times New Roman" w:cs="Times New Roman" w:eastAsia="Times New Roman" w:hAnsi="Times New Roman"/>
                <w:sz w:val="20"/>
                <w:szCs w:val="20"/>
                <w:color w:val="auto"/>
              </w:rPr>
              <w:t>9,773</w:t>
            </w:r>
          </w:p>
        </w:tc>
        <w:tc>
          <w:tcPr>
            <w:tcW w:w="20" w:type="dxa"/>
            <w:vAlign w:val="bottom"/>
            <w:tcBorders>
              <w:bottom w:val="single" w:sz="8" w:color="auto"/>
            </w:tcBorders>
            <w:shd w:val="clear" w:color="auto" w:fill="E2E2E2"/>
          </w:tcPr>
          <w:p>
            <w:pPr>
              <w:spacing w:after="0"/>
              <w:rPr>
                <w:sz w:val="22"/>
                <w:szCs w:val="22"/>
                <w:color w:val="auto"/>
              </w:rPr>
            </w:pPr>
          </w:p>
        </w:tc>
        <w:tc>
          <w:tcPr>
            <w:tcW w:w="120" w:type="dxa"/>
            <w:vAlign w:val="bottom"/>
            <w:tcBorders>
              <w:bottom w:val="single" w:sz="8" w:color="E2E2E2"/>
            </w:tcBorders>
            <w:shd w:val="clear" w:color="auto" w:fill="E2E2E2"/>
          </w:tcPr>
          <w:p>
            <w:pPr>
              <w:spacing w:after="0"/>
              <w:rPr>
                <w:sz w:val="22"/>
                <w:szCs w:val="22"/>
                <w:color w:val="auto"/>
              </w:rPr>
            </w:pPr>
          </w:p>
        </w:tc>
        <w:tc>
          <w:tcPr>
            <w:tcW w:w="2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auto"/>
            </w:tcBorders>
            <w:shd w:val="clear" w:color="auto" w:fill="E2E2E2"/>
          </w:tcPr>
          <w:p>
            <w:pPr>
              <w:spacing w:after="0"/>
              <w:rPr>
                <w:sz w:val="22"/>
                <w:szCs w:val="22"/>
                <w:color w:val="auto"/>
              </w:rPr>
            </w:pPr>
          </w:p>
        </w:tc>
        <w:tc>
          <w:tcPr>
            <w:tcW w:w="1060" w:type="dxa"/>
            <w:vAlign w:val="bottom"/>
            <w:tcBorders>
              <w:bottom w:val="single" w:sz="8" w:color="auto"/>
            </w:tcBorders>
            <w:gridSpan w:val="2"/>
            <w:shd w:val="clear" w:color="auto" w:fill="E2E2E2"/>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2E2E2"/>
            </w:tcBorders>
            <w:shd w:val="clear" w:color="auto" w:fill="E2E2E2"/>
          </w:tcPr>
          <w:p>
            <w:pPr>
              <w:spacing w:after="0"/>
              <w:rPr>
                <w:sz w:val="22"/>
                <w:szCs w:val="22"/>
                <w:color w:val="auto"/>
              </w:rPr>
            </w:pPr>
          </w:p>
        </w:tc>
        <w:tc>
          <w:tcPr>
            <w:tcW w:w="2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auto"/>
            </w:tcBorders>
            <w:shd w:val="clear" w:color="auto" w:fill="E2E2E2"/>
          </w:tcPr>
          <w:p>
            <w:pPr>
              <w:spacing w:after="0"/>
              <w:rPr>
                <w:sz w:val="22"/>
                <w:szCs w:val="22"/>
                <w:color w:val="auto"/>
              </w:rPr>
            </w:pPr>
          </w:p>
        </w:tc>
        <w:tc>
          <w:tcPr>
            <w:tcW w:w="1060" w:type="dxa"/>
            <w:vAlign w:val="bottom"/>
            <w:tcBorders>
              <w:bottom w:val="single" w:sz="8" w:color="auto"/>
            </w:tcBorders>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2E2E2"/>
            </w:tcBorders>
            <w:shd w:val="clear" w:color="auto" w:fill="E2E2E2"/>
          </w:tcPr>
          <w:p>
            <w:pPr>
              <w:spacing w:after="0"/>
              <w:rPr>
                <w:sz w:val="22"/>
                <w:szCs w:val="22"/>
                <w:color w:val="auto"/>
              </w:rPr>
            </w:pPr>
          </w:p>
        </w:tc>
        <w:tc>
          <w:tcPr>
            <w:tcW w:w="20" w:type="dxa"/>
            <w:vAlign w:val="bottom"/>
            <w:tcBorders>
              <w:bottom w:val="single" w:sz="8" w:color="E2E2E2"/>
            </w:tcBorders>
            <w:shd w:val="clear" w:color="auto" w:fill="E2E2E2"/>
          </w:tcPr>
          <w:p>
            <w:pPr>
              <w:spacing w:after="0"/>
              <w:rPr>
                <w:sz w:val="22"/>
                <w:szCs w:val="22"/>
                <w:color w:val="auto"/>
              </w:rPr>
            </w:pPr>
          </w:p>
        </w:tc>
        <w:tc>
          <w:tcPr>
            <w:tcW w:w="220" w:type="dxa"/>
            <w:vAlign w:val="bottom"/>
            <w:tcBorders>
              <w:bottom w:val="single" w:sz="8" w:color="auto"/>
            </w:tcBorders>
            <w:shd w:val="clear" w:color="auto" w:fill="E2E2E2"/>
          </w:tcPr>
          <w:p>
            <w:pPr>
              <w:spacing w:after="0"/>
              <w:rPr>
                <w:sz w:val="22"/>
                <w:szCs w:val="22"/>
                <w:color w:val="auto"/>
              </w:rPr>
            </w:pP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9,773</w:t>
            </w:r>
          </w:p>
        </w:tc>
        <w:tc>
          <w:tcPr>
            <w:tcW w:w="60" w:type="dxa"/>
            <w:vAlign w:val="bottom"/>
            <w:tcBorders>
              <w:bottom w:val="single" w:sz="8" w:color="auto"/>
            </w:tcBorders>
            <w:shd w:val="clear" w:color="auto" w:fill="E2E2E2"/>
          </w:tcPr>
          <w:p>
            <w:pPr>
              <w:spacing w:after="0"/>
              <w:rPr>
                <w:sz w:val="22"/>
                <w:szCs w:val="22"/>
                <w:color w:val="auto"/>
              </w:rPr>
            </w:pPr>
          </w:p>
        </w:tc>
      </w:tr>
      <w:tr>
        <w:trPr>
          <w:trHeight w:val="219"/>
        </w:trPr>
        <w:tc>
          <w:tcPr>
            <w:tcW w:w="5480" w:type="dxa"/>
            <w:vAlign w:val="bottom"/>
            <w:gridSpan w:val="2"/>
          </w:tcPr>
          <w:p>
            <w:pPr>
              <w:ind w:left="600"/>
              <w:spacing w:after="0" w:line="219" w:lineRule="exact"/>
              <w:rPr>
                <w:sz w:val="20"/>
                <w:szCs w:val="20"/>
                <w:color w:val="auto"/>
              </w:rPr>
            </w:pPr>
            <w:r>
              <w:rPr>
                <w:rFonts w:ascii="Times New Roman" w:cs="Times New Roman" w:eastAsia="Times New Roman" w:hAnsi="Times New Roman"/>
                <w:sz w:val="20"/>
                <w:szCs w:val="20"/>
                <w:b w:val="1"/>
                <w:bCs w:val="1"/>
                <w:color w:val="auto"/>
              </w:rPr>
              <w:t>Total assets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27"/>
              <w:spacing w:after="0" w:line="219" w:lineRule="exact"/>
              <w:rPr>
                <w:sz w:val="20"/>
                <w:szCs w:val="20"/>
                <w:color w:val="auto"/>
              </w:rPr>
            </w:pPr>
            <w:r>
              <w:rPr>
                <w:rFonts w:ascii="Times New Roman" w:cs="Times New Roman" w:eastAsia="Times New Roman" w:hAnsi="Times New Roman"/>
                <w:sz w:val="20"/>
                <w:szCs w:val="20"/>
                <w:color w:val="auto"/>
              </w:rPr>
              <w:t>40,587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72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40,587</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-2925445</wp:posOffset>
            </wp:positionV>
            <wp:extent cx="33902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a:extLst>
                        <a:ext uri="{28A0092B-C50C-407E-A947-70E740481C1C}"/>
                      </a:extLst>
                    </a:blip>
                    <a:srcRect/>
                    <a:stretch>
                      <a:fillRect/>
                    </a:stretch>
                  </pic:blipFill>
                  <pic:spPr bwMode="auto">
                    <a:xfrm>
                      <a:off x="0" y="0"/>
                      <a:ext cx="3390265" cy="3810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-1126490</wp:posOffset>
            </wp:positionV>
            <wp:extent cx="33902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a:extLst>
                        <a:ext uri="{28A0092B-C50C-407E-A947-70E740481C1C}"/>
                      </a:extLst>
                    </a:blip>
                    <a:srcRect/>
                    <a:stretch>
                      <a:fillRect/>
                    </a:stretch>
                  </pic:blipFill>
                  <pic:spPr bwMode="auto">
                    <a:xfrm>
                      <a:off x="0" y="0"/>
                      <a:ext cx="3390265" cy="38100"/>
                    </a:xfrm>
                    <a:prstGeom prst="rect">
                      <a:avLst/>
                    </a:prstGeom>
                    <a:noFill/>
                  </pic:spPr>
                </pic:pic>
              </a:graphicData>
            </a:graphic>
          </wp:anchor>
        </w:drawing>
      </w:r>
    </w:p>
    <w:p>
      <w:pPr>
        <w:spacing w:after="0" w:line="191"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Financial assets measured at fair value on a recurring basis also consist of assets within the Company’s non-U.S. defined benefit plan assets. Fair value information for those assets, including their classification in the fair value hierarchy, is included in Note 15, “Retirement Plans.”</w:t>
      </w:r>
    </w:p>
    <w:p>
      <w:pPr>
        <w:spacing w:after="0" w:line="68"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During the fiscal years ended March 27, 2026, March 28, 2025 and March 29, 2024, there were no transfers of financial assets or liabilities between Level 1, Level 2 and Level 3.</w:t>
      </w:r>
    </w:p>
    <w:p>
      <w:pPr>
        <w:spacing w:after="0" w:line="49"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As of March 27, 2026 and March 28, 2025, the fair value of the Company’s long-term debt was $283,575 and $343,275, respectively. The fair value was determined based on the quoted price of the debt in an inactive market on the last trading date of the reporting period, and has been classified as Level 2 within the fair value hierarchy.</w:t>
      </w:r>
    </w:p>
    <w:p>
      <w:pPr>
        <w:spacing w:after="0" w:line="68"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As of March 27, 2026, the Company held an investment in debt security with a fair value of $3,477, which is classified as Level 3 within the fair value hierarchy. Given the immateriality of this investment to the Company’s consolidated financial position and results of operations, the quantitative disclosure of significant unobservable inputs otherwise required are not presented.</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10800"/>
          </w:cols>
          <w:pgMar w:left="720" w:top="696" w:right="720" w:bottom="187" w:gutter="0" w:footer="0" w:header="0"/>
          <w:type w:val="continuous"/>
        </w:sectPr>
      </w:pPr>
    </w:p>
    <w:bookmarkStart w:id="88" w:name="page89"/>
    <w:bookmarkEnd w:id="8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19"/>
          <w:szCs w:val="19"/>
          <w:b w:val="1"/>
          <w:bCs w:val="1"/>
          <w:color w:val="auto"/>
        </w:rPr>
        <w:t>(Amounts in thousands, except share and per share amounts)</w:t>
      </w:r>
    </w:p>
    <w:p>
      <w:pPr>
        <w:sectPr>
          <w:pgSz w:w="12240" w:h="15840" w:orient="portrait"/>
          <w:cols w:equalWidth="0" w:num="1">
            <w:col w:w="10800"/>
          </w:cols>
          <w:pgMar w:left="720" w:top="696" w:right="720" w:bottom="187" w:gutter="0" w:footer="0" w:header="0"/>
        </w:sectPr>
      </w:pPr>
    </w:p>
    <w:p>
      <w:pPr>
        <w:spacing w:after="0" w:line="256" w:lineRule="exact"/>
        <w:rPr>
          <w:sz w:val="20"/>
          <w:szCs w:val="20"/>
          <w:color w:val="auto"/>
        </w:rPr>
      </w:pPr>
    </w:p>
    <w:p>
      <w:pPr>
        <w:ind w:left="540" w:hanging="540"/>
        <w:spacing w:after="0"/>
        <w:tabs>
          <w:tab w:leader="none" w:pos="54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Trade Accounts Receivable, Net</w:t>
      </w:r>
    </w:p>
    <w:p>
      <w:pPr>
        <w:spacing w:after="0" w:line="124" w:lineRule="exact"/>
        <w:rPr>
          <w:rFonts w:ascii="Times New Roman" w:cs="Times New Roman" w:eastAsia="Times New Roman" w:hAnsi="Times New Roman"/>
          <w:sz w:val="20"/>
          <w:szCs w:val="20"/>
          <w:b w:val="1"/>
          <w:bCs w:val="1"/>
          <w:color w:val="auto"/>
        </w:rPr>
      </w:pPr>
    </w:p>
    <w:p>
      <w:pPr>
        <w:ind w:left="5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Trade accounts receivable, net consisted of the following: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338455</wp:posOffset>
                </wp:positionV>
                <wp:extent cx="4674235" cy="16446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74235" cy="164465"/>
                        </a:xfrm>
                        <a:prstGeom prst="rect">
                          <a:avLst/>
                        </a:prstGeom>
                        <a:solidFill>
                          <a:srgbClr val="E2E2E2"/>
                        </a:solidFill>
                      </wps:spPr>
                      <wps:bodyPr/>
                    </wps:wsp>
                  </a:graphicData>
                </a:graphic>
              </wp:anchor>
            </w:drawing>
          </mc:Choice>
          <mc:Fallback>
            <w:pict>
              <v:rect id="Shape 40" o:spid="_x0000_s1065" style="position:absolute;margin-left:0pt;margin-top:26.65pt;width:368.0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Trade accounts receivable</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Less: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wp:posOffset>
                </wp:positionV>
                <wp:extent cx="6858000" cy="17907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79070"/>
                        </a:xfrm>
                        <a:prstGeom prst="rect">
                          <a:avLst/>
                        </a:prstGeom>
                        <a:solidFill>
                          <a:srgbClr val="E2E2E2"/>
                        </a:solidFill>
                      </wps:spPr>
                      <wps:bodyPr/>
                    </wps:wsp>
                  </a:graphicData>
                </a:graphic>
              </wp:anchor>
            </w:drawing>
          </mc:Choice>
          <mc:Fallback>
            <w:pict>
              <v:rect id="Shape 41" o:spid="_x0000_s1066" style="position:absolute;margin-left:0pt;margin-top:-0.0999pt;width:540pt;height:14.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ind w:left="400"/>
        <w:spacing w:after="0"/>
        <w:rPr>
          <w:sz w:val="20"/>
          <w:szCs w:val="20"/>
          <w:color w:val="auto"/>
        </w:rPr>
      </w:pPr>
      <w:r>
        <w:rPr>
          <w:rFonts w:ascii="Times New Roman" w:cs="Times New Roman" w:eastAsia="Times New Roman" w:hAnsi="Times New Roman"/>
          <w:sz w:val="20"/>
          <w:szCs w:val="20"/>
          <w:color w:val="auto"/>
        </w:rPr>
        <w:t>Provision for expected credit losses</w:t>
      </w:r>
    </w:p>
    <w:p>
      <w:pPr>
        <w:spacing w:after="0" w:line="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Returns and sales allowances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36830</wp:posOffset>
                </wp:positionV>
                <wp:extent cx="4674235" cy="16446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74235" cy="164465"/>
                        </a:xfrm>
                        <a:prstGeom prst="rect">
                          <a:avLst/>
                        </a:prstGeom>
                        <a:solidFill>
                          <a:srgbClr val="E2E2E2"/>
                        </a:solidFill>
                      </wps:spPr>
                      <wps:bodyPr/>
                    </wps:wsp>
                  </a:graphicData>
                </a:graphic>
              </wp:anchor>
            </w:drawing>
          </mc:Choice>
          <mc:Fallback>
            <w:pict>
              <v:rect id="Shape 42" o:spid="_x0000_s1067" style="position:absolute;margin-left:0pt;margin-top:2.9pt;width:368.0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March 28,</w:t>
            </w:r>
          </w:p>
        </w:tc>
      </w:tr>
      <w:tr>
        <w:trPr>
          <w:trHeight w:val="203"/>
        </w:trPr>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20" w:type="dxa"/>
            <w:vAlign w:val="bottom"/>
          </w:tcPr>
          <w:p>
            <w:pPr>
              <w:spacing w:after="0"/>
              <w:rPr>
                <w:sz w:val="20"/>
                <w:szCs w:val="20"/>
                <w:color w:val="auto"/>
              </w:rPr>
            </w:pPr>
          </w:p>
        </w:tc>
        <w:tc>
          <w:tcPr>
            <w:tcW w:w="240" w:type="dxa"/>
            <w:vAlign w:val="bottom"/>
            <w:shd w:val="clear" w:color="auto" w:fill="E2E2E2"/>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E2E2E2"/>
          </w:tcPr>
          <w:p>
            <w:pPr>
              <w:jc w:val="right"/>
              <w:ind w:right="27"/>
              <w:spacing w:after="0"/>
              <w:rPr>
                <w:sz w:val="20"/>
                <w:szCs w:val="20"/>
                <w:color w:val="auto"/>
              </w:rPr>
            </w:pPr>
            <w:r>
              <w:rPr>
                <w:rFonts w:ascii="Times New Roman" w:cs="Times New Roman" w:eastAsia="Times New Roman" w:hAnsi="Times New Roman"/>
                <w:sz w:val="20"/>
                <w:szCs w:val="20"/>
                <w:color w:val="auto"/>
              </w:rPr>
              <w:t>141,864</w:t>
            </w:r>
          </w:p>
        </w:tc>
        <w:tc>
          <w:tcPr>
            <w:tcW w:w="180" w:type="dxa"/>
            <w:vAlign w:val="bottom"/>
            <w:shd w:val="clear" w:color="auto" w:fill="E2E2E2"/>
          </w:tcPr>
          <w:p>
            <w:pPr>
              <w:spacing w:after="0"/>
              <w:rPr>
                <w:sz w:val="20"/>
                <w:szCs w:val="20"/>
                <w:color w:val="auto"/>
              </w:rPr>
            </w:pPr>
          </w:p>
        </w:tc>
        <w:tc>
          <w:tcPr>
            <w:tcW w:w="26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auto"/>
              </w:rPr>
              <w:t>119,071</w:t>
            </w:r>
          </w:p>
        </w:tc>
      </w:tr>
      <w:tr>
        <w:trPr>
          <w:trHeight w:val="54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w:t>
            </w:r>
          </w:p>
        </w:tc>
      </w:tr>
      <w:tr>
        <w:trPr>
          <w:trHeight w:val="266"/>
        </w:trPr>
        <w:tc>
          <w:tcPr>
            <w:tcW w:w="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(48,616)</w:t>
            </w:r>
          </w:p>
        </w:tc>
        <w:tc>
          <w:tcPr>
            <w:tcW w:w="180" w:type="dxa"/>
            <w:vAlign w:val="bottom"/>
            <w:tcBorders>
              <w:bottom w:val="single" w:sz="8" w:color="E2E2E2"/>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(33,855)</w:t>
            </w:r>
          </w:p>
        </w:tc>
      </w:tr>
      <w:tr>
        <w:trPr>
          <w:trHeight w:val="239"/>
        </w:trPr>
        <w:tc>
          <w:tcPr>
            <w:tcW w:w="20" w:type="dxa"/>
            <w:vAlign w:val="bottom"/>
          </w:tcPr>
          <w:p>
            <w:pPr>
              <w:spacing w:after="0"/>
              <w:rPr>
                <w:sz w:val="20"/>
                <w:szCs w:val="20"/>
                <w:color w:val="auto"/>
              </w:rPr>
            </w:pPr>
          </w:p>
        </w:tc>
        <w:tc>
          <w:tcPr>
            <w:tcW w:w="240" w:type="dxa"/>
            <w:vAlign w:val="bottom"/>
            <w:tcBorders>
              <w:bottom w:val="single" w:sz="8" w:color="auto"/>
            </w:tcBorders>
            <w:shd w:val="clear" w:color="auto" w:fill="E2E2E2"/>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E2E2E2"/>
          </w:tcPr>
          <w:p>
            <w:pPr>
              <w:jc w:val="right"/>
              <w:ind w:right="27"/>
              <w:spacing w:after="0"/>
              <w:rPr>
                <w:sz w:val="20"/>
                <w:szCs w:val="20"/>
                <w:color w:val="auto"/>
              </w:rPr>
            </w:pPr>
            <w:r>
              <w:rPr>
                <w:rFonts w:ascii="Times New Roman" w:cs="Times New Roman" w:eastAsia="Times New Roman" w:hAnsi="Times New Roman"/>
                <w:sz w:val="20"/>
                <w:szCs w:val="20"/>
                <w:color w:val="auto"/>
              </w:rPr>
              <w:t>93,248</w:t>
            </w:r>
          </w:p>
        </w:tc>
        <w:tc>
          <w:tcPr>
            <w:tcW w:w="180" w:type="dxa"/>
            <w:vAlign w:val="bottom"/>
            <w:shd w:val="clear" w:color="auto" w:fill="E2E2E2"/>
          </w:tcPr>
          <w:p>
            <w:pPr>
              <w:spacing w:after="0"/>
              <w:rPr>
                <w:sz w:val="20"/>
                <w:szCs w:val="20"/>
                <w:color w:val="auto"/>
              </w:rPr>
            </w:pPr>
          </w:p>
        </w:tc>
        <w:tc>
          <w:tcPr>
            <w:tcW w:w="26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auto"/>
              </w:rPr>
              <w:t>84,598</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sectPr>
          <w:pgSz w:w="12240" w:h="15840" w:orient="portrait"/>
          <w:cols w:equalWidth="0" w:num="2">
            <w:col w:w="6640" w:space="720"/>
            <w:col w:w="3440"/>
          </w:cols>
          <w:pgMar w:left="720" w:top="696" w:right="720" w:bottom="187" w:gutter="0" w:footer="0" w:header="0"/>
          <w:type w:val="continuous"/>
        </w:sectPr>
      </w:pPr>
    </w:p>
    <w:p>
      <w:pPr>
        <w:ind w:left="540"/>
        <w:spacing w:after="0"/>
        <w:rPr>
          <w:sz w:val="20"/>
          <w:szCs w:val="20"/>
          <w:color w:val="auto"/>
        </w:rPr>
      </w:pPr>
      <w:r>
        <w:rPr>
          <w:rFonts w:ascii="Times New Roman" w:cs="Times New Roman" w:eastAsia="Times New Roman" w:hAnsi="Times New Roman"/>
          <w:sz w:val="20"/>
          <w:szCs w:val="20"/>
          <w:color w:val="auto"/>
        </w:rPr>
        <w:t>The change in the provision for expected credit losses was not material for the periods presented.</w:t>
      </w:r>
    </w:p>
    <w:p>
      <w:pPr>
        <w:spacing w:after="0" w:line="236" w:lineRule="exact"/>
        <w:rPr>
          <w:sz w:val="20"/>
          <w:szCs w:val="20"/>
          <w:color w:val="auto"/>
        </w:rPr>
      </w:pPr>
    </w:p>
    <w:p>
      <w:pPr>
        <w:ind w:left="540" w:hanging="540"/>
        <w:spacing w:after="0"/>
        <w:tabs>
          <w:tab w:leader="none" w:pos="54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Inventories</w:t>
      </w:r>
    </w:p>
    <w:p>
      <w:pPr>
        <w:spacing w:after="0" w:line="124" w:lineRule="exact"/>
        <w:rPr>
          <w:rFonts w:ascii="Times New Roman" w:cs="Times New Roman" w:eastAsia="Times New Roman" w:hAnsi="Times New Roman"/>
          <w:sz w:val="20"/>
          <w:szCs w:val="20"/>
          <w:b w:val="1"/>
          <w:bCs w:val="1"/>
          <w:color w:val="auto"/>
        </w:rPr>
      </w:pPr>
    </w:p>
    <w:p>
      <w:pPr>
        <w:ind w:left="5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Inventories include materials, labor and overhead and consisted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March 28,</w:t>
            </w:r>
          </w:p>
        </w:tc>
      </w:tr>
      <w:tr>
        <w:trPr>
          <w:trHeight w:val="203"/>
        </w:trPr>
        <w:tc>
          <w:tcPr>
            <w:tcW w:w="7340" w:type="dxa"/>
            <w:vAlign w:val="bottom"/>
            <w:tcBorders>
              <w:bottom w:val="single" w:sz="8" w:color="E2E2E2"/>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34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Raw materials and supplies</w:t>
            </w:r>
          </w:p>
        </w:tc>
        <w:tc>
          <w:tcPr>
            <w:tcW w:w="280" w:type="dxa"/>
            <w:vAlign w:val="bottom"/>
            <w:shd w:val="clear" w:color="auto" w:fill="E2E2E2"/>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E2E2E2"/>
          </w:tcPr>
          <w:p>
            <w:pPr>
              <w:jc w:val="right"/>
              <w:ind w:right="7"/>
              <w:spacing w:after="0" w:line="225" w:lineRule="exact"/>
              <w:rPr>
                <w:sz w:val="20"/>
                <w:szCs w:val="20"/>
                <w:color w:val="auto"/>
              </w:rPr>
            </w:pPr>
            <w:r>
              <w:rPr>
                <w:rFonts w:ascii="Times New Roman" w:cs="Times New Roman" w:eastAsia="Times New Roman" w:hAnsi="Times New Roman"/>
                <w:sz w:val="20"/>
                <w:szCs w:val="20"/>
                <w:color w:val="auto"/>
              </w:rPr>
              <w:t>10,323</w:t>
            </w:r>
          </w:p>
        </w:tc>
        <w:tc>
          <w:tcPr>
            <w:tcW w:w="180" w:type="dxa"/>
            <w:vAlign w:val="bottom"/>
            <w:shd w:val="clear" w:color="auto" w:fill="E2E2E2"/>
          </w:tcPr>
          <w:p>
            <w:pPr>
              <w:spacing w:after="0"/>
              <w:rPr>
                <w:sz w:val="19"/>
                <w:szCs w:val="19"/>
                <w:color w:val="auto"/>
              </w:rPr>
            </w:pPr>
          </w:p>
        </w:tc>
        <w:tc>
          <w:tcPr>
            <w:tcW w:w="260" w:type="dxa"/>
            <w:vAlign w:val="bottom"/>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7,354</w:t>
            </w:r>
          </w:p>
        </w:tc>
      </w:tr>
      <w:tr>
        <w:trPr>
          <w:trHeight w:val="24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Work in process</w:t>
            </w:r>
          </w:p>
        </w:tc>
        <w:tc>
          <w:tcPr>
            <w:tcW w:w="280" w:type="dxa"/>
            <w:vAlign w:val="bottom"/>
          </w:tcPr>
          <w:p>
            <w:pPr>
              <w:spacing w:after="0"/>
              <w:rPr>
                <w:sz w:val="21"/>
                <w:szCs w:val="21"/>
                <w:color w:val="auto"/>
              </w:rPr>
            </w:pPr>
          </w:p>
        </w:tc>
        <w:tc>
          <w:tcPr>
            <w:tcW w:w="13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133,585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127,651</w:t>
            </w:r>
          </w:p>
        </w:tc>
      </w:tr>
      <w:tr>
        <w:trPr>
          <w:trHeight w:val="264"/>
        </w:trPr>
        <w:tc>
          <w:tcPr>
            <w:tcW w:w="734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280" w:type="dxa"/>
            <w:vAlign w:val="bottom"/>
            <w:tcBorders>
              <w:bottom w:val="single" w:sz="8" w:color="auto"/>
            </w:tcBorders>
            <w:shd w:val="clear" w:color="auto" w:fill="E2E2E2"/>
          </w:tcPr>
          <w:p>
            <w:pPr>
              <w:spacing w:after="0"/>
              <w:rPr>
                <w:sz w:val="22"/>
                <w:szCs w:val="22"/>
                <w:color w:val="auto"/>
              </w:rPr>
            </w:pPr>
          </w:p>
        </w:tc>
        <w:tc>
          <w:tcPr>
            <w:tcW w:w="1380" w:type="dxa"/>
            <w:vAlign w:val="bottom"/>
            <w:tcBorders>
              <w:bottom w:val="single" w:sz="8" w:color="auto"/>
            </w:tcBorders>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auto"/>
              </w:rPr>
              <w:t>37,844</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48,909</w:t>
            </w:r>
          </w:p>
        </w:tc>
      </w:tr>
      <w:tr>
        <w:trPr>
          <w:trHeight w:val="205"/>
        </w:trPr>
        <w:tc>
          <w:tcPr>
            <w:tcW w:w="734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b w:val="1"/>
                <w:bCs w:val="1"/>
                <w:color w:val="auto"/>
              </w:rPr>
              <w:t>Total</w:t>
            </w:r>
          </w:p>
        </w:tc>
        <w:tc>
          <w:tcPr>
            <w:tcW w:w="280" w:type="dxa"/>
            <w:vAlign w:val="bottom"/>
            <w:tcBorders>
              <w:bottom w:val="single" w:sz="8" w:color="auto"/>
            </w:tcBorders>
          </w:tcPr>
          <w:p>
            <w:pPr>
              <w:jc w:val="right"/>
              <w:ind w:right="8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tcPr>
          <w:p>
            <w:pPr>
              <w:jc w:val="right"/>
              <w:ind w:right="7"/>
              <w:spacing w:after="0" w:line="205" w:lineRule="exact"/>
              <w:rPr>
                <w:sz w:val="20"/>
                <w:szCs w:val="20"/>
                <w:color w:val="auto"/>
              </w:rPr>
            </w:pPr>
            <w:r>
              <w:rPr>
                <w:rFonts w:ascii="Times New Roman" w:cs="Times New Roman" w:eastAsia="Times New Roman" w:hAnsi="Times New Roman"/>
                <w:sz w:val="20"/>
                <w:szCs w:val="20"/>
                <w:color w:val="auto"/>
              </w:rPr>
              <w:t>181,752</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6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183,914</w:t>
            </w:r>
          </w:p>
        </w:tc>
      </w:tr>
      <w:tr>
        <w:trPr>
          <w:trHeight w:val="20"/>
        </w:trPr>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Company recorded inventory provisions totaling $8,426, $8,537 and $9,055 for the fiscal years ended March 27, 2026, March 28, 2025 and March 29, 2024, respectively.</w:t>
      </w:r>
    </w:p>
    <w:p>
      <w:pPr>
        <w:sectPr>
          <w:pgSz w:w="12240" w:h="15840" w:orient="portrait"/>
          <w:cols w:equalWidth="0" w:num="1">
            <w:col w:w="10800"/>
          </w:cols>
          <w:pgMar w:left="720" w:top="696" w:right="720" w:bottom="1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10800"/>
          </w:cols>
          <w:pgMar w:left="720" w:top="696" w:right="720" w:bottom="187" w:gutter="0" w:footer="0" w:header="0"/>
          <w:type w:val="continuous"/>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4" w:lineRule="exact"/>
        <w:rPr>
          <w:sz w:val="20"/>
          <w:szCs w:val="20"/>
          <w:color w:val="auto"/>
        </w:rPr>
      </w:pPr>
    </w:p>
    <w:p>
      <w:pPr>
        <w:ind w:left="540" w:hanging="540"/>
        <w:spacing w:after="0"/>
        <w:tabs>
          <w:tab w:leader="none" w:pos="54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Plant and Equipment, Net</w:t>
      </w:r>
    </w:p>
    <w:p>
      <w:pPr>
        <w:spacing w:after="0" w:line="124" w:lineRule="exact"/>
        <w:rPr>
          <w:rFonts w:ascii="Times New Roman" w:cs="Times New Roman" w:eastAsia="Times New Roman" w:hAnsi="Times New Roman"/>
          <w:sz w:val="20"/>
          <w:szCs w:val="20"/>
          <w:b w:val="1"/>
          <w:bCs w:val="1"/>
          <w:color w:val="auto"/>
        </w:rPr>
      </w:pPr>
    </w:p>
    <w:p>
      <w:pPr>
        <w:ind w:left="5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Property, plant and equipment, net is stated at cost, and consisted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March 28,</w:t>
            </w:r>
          </w:p>
        </w:tc>
      </w:tr>
      <w:tr>
        <w:trPr>
          <w:trHeight w:val="203"/>
        </w:trPr>
        <w:tc>
          <w:tcPr>
            <w:tcW w:w="6220" w:type="dxa"/>
            <w:vAlign w:val="bottom"/>
            <w:tcBorders>
              <w:bottom w:val="single" w:sz="8" w:color="E2E2E2"/>
            </w:tcBorders>
          </w:tcPr>
          <w:p>
            <w:pPr>
              <w:spacing w:after="0"/>
              <w:rPr>
                <w:sz w:val="17"/>
                <w:szCs w:val="17"/>
                <w:color w:val="auto"/>
              </w:rPr>
            </w:pPr>
          </w:p>
        </w:tc>
        <w:tc>
          <w:tcPr>
            <w:tcW w:w="114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622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Land</w:t>
            </w:r>
          </w:p>
        </w:tc>
        <w:tc>
          <w:tcPr>
            <w:tcW w:w="1140" w:type="dxa"/>
            <w:vAlign w:val="bottom"/>
            <w:shd w:val="clear" w:color="auto" w:fill="E2E2E2"/>
          </w:tcPr>
          <w:p>
            <w:pPr>
              <w:spacing w:after="0"/>
              <w:rPr>
                <w:sz w:val="19"/>
                <w:szCs w:val="19"/>
                <w:color w:val="auto"/>
              </w:rPr>
            </w:pPr>
          </w:p>
        </w:tc>
        <w:tc>
          <w:tcPr>
            <w:tcW w:w="260" w:type="dxa"/>
            <w:vAlign w:val="bottom"/>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E2E2E2"/>
          </w:tcPr>
          <w:p>
            <w:pPr>
              <w:jc w:val="right"/>
              <w:ind w:right="4"/>
              <w:spacing w:after="0" w:line="225" w:lineRule="exact"/>
              <w:rPr>
                <w:sz w:val="20"/>
                <w:szCs w:val="20"/>
                <w:color w:val="auto"/>
              </w:rPr>
            </w:pPr>
            <w:r>
              <w:rPr>
                <w:rFonts w:ascii="Times New Roman" w:cs="Times New Roman" w:eastAsia="Times New Roman" w:hAnsi="Times New Roman"/>
                <w:sz w:val="20"/>
                <w:szCs w:val="20"/>
                <w:color w:val="auto"/>
              </w:rPr>
              <w:t>26,549</w:t>
            </w:r>
          </w:p>
        </w:tc>
        <w:tc>
          <w:tcPr>
            <w:tcW w:w="180" w:type="dxa"/>
            <w:vAlign w:val="bottom"/>
            <w:shd w:val="clear" w:color="auto" w:fill="E2E2E2"/>
          </w:tcPr>
          <w:p>
            <w:pPr>
              <w:spacing w:after="0"/>
              <w:rPr>
                <w:sz w:val="19"/>
                <w:szCs w:val="19"/>
                <w:color w:val="auto"/>
              </w:rPr>
            </w:pPr>
          </w:p>
        </w:tc>
        <w:tc>
          <w:tcPr>
            <w:tcW w:w="260" w:type="dxa"/>
            <w:vAlign w:val="bottom"/>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25,175</w:t>
            </w:r>
          </w:p>
        </w:tc>
      </w:tr>
      <w:tr>
        <w:trPr>
          <w:trHeight w:val="269"/>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Buildings, building improvements and leasehold improvements</w:t>
            </w:r>
          </w:p>
        </w:tc>
        <w:tc>
          <w:tcPr>
            <w:tcW w:w="1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63,929</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66,258</w:t>
            </w:r>
          </w:p>
        </w:tc>
      </w:tr>
      <w:tr>
        <w:trPr>
          <w:trHeight w:val="269"/>
        </w:trPr>
        <w:tc>
          <w:tcPr>
            <w:tcW w:w="62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Machinery and equipment</w:t>
            </w:r>
          </w:p>
        </w:tc>
        <w:tc>
          <w:tcPr>
            <w:tcW w:w="1140" w:type="dxa"/>
            <w:vAlign w:val="bottom"/>
            <w:shd w:val="clear" w:color="auto" w:fill="E2E2E2"/>
          </w:tcPr>
          <w:p>
            <w:pPr>
              <w:spacing w:after="0"/>
              <w:rPr>
                <w:sz w:val="23"/>
                <w:szCs w:val="23"/>
                <w:color w:val="auto"/>
              </w:rPr>
            </w:pPr>
          </w:p>
        </w:tc>
        <w:tc>
          <w:tcPr>
            <w:tcW w:w="260" w:type="dxa"/>
            <w:vAlign w:val="bottom"/>
            <w:shd w:val="clear" w:color="auto" w:fill="E2E2E2"/>
          </w:tcPr>
          <w:p>
            <w:pPr>
              <w:spacing w:after="0"/>
              <w:rPr>
                <w:sz w:val="23"/>
                <w:szCs w:val="23"/>
                <w:color w:val="auto"/>
              </w:rPr>
            </w:pPr>
          </w:p>
        </w:tc>
        <w:tc>
          <w:tcPr>
            <w:tcW w:w="138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auto"/>
              </w:rPr>
              <w:t>710,678</w:t>
            </w:r>
          </w:p>
        </w:tc>
        <w:tc>
          <w:tcPr>
            <w:tcW w:w="180" w:type="dxa"/>
            <w:vAlign w:val="bottom"/>
            <w:shd w:val="clear" w:color="auto" w:fill="E2E2E2"/>
          </w:tcPr>
          <w:p>
            <w:pPr>
              <w:spacing w:after="0"/>
              <w:rPr>
                <w:sz w:val="23"/>
                <w:szCs w:val="23"/>
                <w:color w:val="auto"/>
              </w:rPr>
            </w:pPr>
          </w:p>
        </w:tc>
        <w:tc>
          <w:tcPr>
            <w:tcW w:w="260" w:type="dxa"/>
            <w:vAlign w:val="bottom"/>
            <w:shd w:val="clear" w:color="auto" w:fill="E2E2E2"/>
          </w:tcPr>
          <w:p>
            <w:pPr>
              <w:spacing w:after="0"/>
              <w:rPr>
                <w:sz w:val="23"/>
                <w:szCs w:val="23"/>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670,902</w:t>
            </w:r>
          </w:p>
        </w:tc>
      </w:tr>
      <w:tr>
        <w:trPr>
          <w:trHeight w:val="269"/>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Office equipment</w:t>
            </w:r>
          </w:p>
        </w:tc>
        <w:tc>
          <w:tcPr>
            <w:tcW w:w="1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7,243</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6,677</w:t>
            </w:r>
          </w:p>
        </w:tc>
      </w:tr>
      <w:tr>
        <w:trPr>
          <w:trHeight w:val="269"/>
        </w:trPr>
        <w:tc>
          <w:tcPr>
            <w:tcW w:w="62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Right-of-use asset</w:t>
            </w:r>
          </w:p>
        </w:tc>
        <w:tc>
          <w:tcPr>
            <w:tcW w:w="1140" w:type="dxa"/>
            <w:vAlign w:val="bottom"/>
            <w:shd w:val="clear" w:color="auto" w:fill="E2E2E2"/>
          </w:tcPr>
          <w:p>
            <w:pPr>
              <w:spacing w:after="0"/>
              <w:rPr>
                <w:sz w:val="23"/>
                <w:szCs w:val="23"/>
                <w:color w:val="auto"/>
              </w:rPr>
            </w:pPr>
          </w:p>
        </w:tc>
        <w:tc>
          <w:tcPr>
            <w:tcW w:w="260" w:type="dxa"/>
            <w:vAlign w:val="bottom"/>
            <w:shd w:val="clear" w:color="auto" w:fill="E2E2E2"/>
          </w:tcPr>
          <w:p>
            <w:pPr>
              <w:spacing w:after="0"/>
              <w:rPr>
                <w:sz w:val="23"/>
                <w:szCs w:val="23"/>
                <w:color w:val="auto"/>
              </w:rPr>
            </w:pPr>
          </w:p>
        </w:tc>
        <w:tc>
          <w:tcPr>
            <w:tcW w:w="138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auto"/>
              </w:rPr>
              <w:t>8,797</w:t>
            </w:r>
          </w:p>
        </w:tc>
        <w:tc>
          <w:tcPr>
            <w:tcW w:w="180" w:type="dxa"/>
            <w:vAlign w:val="bottom"/>
            <w:shd w:val="clear" w:color="auto" w:fill="E2E2E2"/>
          </w:tcPr>
          <w:p>
            <w:pPr>
              <w:spacing w:after="0"/>
              <w:rPr>
                <w:sz w:val="23"/>
                <w:szCs w:val="23"/>
                <w:color w:val="auto"/>
              </w:rPr>
            </w:pPr>
          </w:p>
        </w:tc>
        <w:tc>
          <w:tcPr>
            <w:tcW w:w="260" w:type="dxa"/>
            <w:vAlign w:val="bottom"/>
            <w:shd w:val="clear" w:color="auto" w:fill="E2E2E2"/>
          </w:tcPr>
          <w:p>
            <w:pPr>
              <w:spacing w:after="0"/>
              <w:rPr>
                <w:sz w:val="23"/>
                <w:szCs w:val="23"/>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8,182</w:t>
            </w:r>
          </w:p>
        </w:tc>
      </w:tr>
      <w:tr>
        <w:trPr>
          <w:trHeight w:val="269"/>
        </w:trPr>
        <w:tc>
          <w:tcPr>
            <w:tcW w:w="622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1140" w:type="dxa"/>
            <w:vAlign w:val="bottom"/>
            <w:tcBorders>
              <w:bottom w:val="single" w:sz="8" w:color="E2E2E2"/>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51,910</w:t>
            </w:r>
          </w:p>
        </w:tc>
        <w:tc>
          <w:tcPr>
            <w:tcW w:w="180" w:type="dxa"/>
            <w:vAlign w:val="bottom"/>
            <w:tcBorders>
              <w:bottom w:val="single" w:sz="8" w:color="E2E2E2"/>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51,580</w:t>
            </w:r>
          </w:p>
        </w:tc>
      </w:tr>
      <w:tr>
        <w:trPr>
          <w:trHeight w:val="264"/>
        </w:trPr>
        <w:tc>
          <w:tcPr>
            <w:tcW w:w="622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1140" w:type="dxa"/>
            <w:vAlign w:val="bottom"/>
            <w:shd w:val="clear" w:color="auto" w:fill="E2E2E2"/>
          </w:tcPr>
          <w:p>
            <w:pPr>
              <w:spacing w:after="0"/>
              <w:rPr>
                <w:sz w:val="22"/>
                <w:szCs w:val="22"/>
                <w:color w:val="auto"/>
              </w:rPr>
            </w:pPr>
          </w:p>
        </w:tc>
        <w:tc>
          <w:tcPr>
            <w:tcW w:w="260" w:type="dxa"/>
            <w:vAlign w:val="bottom"/>
            <w:shd w:val="clear" w:color="auto" w:fill="E2E2E2"/>
          </w:tcPr>
          <w:p>
            <w:pPr>
              <w:spacing w:after="0"/>
              <w:rPr>
                <w:sz w:val="22"/>
                <w:szCs w:val="22"/>
                <w:color w:val="auto"/>
              </w:rPr>
            </w:pPr>
          </w:p>
        </w:tc>
        <w:tc>
          <w:tcPr>
            <w:tcW w:w="138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auto"/>
              </w:rPr>
              <w:t>869,106</w:t>
            </w:r>
          </w:p>
        </w:tc>
        <w:tc>
          <w:tcPr>
            <w:tcW w:w="180" w:type="dxa"/>
            <w:vAlign w:val="bottom"/>
            <w:shd w:val="clear" w:color="auto" w:fill="E2E2E2"/>
          </w:tcPr>
          <w:p>
            <w:pPr>
              <w:spacing w:after="0"/>
              <w:rPr>
                <w:sz w:val="22"/>
                <w:szCs w:val="22"/>
                <w:color w:val="auto"/>
              </w:rPr>
            </w:pPr>
          </w:p>
        </w:tc>
        <w:tc>
          <w:tcPr>
            <w:tcW w:w="260" w:type="dxa"/>
            <w:vAlign w:val="bottom"/>
            <w:shd w:val="clear" w:color="auto" w:fill="E2E2E2"/>
          </w:tcPr>
          <w:p>
            <w:pPr>
              <w:spacing w:after="0"/>
              <w:rPr>
                <w:sz w:val="22"/>
                <w:szCs w:val="22"/>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828,774</w:t>
            </w:r>
          </w:p>
        </w:tc>
      </w:tr>
      <w:tr>
        <w:trPr>
          <w:trHeight w:val="269"/>
        </w:trPr>
        <w:tc>
          <w:tcPr>
            <w:tcW w:w="622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140" w:type="dxa"/>
            <w:vAlign w:val="bottom"/>
            <w:tcBorders>
              <w:bottom w:val="single" w:sz="8" w:color="E2E2E2"/>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(560,848)</w:t>
            </w:r>
          </w:p>
        </w:tc>
        <w:tc>
          <w:tcPr>
            <w:tcW w:w="180" w:type="dxa"/>
            <w:vAlign w:val="bottom"/>
            <w:tcBorders>
              <w:bottom w:val="single" w:sz="8" w:color="E2E2E2"/>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(525,855)</w:t>
            </w:r>
          </w:p>
        </w:tc>
      </w:tr>
      <w:tr>
        <w:trPr>
          <w:trHeight w:val="245"/>
        </w:trPr>
        <w:tc>
          <w:tcPr>
            <w:tcW w:w="6220" w:type="dxa"/>
            <w:vAlign w:val="bottom"/>
            <w:tcBorders>
              <w:bottom w:val="single" w:sz="8" w:color="E2E2E2"/>
            </w:tcBorders>
            <w:shd w:val="clear" w:color="auto" w:fill="E2E2E2"/>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rPr>
              <w:t>Total</w:t>
            </w:r>
          </w:p>
        </w:tc>
        <w:tc>
          <w:tcPr>
            <w:tcW w:w="1140" w:type="dxa"/>
            <w:vAlign w:val="bottom"/>
            <w:tcBorders>
              <w:bottom w:val="single" w:sz="8" w:color="E2E2E2"/>
            </w:tcBorders>
            <w:shd w:val="clear" w:color="auto" w:fill="E2E2E2"/>
          </w:tcPr>
          <w:p>
            <w:pPr>
              <w:spacing w:after="0"/>
              <w:rPr>
                <w:sz w:val="21"/>
                <w:szCs w:val="21"/>
                <w:color w:val="auto"/>
              </w:rPr>
            </w:pPr>
          </w:p>
        </w:tc>
        <w:tc>
          <w:tcPr>
            <w:tcW w:w="260" w:type="dxa"/>
            <w:vAlign w:val="bottom"/>
            <w:tcBorders>
              <w:bottom w:val="single" w:sz="8" w:color="auto"/>
            </w:tcBorders>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shd w:val="clear" w:color="auto" w:fill="E2E2E2"/>
          </w:tcPr>
          <w:p>
            <w:pPr>
              <w:jc w:val="right"/>
              <w:ind w:right="4"/>
              <w:spacing w:after="0" w:line="225" w:lineRule="exact"/>
              <w:rPr>
                <w:sz w:val="20"/>
                <w:szCs w:val="20"/>
                <w:color w:val="auto"/>
              </w:rPr>
            </w:pPr>
            <w:r>
              <w:rPr>
                <w:rFonts w:ascii="Times New Roman" w:cs="Times New Roman" w:eastAsia="Times New Roman" w:hAnsi="Times New Roman"/>
                <w:sz w:val="20"/>
                <w:szCs w:val="20"/>
                <w:color w:val="auto"/>
              </w:rPr>
              <w:t>308,258</w:t>
            </w:r>
          </w:p>
        </w:tc>
        <w:tc>
          <w:tcPr>
            <w:tcW w:w="180" w:type="dxa"/>
            <w:vAlign w:val="bottom"/>
            <w:tcBorders>
              <w:bottom w:val="single" w:sz="8" w:color="E2E2E2"/>
            </w:tcBorders>
            <w:shd w:val="clear" w:color="auto" w:fill="E2E2E2"/>
          </w:tcPr>
          <w:p>
            <w:pPr>
              <w:spacing w:after="0"/>
              <w:rPr>
                <w:sz w:val="21"/>
                <w:szCs w:val="21"/>
                <w:color w:val="auto"/>
              </w:rPr>
            </w:pPr>
          </w:p>
        </w:tc>
        <w:tc>
          <w:tcPr>
            <w:tcW w:w="260" w:type="dxa"/>
            <w:vAlign w:val="bottom"/>
            <w:tcBorders>
              <w:bottom w:val="single" w:sz="8" w:color="auto"/>
            </w:tcBorders>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302,919</w:t>
            </w:r>
          </w:p>
        </w:tc>
      </w:tr>
      <w:tr>
        <w:trPr>
          <w:trHeight w:val="20"/>
        </w:trPr>
        <w:tc>
          <w:tcPr>
            <w:tcW w:w="6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Total depreciation expense amounted to $39,337, $37,447 and $56,214 for the fiscal years ended March 27, 2026, March 28, 2025 and March 29, 2024, respectively. Total amortization expense for the finance lease right-of-use asset, amounted to $1,392, $1,397 and $581 for the fiscal years ended March 27, 2026, March 28, 2025 and March 29, 2024, respectively.</w:t>
      </w:r>
    </w:p>
    <w:p>
      <w:pPr>
        <w:spacing w:after="0" w:line="68"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The Company continues to expand and optimize its global manufacturing capacities, such as by its expansion of operations at its Philippines location, and its acquisition of Crocus. Through its expansion efforts, newly acquired machinery and equipment and continuous maintenance and evaluation of on-hand equipment, the Company recognized advancements in equipment quality indicating increased estimated useful lives. During the first quarter of fiscal year 2025, following periodic review of the estimated useful lives of long-lived assets, the Company determined that the useful lives of its machinery and equipment should be increased. Effective March 30, 2024, the Company increased the useful lives of a significant portion of its machinery and equipment from seven years to ten years. For the fiscal year ended March 27, 2026, these changes decreased depreciation expense by $14,944, decreased the benefit for income taxes by $3,138 and decreased net loss by $11,806, or $0.06 per share.</w:t>
      </w:r>
    </w:p>
    <w:p>
      <w:pPr>
        <w:spacing w:after="0" w:line="82"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geographic locations of the Company’s property, plant and equipment, net, which includes the finance lease right-of-use asset, based on physical location of the assets, and as of March 27, 2026 and March 28, 2025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March 28,</w:t>
            </w:r>
          </w:p>
        </w:tc>
      </w:tr>
      <w:tr>
        <w:trPr>
          <w:trHeight w:val="203"/>
        </w:trPr>
        <w:tc>
          <w:tcPr>
            <w:tcW w:w="7340" w:type="dxa"/>
            <w:vAlign w:val="bottom"/>
            <w:tcBorders>
              <w:bottom w:val="single" w:sz="8" w:color="E2E2E2"/>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34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United States</w:t>
            </w:r>
          </w:p>
        </w:tc>
        <w:tc>
          <w:tcPr>
            <w:tcW w:w="280" w:type="dxa"/>
            <w:vAlign w:val="bottom"/>
            <w:shd w:val="clear" w:color="auto" w:fill="E2E2E2"/>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E2E2E2"/>
          </w:tcPr>
          <w:p>
            <w:pPr>
              <w:jc w:val="right"/>
              <w:ind w:right="7"/>
              <w:spacing w:after="0" w:line="225" w:lineRule="exact"/>
              <w:rPr>
                <w:sz w:val="20"/>
                <w:szCs w:val="20"/>
                <w:color w:val="auto"/>
              </w:rPr>
            </w:pPr>
            <w:r>
              <w:rPr>
                <w:rFonts w:ascii="Times New Roman" w:cs="Times New Roman" w:eastAsia="Times New Roman" w:hAnsi="Times New Roman"/>
                <w:sz w:val="20"/>
                <w:szCs w:val="20"/>
                <w:color w:val="auto"/>
              </w:rPr>
              <w:t>37,593</w:t>
            </w:r>
          </w:p>
        </w:tc>
        <w:tc>
          <w:tcPr>
            <w:tcW w:w="180" w:type="dxa"/>
            <w:vAlign w:val="bottom"/>
            <w:shd w:val="clear" w:color="auto" w:fill="E2E2E2"/>
          </w:tcPr>
          <w:p>
            <w:pPr>
              <w:spacing w:after="0"/>
              <w:rPr>
                <w:sz w:val="19"/>
                <w:szCs w:val="19"/>
                <w:color w:val="auto"/>
              </w:rPr>
            </w:pPr>
          </w:p>
        </w:tc>
        <w:tc>
          <w:tcPr>
            <w:tcW w:w="260" w:type="dxa"/>
            <w:vAlign w:val="bottom"/>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35,301</w:t>
            </w:r>
          </w:p>
        </w:tc>
      </w:tr>
      <w:tr>
        <w:trPr>
          <w:trHeight w:val="269"/>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Philippines</w:t>
            </w:r>
          </w:p>
        </w:tc>
        <w:tc>
          <w:tcPr>
            <w:tcW w:w="280" w:type="dxa"/>
            <w:vAlign w:val="bottom"/>
          </w:tcPr>
          <w:p>
            <w:pPr>
              <w:spacing w:after="0"/>
              <w:rPr>
                <w:sz w:val="23"/>
                <w:szCs w:val="23"/>
                <w:color w:val="auto"/>
              </w:rPr>
            </w:pPr>
          </w:p>
        </w:tc>
        <w:tc>
          <w:tcPr>
            <w:tcW w:w="13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228,664</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227,038</w:t>
            </w:r>
          </w:p>
        </w:tc>
      </w:tr>
      <w:tr>
        <w:trPr>
          <w:trHeight w:val="289"/>
        </w:trPr>
        <w:tc>
          <w:tcPr>
            <w:tcW w:w="734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Other</w:t>
            </w:r>
          </w:p>
        </w:tc>
        <w:tc>
          <w:tcPr>
            <w:tcW w:w="280" w:type="dxa"/>
            <w:vAlign w:val="bottom"/>
            <w:tcBorders>
              <w:bottom w:val="single" w:sz="8" w:color="auto"/>
            </w:tcBorders>
            <w:shd w:val="clear" w:color="auto" w:fill="E2E2E2"/>
          </w:tcPr>
          <w:p>
            <w:pPr>
              <w:spacing w:after="0"/>
              <w:rPr>
                <w:sz w:val="24"/>
                <w:szCs w:val="24"/>
                <w:color w:val="auto"/>
              </w:rPr>
            </w:pPr>
          </w:p>
        </w:tc>
        <w:tc>
          <w:tcPr>
            <w:tcW w:w="1380" w:type="dxa"/>
            <w:vAlign w:val="bottom"/>
            <w:tcBorders>
              <w:bottom w:val="single" w:sz="8" w:color="auto"/>
            </w:tcBorders>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auto"/>
              </w:rPr>
              <w:t>42,001</w:t>
            </w:r>
          </w:p>
        </w:tc>
        <w:tc>
          <w:tcPr>
            <w:tcW w:w="18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auto"/>
            </w:tcBorders>
            <w:shd w:val="clear" w:color="auto" w:fill="E2E2E2"/>
          </w:tcPr>
          <w:p>
            <w:pPr>
              <w:spacing w:after="0"/>
              <w:rPr>
                <w:sz w:val="24"/>
                <w:szCs w:val="24"/>
                <w:color w:val="auto"/>
              </w:rPr>
            </w:pPr>
          </w:p>
        </w:tc>
        <w:tc>
          <w:tcPr>
            <w:tcW w:w="13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40,580</w:t>
            </w:r>
          </w:p>
        </w:tc>
      </w:tr>
      <w:tr>
        <w:trPr>
          <w:trHeight w:val="205"/>
        </w:trPr>
        <w:tc>
          <w:tcPr>
            <w:tcW w:w="734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b w:val="1"/>
                <w:bCs w:val="1"/>
                <w:color w:val="auto"/>
              </w:rPr>
              <w:t>Total</w:t>
            </w:r>
          </w:p>
        </w:tc>
        <w:tc>
          <w:tcPr>
            <w:tcW w:w="280" w:type="dxa"/>
            <w:vAlign w:val="bottom"/>
            <w:tcBorders>
              <w:bottom w:val="single" w:sz="8" w:color="auto"/>
            </w:tcBorders>
          </w:tcPr>
          <w:p>
            <w:pPr>
              <w:jc w:val="right"/>
              <w:ind w:right="8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tcPr>
          <w:p>
            <w:pPr>
              <w:jc w:val="right"/>
              <w:ind w:right="7"/>
              <w:spacing w:after="0" w:line="205" w:lineRule="exact"/>
              <w:rPr>
                <w:sz w:val="20"/>
                <w:szCs w:val="20"/>
                <w:color w:val="auto"/>
              </w:rPr>
            </w:pPr>
            <w:r>
              <w:rPr>
                <w:rFonts w:ascii="Times New Roman" w:cs="Times New Roman" w:eastAsia="Times New Roman" w:hAnsi="Times New Roman"/>
                <w:sz w:val="20"/>
                <w:szCs w:val="20"/>
                <w:color w:val="auto"/>
              </w:rPr>
              <w:t>308,258</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6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302,919</w:t>
            </w:r>
          </w:p>
        </w:tc>
      </w:tr>
      <w:tr>
        <w:trPr>
          <w:trHeight w:val="20"/>
        </w:trPr>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During the year ended March 28, 2025, the Company classified various units of machinery and equipment as held for sale, as management approved a plan in the fourth quarter of fiscal year 2025 to market these assets to third-party buyers. The planned disposal of these assets did not constitute a strategic shift in the Company’s operations and therefore did not meet the discontinued operations criteria. These assets were intended to be sold within one year of their designation as held for sale. Assets held for sale are measured at the lower of carrying value or the fair value less cost. As of March 27, 2026, no assets met the criteria of held for sale, and as of March 28, 2025, the value of these assets were measured at $16,508.</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10800"/>
          </w:cols>
          <w:pgMar w:left="720" w:top="696" w:right="720" w:bottom="187" w:gutter="0" w:footer="0" w:header="0"/>
          <w:type w:val="continuous"/>
        </w:sectPr>
      </w:pPr>
    </w:p>
    <w:bookmarkStart w:id="90" w:name="page91"/>
    <w:bookmarkEnd w:id="9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8"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As of March 27, 2026, management identified various assets that no longer meet the held for sale classification criteria as management no longer has the intent to sell the assets as it was determined the assets would be needed to support production activities. Following the change in circumstances, assets no longer meeting the held for sale criteria were reclassified as held and used. These assets were measured at their unadjusted carrying value, less the cumulative depreciation that would have been recorded had the asset never been classified as held for sale. The total unadjusted carrying value of assets identified as no longer meeting the held for sale criteria was $9,751. The depreciation adjustment to the unadjusted carrying amount was immaterial.</w:t>
      </w:r>
    </w:p>
    <w:p>
      <w:pPr>
        <w:spacing w:after="0" w:line="80"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As of March 27, 2026, the carrying value of the assets classified as held for sale was determined to be greater than their fair value, less costs to sell and, accordingly, the Company recorded a $6,590 impairment on assets held. The impairment charge was recorded to income from continuing operations and is separately disclosed in the Company’s consolidated statement of operations.</w:t>
      </w:r>
    </w:p>
    <w:p>
      <w:pPr>
        <w:spacing w:after="0" w:line="184" w:lineRule="exact"/>
        <w:rPr>
          <w:sz w:val="20"/>
          <w:szCs w:val="20"/>
          <w:color w:val="auto"/>
        </w:rPr>
      </w:pPr>
    </w:p>
    <w:p>
      <w:pPr>
        <w:ind w:left="540" w:hanging="540"/>
        <w:spacing w:after="0"/>
        <w:tabs>
          <w:tab w:leader="none" w:pos="54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124" w:lineRule="exact"/>
        <w:rPr>
          <w:rFonts w:ascii="Times New Roman" w:cs="Times New Roman" w:eastAsia="Times New Roman" w:hAnsi="Times New Roman"/>
          <w:sz w:val="20"/>
          <w:szCs w:val="20"/>
          <w:b w:val="1"/>
          <w:bCs w:val="1"/>
          <w:color w:val="auto"/>
        </w:rPr>
      </w:pPr>
    </w:p>
    <w:p>
      <w:pPr>
        <w:ind w:left="5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table below summarizes the changes in the carrying amount of goodwill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Borders>
              <w:bottom w:val="single" w:sz="8" w:color="E2E2E2"/>
            </w:tcBorders>
          </w:tcPr>
          <w:p>
            <w:pPr>
              <w:spacing w:after="0"/>
              <w:rPr>
                <w:sz w:val="17"/>
                <w:szCs w:val="17"/>
                <w:color w:val="auto"/>
              </w:rPr>
            </w:pPr>
          </w:p>
        </w:tc>
        <w:tc>
          <w:tcPr>
            <w:tcW w:w="180" w:type="dxa"/>
            <w:vAlign w:val="bottom"/>
            <w:tcBorders>
              <w:bottom w:val="single" w:sz="8" w:color="E2E2E2"/>
            </w:tcBorders>
          </w:tcPr>
          <w:p>
            <w:pPr>
              <w:spacing w:after="0"/>
              <w:rPr>
                <w:sz w:val="17"/>
                <w:szCs w:val="17"/>
                <w:color w:val="auto"/>
              </w:rPr>
            </w:pPr>
          </w:p>
        </w:tc>
        <w:tc>
          <w:tcPr>
            <w:tcW w:w="360" w:type="dxa"/>
            <w:vAlign w:val="bottom"/>
            <w:tcBorders>
              <w:bottom w:val="single" w:sz="8" w:color="E2E2E2"/>
            </w:tcBorders>
          </w:tcPr>
          <w:p>
            <w:pPr>
              <w:spacing w:after="0"/>
              <w:rPr>
                <w:sz w:val="17"/>
                <w:szCs w:val="17"/>
                <w:color w:val="auto"/>
              </w:rPr>
            </w:pPr>
          </w:p>
        </w:tc>
        <w:tc>
          <w:tcPr>
            <w:tcW w:w="1420" w:type="dxa"/>
            <w:vAlign w:val="bottom"/>
            <w:tcBorders>
              <w:bottom w:val="single" w:sz="8" w:color="E2E2E2"/>
            </w:tcBorders>
          </w:tcPr>
          <w:p>
            <w:pPr>
              <w:spacing w:after="0"/>
              <w:rPr>
                <w:sz w:val="17"/>
                <w:szCs w:val="17"/>
                <w:color w:val="auto"/>
              </w:rPr>
            </w:pPr>
          </w:p>
        </w:tc>
        <w:tc>
          <w:tcPr>
            <w:tcW w:w="180" w:type="dxa"/>
            <w:vAlign w:val="bottom"/>
            <w:tcBorders>
              <w:bottom w:val="single" w:sz="8" w:color="E2E2E2"/>
            </w:tcBorders>
          </w:tcPr>
          <w:p>
            <w:pPr>
              <w:spacing w:after="0"/>
              <w:rPr>
                <w:sz w:val="17"/>
                <w:szCs w:val="17"/>
                <w:color w:val="auto"/>
              </w:rPr>
            </w:pPr>
          </w:p>
        </w:tc>
        <w:tc>
          <w:tcPr>
            <w:tcW w:w="240" w:type="dxa"/>
            <w:vAlign w:val="bottom"/>
            <w:tcBorders>
              <w:bottom w:val="single" w:sz="8" w:color="E2E2E2"/>
            </w:tcBorders>
          </w:tcPr>
          <w:p>
            <w:pPr>
              <w:spacing w:after="0"/>
              <w:rPr>
                <w:sz w:val="17"/>
                <w:szCs w:val="17"/>
                <w:color w:val="auto"/>
              </w:rPr>
            </w:pPr>
          </w:p>
        </w:tc>
        <w:tc>
          <w:tcPr>
            <w:tcW w:w="1500" w:type="dxa"/>
            <w:vAlign w:val="bottom"/>
            <w:tcBorders>
              <w:bottom w:val="single" w:sz="8" w:color="E2E2E2"/>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9"/>
        </w:trPr>
        <w:tc>
          <w:tcPr>
            <w:tcW w:w="49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Balance at March 29, 2024</w:t>
            </w:r>
          </w:p>
        </w:tc>
        <w:tc>
          <w:tcPr>
            <w:tcW w:w="18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4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1500" w:type="dxa"/>
            <w:vAlign w:val="bottom"/>
            <w:shd w:val="clear" w:color="auto" w:fill="E2E2E2"/>
          </w:tcPr>
          <w:p>
            <w:pPr>
              <w:spacing w:after="0"/>
              <w:rPr>
                <w:sz w:val="20"/>
                <w:szCs w:val="20"/>
                <w:color w:val="auto"/>
              </w:rPr>
            </w:pPr>
          </w:p>
        </w:tc>
        <w:tc>
          <w:tcPr>
            <w:tcW w:w="20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shd w:val="clear" w:color="auto" w:fill="E2E2E2"/>
          </w:tcPr>
          <w:p>
            <w:pPr>
              <w:spacing w:after="0"/>
              <w:rPr>
                <w:sz w:val="20"/>
                <w:szCs w:val="20"/>
                <w:color w:val="auto"/>
              </w:rPr>
            </w:pPr>
          </w:p>
        </w:tc>
        <w:tc>
          <w:tcPr>
            <w:tcW w:w="1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202,425</w:t>
            </w:r>
          </w:p>
        </w:tc>
        <w:tc>
          <w:tcPr>
            <w:tcW w:w="6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Adjustments</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180" w:type="dxa"/>
            <w:vAlign w:val="bottom"/>
            <w:tcBorders>
              <w:bottom w:val="single" w:sz="8" w:color="E2E2E2"/>
            </w:tcBorders>
            <w:shd w:val="clear" w:color="auto" w:fill="E2E2E2"/>
          </w:tcPr>
          <w:p>
            <w:pPr>
              <w:spacing w:after="0"/>
              <w:rPr>
                <w:sz w:val="22"/>
                <w:szCs w:val="22"/>
                <w:color w:val="auto"/>
              </w:rPr>
            </w:pPr>
          </w:p>
        </w:tc>
        <w:tc>
          <w:tcPr>
            <w:tcW w:w="360" w:type="dxa"/>
            <w:vAlign w:val="bottom"/>
            <w:tcBorders>
              <w:bottom w:val="single" w:sz="8" w:color="E2E2E2"/>
            </w:tcBorders>
            <w:shd w:val="clear" w:color="auto" w:fill="E2E2E2"/>
          </w:tcPr>
          <w:p>
            <w:pPr>
              <w:spacing w:after="0"/>
              <w:rPr>
                <w:sz w:val="22"/>
                <w:szCs w:val="22"/>
                <w:color w:val="auto"/>
              </w:rPr>
            </w:pPr>
          </w:p>
        </w:tc>
        <w:tc>
          <w:tcPr>
            <w:tcW w:w="142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E2E2E2"/>
            </w:tcBorders>
            <w:shd w:val="clear" w:color="auto" w:fill="E2E2E2"/>
          </w:tcPr>
          <w:p>
            <w:pPr>
              <w:spacing w:after="0"/>
              <w:rPr>
                <w:sz w:val="22"/>
                <w:szCs w:val="22"/>
                <w:color w:val="auto"/>
              </w:rPr>
            </w:pPr>
          </w:p>
        </w:tc>
        <w:tc>
          <w:tcPr>
            <w:tcW w:w="240" w:type="dxa"/>
            <w:vAlign w:val="bottom"/>
            <w:tcBorders>
              <w:bottom w:val="single" w:sz="8" w:color="E2E2E2"/>
            </w:tcBorders>
            <w:shd w:val="clear" w:color="auto" w:fill="E2E2E2"/>
          </w:tcPr>
          <w:p>
            <w:pPr>
              <w:spacing w:after="0"/>
              <w:rPr>
                <w:sz w:val="22"/>
                <w:szCs w:val="22"/>
                <w:color w:val="auto"/>
              </w:rPr>
            </w:pPr>
          </w:p>
        </w:tc>
        <w:tc>
          <w:tcPr>
            <w:tcW w:w="1500" w:type="dxa"/>
            <w:vAlign w:val="bottom"/>
            <w:tcBorders>
              <w:bottom w:val="single" w:sz="8" w:color="E2E2E2"/>
            </w:tcBorders>
            <w:shd w:val="clear" w:color="auto" w:fill="E2E2E2"/>
          </w:tcPr>
          <w:p>
            <w:pPr>
              <w:spacing w:after="0"/>
              <w:rPr>
                <w:sz w:val="22"/>
                <w:szCs w:val="22"/>
                <w:color w:val="auto"/>
              </w:rPr>
            </w:pPr>
          </w:p>
        </w:tc>
        <w:tc>
          <w:tcPr>
            <w:tcW w:w="20" w:type="dxa"/>
            <w:vAlign w:val="bottom"/>
            <w:tcBorders>
              <w:bottom w:val="single" w:sz="8" w:color="auto"/>
            </w:tcBorders>
            <w:shd w:val="clear" w:color="auto" w:fill="E2E2E2"/>
          </w:tcPr>
          <w:p>
            <w:pPr>
              <w:spacing w:after="0"/>
              <w:rPr>
                <w:sz w:val="22"/>
                <w:szCs w:val="22"/>
                <w:color w:val="auto"/>
              </w:rPr>
            </w:pPr>
          </w:p>
        </w:tc>
        <w:tc>
          <w:tcPr>
            <w:tcW w:w="180" w:type="dxa"/>
            <w:vAlign w:val="bottom"/>
            <w:tcBorders>
              <w:bottom w:val="single" w:sz="8" w:color="auto"/>
            </w:tcBorders>
            <w:shd w:val="clear" w:color="auto" w:fill="E2E2E2"/>
          </w:tcPr>
          <w:p>
            <w:pPr>
              <w:spacing w:after="0"/>
              <w:rPr>
                <w:sz w:val="22"/>
                <w:szCs w:val="22"/>
                <w:color w:val="auto"/>
              </w:rPr>
            </w:pPr>
          </w:p>
        </w:tc>
        <w:tc>
          <w:tcPr>
            <w:tcW w:w="240" w:type="dxa"/>
            <w:vAlign w:val="bottom"/>
            <w:tcBorders>
              <w:bottom w:val="single" w:sz="8" w:color="auto"/>
            </w:tcBorders>
            <w:shd w:val="clear" w:color="auto" w:fill="E2E2E2"/>
          </w:tcPr>
          <w:p>
            <w:pPr>
              <w:spacing w:after="0"/>
              <w:rPr>
                <w:sz w:val="22"/>
                <w:szCs w:val="22"/>
                <w:color w:val="auto"/>
              </w:rPr>
            </w:pPr>
          </w:p>
        </w:tc>
        <w:tc>
          <w:tcPr>
            <w:tcW w:w="1500" w:type="dxa"/>
            <w:vAlign w:val="bottom"/>
            <w:tcBorders>
              <w:bottom w:val="single" w:sz="8" w:color="auto"/>
            </w:tcBorders>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19"/>
        </w:trPr>
        <w:tc>
          <w:tcPr>
            <w:tcW w:w="498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Balance at March 28, 2025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gridSpan w:val="2"/>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Pr>
          <w:p>
            <w:pPr>
              <w:spacing w:after="0"/>
              <w:rPr>
                <w:sz w:val="19"/>
                <w:szCs w:val="19"/>
                <w:color w:val="auto"/>
              </w:rPr>
            </w:pPr>
          </w:p>
        </w:tc>
        <w:tc>
          <w:tcPr>
            <w:tcW w:w="14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202,475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180" w:type="dxa"/>
            <w:vAlign w:val="bottom"/>
            <w:tcBorders>
              <w:bottom w:val="single" w:sz="8" w:color="E2E2E2"/>
            </w:tcBorders>
            <w:shd w:val="clear" w:color="auto" w:fill="E2E2E2"/>
          </w:tcPr>
          <w:p>
            <w:pPr>
              <w:spacing w:after="0"/>
              <w:rPr>
                <w:sz w:val="22"/>
                <w:szCs w:val="22"/>
                <w:color w:val="auto"/>
              </w:rPr>
            </w:pPr>
          </w:p>
        </w:tc>
        <w:tc>
          <w:tcPr>
            <w:tcW w:w="360" w:type="dxa"/>
            <w:vAlign w:val="bottom"/>
            <w:tcBorders>
              <w:bottom w:val="single" w:sz="8" w:color="E2E2E2"/>
            </w:tcBorders>
            <w:shd w:val="clear" w:color="auto" w:fill="E2E2E2"/>
          </w:tcPr>
          <w:p>
            <w:pPr>
              <w:spacing w:after="0"/>
              <w:rPr>
                <w:sz w:val="22"/>
                <w:szCs w:val="22"/>
                <w:color w:val="auto"/>
              </w:rPr>
            </w:pPr>
          </w:p>
        </w:tc>
        <w:tc>
          <w:tcPr>
            <w:tcW w:w="142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E2E2E2"/>
            </w:tcBorders>
            <w:shd w:val="clear" w:color="auto" w:fill="E2E2E2"/>
          </w:tcPr>
          <w:p>
            <w:pPr>
              <w:spacing w:after="0"/>
              <w:rPr>
                <w:sz w:val="22"/>
                <w:szCs w:val="22"/>
                <w:color w:val="auto"/>
              </w:rPr>
            </w:pPr>
          </w:p>
        </w:tc>
        <w:tc>
          <w:tcPr>
            <w:tcW w:w="240" w:type="dxa"/>
            <w:vAlign w:val="bottom"/>
            <w:tcBorders>
              <w:bottom w:val="single" w:sz="8" w:color="E2E2E2"/>
            </w:tcBorders>
            <w:shd w:val="clear" w:color="auto" w:fill="E2E2E2"/>
          </w:tcPr>
          <w:p>
            <w:pPr>
              <w:spacing w:after="0"/>
              <w:rPr>
                <w:sz w:val="22"/>
                <w:szCs w:val="22"/>
                <w:color w:val="auto"/>
              </w:rPr>
            </w:pPr>
          </w:p>
        </w:tc>
        <w:tc>
          <w:tcPr>
            <w:tcW w:w="1500" w:type="dxa"/>
            <w:vAlign w:val="bottom"/>
            <w:tcBorders>
              <w:bottom w:val="single" w:sz="8" w:color="E2E2E2"/>
            </w:tcBorders>
            <w:shd w:val="clear" w:color="auto" w:fill="E2E2E2"/>
          </w:tcPr>
          <w:p>
            <w:pPr>
              <w:spacing w:after="0"/>
              <w:rPr>
                <w:sz w:val="22"/>
                <w:szCs w:val="22"/>
                <w:color w:val="auto"/>
              </w:rPr>
            </w:pPr>
          </w:p>
        </w:tc>
        <w:tc>
          <w:tcPr>
            <w:tcW w:w="20" w:type="dxa"/>
            <w:vAlign w:val="bottom"/>
            <w:tcBorders>
              <w:bottom w:val="single" w:sz="8" w:color="auto"/>
            </w:tcBorders>
            <w:shd w:val="clear" w:color="auto" w:fill="E2E2E2"/>
          </w:tcPr>
          <w:p>
            <w:pPr>
              <w:spacing w:after="0"/>
              <w:rPr>
                <w:sz w:val="22"/>
                <w:szCs w:val="22"/>
                <w:color w:val="auto"/>
              </w:rPr>
            </w:pPr>
          </w:p>
        </w:tc>
        <w:tc>
          <w:tcPr>
            <w:tcW w:w="180" w:type="dxa"/>
            <w:vAlign w:val="bottom"/>
            <w:tcBorders>
              <w:bottom w:val="single" w:sz="8" w:color="auto"/>
            </w:tcBorders>
            <w:shd w:val="clear" w:color="auto" w:fill="E2E2E2"/>
          </w:tcPr>
          <w:p>
            <w:pPr>
              <w:spacing w:after="0"/>
              <w:rPr>
                <w:sz w:val="22"/>
                <w:szCs w:val="22"/>
                <w:color w:val="auto"/>
              </w:rPr>
            </w:pPr>
          </w:p>
        </w:tc>
        <w:tc>
          <w:tcPr>
            <w:tcW w:w="240" w:type="dxa"/>
            <w:vAlign w:val="bottom"/>
            <w:tcBorders>
              <w:bottom w:val="single" w:sz="8" w:color="auto"/>
            </w:tcBorders>
            <w:shd w:val="clear" w:color="auto" w:fill="E2E2E2"/>
          </w:tcPr>
          <w:p>
            <w:pPr>
              <w:spacing w:after="0"/>
              <w:rPr>
                <w:sz w:val="22"/>
                <w:szCs w:val="22"/>
                <w:color w:val="auto"/>
              </w:rPr>
            </w:pPr>
          </w:p>
        </w:tc>
        <w:tc>
          <w:tcPr>
            <w:tcW w:w="14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816</w:t>
            </w:r>
          </w:p>
        </w:tc>
        <w:tc>
          <w:tcPr>
            <w:tcW w:w="60" w:type="dxa"/>
            <w:vAlign w:val="bottom"/>
            <w:tcBorders>
              <w:bottom w:val="single" w:sz="8" w:color="auto"/>
            </w:tcBorders>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98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Balance at March 27, 2026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203,291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ind w:left="540"/>
              <w:spacing w:after="0"/>
              <w:rPr>
                <w:sz w:val="20"/>
                <w:szCs w:val="20"/>
                <w:color w:val="auto"/>
              </w:rPr>
            </w:pPr>
            <w:r>
              <w:rPr>
                <w:rFonts w:ascii="Times New Roman" w:cs="Times New Roman" w:eastAsia="Times New Roman" w:hAnsi="Times New Roman"/>
                <w:sz w:val="20"/>
                <w:szCs w:val="20"/>
                <w:color w:val="auto"/>
              </w:rPr>
              <w:t>Intangible assets, net were as follows:</w:t>
            </w: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jc w:val="center"/>
              <w:ind w:right="228"/>
              <w:spacing w:after="0"/>
              <w:rPr>
                <w:sz w:val="20"/>
                <w:szCs w:val="20"/>
                <w:color w:val="auto"/>
              </w:rPr>
            </w:pPr>
            <w:r>
              <w:rPr>
                <w:rFonts w:ascii="Times New Roman" w:cs="Times New Roman" w:eastAsia="Times New Roman" w:hAnsi="Times New Roman"/>
                <w:sz w:val="16"/>
                <w:szCs w:val="16"/>
                <w:b w:val="1"/>
                <w:bCs w:val="1"/>
                <w:color w:val="auto"/>
                <w:w w:val="99"/>
              </w:rPr>
              <w:t>March 27,</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ind w:right="248"/>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center"/>
              <w:ind w:right="228"/>
              <w:spacing w:after="0" w:line="160"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144"/>
              <w:spacing w:after="0" w:line="160"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80" w:type="dxa"/>
            <w:vAlign w:val="bottom"/>
            <w:tcBorders>
              <w:bottom w:val="single" w:sz="8" w:color="E2E2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80" w:type="dxa"/>
            <w:vAlign w:val="bottom"/>
            <w:tcBorders>
              <w:bottom w:val="single" w:sz="8" w:color="E2E2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E2E2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25"/>
        </w:trPr>
        <w:tc>
          <w:tcPr>
            <w:tcW w:w="498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Patents</w:t>
            </w:r>
          </w:p>
        </w:tc>
        <w:tc>
          <w:tcPr>
            <w:tcW w:w="180" w:type="dxa"/>
            <w:vAlign w:val="bottom"/>
            <w:shd w:val="clear" w:color="auto" w:fill="E2E2E2"/>
          </w:tcPr>
          <w:p>
            <w:pPr>
              <w:spacing w:after="0"/>
              <w:rPr>
                <w:sz w:val="19"/>
                <w:szCs w:val="19"/>
                <w:color w:val="auto"/>
              </w:rPr>
            </w:pPr>
          </w:p>
        </w:tc>
        <w:tc>
          <w:tcPr>
            <w:tcW w:w="360" w:type="dxa"/>
            <w:vAlign w:val="bottom"/>
            <w:shd w:val="clear" w:color="auto" w:fill="E2E2E2"/>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shd w:val="clear" w:color="auto" w:fill="E2E2E2"/>
          </w:tcPr>
          <w:p>
            <w:pPr>
              <w:jc w:val="right"/>
              <w:ind w:right="3"/>
              <w:spacing w:after="0" w:line="225" w:lineRule="exact"/>
              <w:rPr>
                <w:sz w:val="20"/>
                <w:szCs w:val="20"/>
                <w:color w:val="auto"/>
              </w:rPr>
            </w:pPr>
            <w:r>
              <w:rPr>
                <w:rFonts w:ascii="Times New Roman" w:cs="Times New Roman" w:eastAsia="Times New Roman" w:hAnsi="Times New Roman"/>
                <w:sz w:val="20"/>
                <w:szCs w:val="20"/>
                <w:color w:val="auto"/>
              </w:rPr>
              <w:t>53,126</w:t>
            </w:r>
          </w:p>
        </w:tc>
        <w:tc>
          <w:tcPr>
            <w:tcW w:w="180" w:type="dxa"/>
            <w:vAlign w:val="bottom"/>
            <w:shd w:val="clear" w:color="auto" w:fill="E2E2E2"/>
          </w:tcPr>
          <w:p>
            <w:pPr>
              <w:spacing w:after="0"/>
              <w:rPr>
                <w:sz w:val="19"/>
                <w:szCs w:val="19"/>
                <w:color w:val="auto"/>
              </w:rPr>
            </w:pPr>
          </w:p>
        </w:tc>
        <w:tc>
          <w:tcPr>
            <w:tcW w:w="240" w:type="dxa"/>
            <w:vAlign w:val="bottom"/>
            <w:shd w:val="clear" w:color="auto" w:fill="E2E2E2"/>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(30,009)</w:t>
            </w: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240" w:type="dxa"/>
            <w:vAlign w:val="bottom"/>
            <w:shd w:val="clear" w:color="auto" w:fill="E2E2E2"/>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gridSpan w:val="2"/>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23,117</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15,187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10,062</w:t>
            </w:r>
          </w:p>
        </w:tc>
        <w:tc>
          <w:tcPr>
            <w:tcW w:w="0" w:type="dxa"/>
            <w:vAlign w:val="bottom"/>
          </w:tcPr>
          <w:p>
            <w:pPr>
              <w:spacing w:after="0"/>
              <w:rPr>
                <w:sz w:val="1"/>
                <w:szCs w:val="1"/>
                <w:color w:val="auto"/>
              </w:rPr>
            </w:pPr>
          </w:p>
        </w:tc>
      </w:tr>
      <w:tr>
        <w:trPr>
          <w:trHeight w:val="230"/>
        </w:trPr>
        <w:tc>
          <w:tcPr>
            <w:tcW w:w="49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Completed technologies</w:t>
            </w:r>
          </w:p>
        </w:tc>
        <w:tc>
          <w:tcPr>
            <w:tcW w:w="18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42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255,618</w:t>
            </w:r>
          </w:p>
        </w:tc>
        <w:tc>
          <w:tcPr>
            <w:tcW w:w="18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(52,391)</w:t>
            </w: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15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203,227</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Indefinite-lived process technology and trademarks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2,269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2,269</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Trademarks and other</w:t>
            </w:r>
          </w:p>
        </w:tc>
        <w:tc>
          <w:tcPr>
            <w:tcW w:w="180" w:type="dxa"/>
            <w:vAlign w:val="bottom"/>
            <w:tcBorders>
              <w:bottom w:val="single" w:sz="8" w:color="E2E2E2"/>
            </w:tcBorders>
            <w:shd w:val="clear" w:color="auto" w:fill="E2E2E2"/>
          </w:tcPr>
          <w:p>
            <w:pPr>
              <w:spacing w:after="0"/>
              <w:rPr>
                <w:sz w:val="21"/>
                <w:szCs w:val="21"/>
                <w:color w:val="auto"/>
              </w:rPr>
            </w:pPr>
          </w:p>
        </w:tc>
        <w:tc>
          <w:tcPr>
            <w:tcW w:w="360" w:type="dxa"/>
            <w:vAlign w:val="bottom"/>
            <w:tcBorders>
              <w:bottom w:val="single" w:sz="8" w:color="E2E2E2"/>
            </w:tcBorders>
            <w:shd w:val="clear" w:color="auto" w:fill="E2E2E2"/>
          </w:tcPr>
          <w:p>
            <w:pPr>
              <w:spacing w:after="0"/>
              <w:rPr>
                <w:sz w:val="21"/>
                <w:szCs w:val="21"/>
                <w:color w:val="auto"/>
              </w:rPr>
            </w:pPr>
          </w:p>
        </w:tc>
        <w:tc>
          <w:tcPr>
            <w:tcW w:w="1420" w:type="dxa"/>
            <w:vAlign w:val="bottom"/>
            <w:tcBorders>
              <w:bottom w:val="single" w:sz="8" w:color="E2E2E2"/>
            </w:tcBorders>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93</w:t>
            </w:r>
          </w:p>
        </w:tc>
        <w:tc>
          <w:tcPr>
            <w:tcW w:w="180" w:type="dxa"/>
            <w:vAlign w:val="bottom"/>
            <w:tcBorders>
              <w:bottom w:val="single" w:sz="8" w:color="E2E2E2"/>
            </w:tcBorders>
            <w:shd w:val="clear" w:color="auto" w:fill="E2E2E2"/>
          </w:tcPr>
          <w:p>
            <w:pPr>
              <w:spacing w:after="0"/>
              <w:rPr>
                <w:sz w:val="21"/>
                <w:szCs w:val="21"/>
                <w:color w:val="auto"/>
              </w:rPr>
            </w:pPr>
          </w:p>
        </w:tc>
        <w:tc>
          <w:tcPr>
            <w:tcW w:w="240" w:type="dxa"/>
            <w:vAlign w:val="bottom"/>
            <w:tcBorders>
              <w:bottom w:val="single" w:sz="8" w:color="E2E2E2"/>
            </w:tcBorders>
            <w:shd w:val="clear" w:color="auto" w:fill="E2E2E2"/>
          </w:tcPr>
          <w:p>
            <w:pPr>
              <w:spacing w:after="0"/>
              <w:rPr>
                <w:sz w:val="21"/>
                <w:szCs w:val="21"/>
                <w:color w:val="auto"/>
              </w:rPr>
            </w:pPr>
          </w:p>
        </w:tc>
        <w:tc>
          <w:tcPr>
            <w:tcW w:w="15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20" w:type="dxa"/>
            <w:vAlign w:val="bottom"/>
            <w:tcBorders>
              <w:bottom w:val="single" w:sz="8" w:color="E2E2E2"/>
            </w:tcBorders>
            <w:shd w:val="clear" w:color="auto" w:fill="E2E2E2"/>
          </w:tcPr>
          <w:p>
            <w:pPr>
              <w:spacing w:after="0"/>
              <w:rPr>
                <w:sz w:val="21"/>
                <w:szCs w:val="21"/>
                <w:color w:val="auto"/>
              </w:rPr>
            </w:pPr>
          </w:p>
        </w:tc>
        <w:tc>
          <w:tcPr>
            <w:tcW w:w="180" w:type="dxa"/>
            <w:vAlign w:val="bottom"/>
            <w:tcBorders>
              <w:bottom w:val="single" w:sz="8" w:color="E2E2E2"/>
            </w:tcBorders>
            <w:shd w:val="clear" w:color="auto" w:fill="E2E2E2"/>
          </w:tcPr>
          <w:p>
            <w:pPr>
              <w:spacing w:after="0"/>
              <w:rPr>
                <w:sz w:val="21"/>
                <w:szCs w:val="21"/>
                <w:color w:val="auto"/>
              </w:rPr>
            </w:pPr>
          </w:p>
        </w:tc>
        <w:tc>
          <w:tcPr>
            <w:tcW w:w="240" w:type="dxa"/>
            <w:vAlign w:val="bottom"/>
            <w:tcBorders>
              <w:bottom w:val="single" w:sz="8" w:color="auto"/>
            </w:tcBorders>
            <w:shd w:val="clear" w:color="auto" w:fill="E2E2E2"/>
          </w:tcPr>
          <w:p>
            <w:pPr>
              <w:spacing w:after="0"/>
              <w:rPr>
                <w:sz w:val="21"/>
                <w:szCs w:val="21"/>
                <w:color w:val="auto"/>
              </w:rPr>
            </w:pPr>
          </w:p>
        </w:tc>
        <w:tc>
          <w:tcPr>
            <w:tcW w:w="1500" w:type="dxa"/>
            <w:vAlign w:val="bottom"/>
            <w:tcBorders>
              <w:bottom w:val="single" w:sz="8" w:color="auto"/>
            </w:tcBorders>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5"/>
        </w:trPr>
        <w:tc>
          <w:tcPr>
            <w:tcW w:w="498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b w:val="1"/>
                <w:bCs w:val="1"/>
                <w:color w:val="auto"/>
              </w:rPr>
              <w:t>Total</w:t>
            </w:r>
          </w:p>
        </w:tc>
        <w:tc>
          <w:tcPr>
            <w:tcW w:w="1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6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bottom w:val="single" w:sz="8" w:color="auto"/>
            </w:tcBorders>
          </w:tcPr>
          <w:p>
            <w:pPr>
              <w:jc w:val="right"/>
              <w:ind w:right="3"/>
              <w:spacing w:after="0" w:line="205" w:lineRule="exact"/>
              <w:rPr>
                <w:sz w:val="20"/>
                <w:szCs w:val="20"/>
                <w:color w:val="auto"/>
              </w:rPr>
            </w:pPr>
            <w:r>
              <w:rPr>
                <w:rFonts w:ascii="Times New Roman" w:cs="Times New Roman" w:eastAsia="Times New Roman" w:hAnsi="Times New Roman"/>
                <w:sz w:val="20"/>
                <w:szCs w:val="20"/>
                <w:color w:val="auto"/>
              </w:rPr>
              <w:t>326,293</w:t>
            </w: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4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(87,618)</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4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top w:val="single" w:sz="8" w:color="auto"/>
              <w:bottom w:val="single" w:sz="8" w:color="auto"/>
            </w:tcBorders>
            <w:gridSpan w:val="2"/>
          </w:tcPr>
          <w:p>
            <w:pPr>
              <w:jc w:val="right"/>
              <w:ind w:right="60"/>
              <w:spacing w:after="0" w:line="205" w:lineRule="exact"/>
              <w:rPr>
                <w:sz w:val="20"/>
                <w:szCs w:val="20"/>
                <w:color w:val="auto"/>
              </w:rPr>
            </w:pPr>
            <w:r>
              <w:rPr>
                <w:rFonts w:ascii="Times New Roman" w:cs="Times New Roman" w:eastAsia="Times New Roman" w:hAnsi="Times New Roman"/>
                <w:sz w:val="20"/>
                <w:szCs w:val="20"/>
                <w:color w:val="auto"/>
              </w:rPr>
              <w:t>238,675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center"/>
              <w:ind w:right="228"/>
              <w:spacing w:after="0"/>
              <w:rPr>
                <w:sz w:val="20"/>
                <w:szCs w:val="20"/>
                <w:color w:val="auto"/>
              </w:rPr>
            </w:pPr>
            <w:r>
              <w:rPr>
                <w:rFonts w:ascii="Times New Roman" w:cs="Times New Roman" w:eastAsia="Times New Roman" w:hAnsi="Times New Roman"/>
                <w:sz w:val="16"/>
                <w:szCs w:val="16"/>
                <w:b w:val="1"/>
                <w:bCs w:val="1"/>
                <w:color w:val="auto"/>
                <w:w w:val="99"/>
              </w:rPr>
              <w:t>March 28,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ind w:right="24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center"/>
              <w:ind w:right="228"/>
              <w:spacing w:after="0" w:line="160"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144"/>
              <w:spacing w:after="0" w:line="160"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80" w:type="dxa"/>
            <w:vAlign w:val="bottom"/>
            <w:tcBorders>
              <w:bottom w:val="single" w:sz="8" w:color="E2E2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80" w:type="dxa"/>
            <w:vAlign w:val="bottom"/>
            <w:tcBorders>
              <w:bottom w:val="single" w:sz="8" w:color="E2E2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E2E2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25"/>
        </w:trPr>
        <w:tc>
          <w:tcPr>
            <w:tcW w:w="498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Patents</w:t>
            </w:r>
          </w:p>
        </w:tc>
        <w:tc>
          <w:tcPr>
            <w:tcW w:w="180" w:type="dxa"/>
            <w:vAlign w:val="bottom"/>
            <w:shd w:val="clear" w:color="auto" w:fill="E2E2E2"/>
          </w:tcPr>
          <w:p>
            <w:pPr>
              <w:spacing w:after="0"/>
              <w:rPr>
                <w:sz w:val="19"/>
                <w:szCs w:val="19"/>
                <w:color w:val="auto"/>
              </w:rPr>
            </w:pPr>
          </w:p>
        </w:tc>
        <w:tc>
          <w:tcPr>
            <w:tcW w:w="360" w:type="dxa"/>
            <w:vAlign w:val="bottom"/>
            <w:shd w:val="clear" w:color="auto" w:fill="E2E2E2"/>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shd w:val="clear" w:color="auto" w:fill="E2E2E2"/>
          </w:tcPr>
          <w:p>
            <w:pPr>
              <w:jc w:val="right"/>
              <w:ind w:right="3"/>
              <w:spacing w:after="0" w:line="225" w:lineRule="exact"/>
              <w:rPr>
                <w:sz w:val="20"/>
                <w:szCs w:val="20"/>
                <w:color w:val="auto"/>
              </w:rPr>
            </w:pPr>
            <w:r>
              <w:rPr>
                <w:rFonts w:ascii="Times New Roman" w:cs="Times New Roman" w:eastAsia="Times New Roman" w:hAnsi="Times New Roman"/>
                <w:sz w:val="20"/>
                <w:szCs w:val="20"/>
                <w:color w:val="auto"/>
              </w:rPr>
              <w:t>49,749</w:t>
            </w:r>
          </w:p>
        </w:tc>
        <w:tc>
          <w:tcPr>
            <w:tcW w:w="180" w:type="dxa"/>
            <w:vAlign w:val="bottom"/>
            <w:shd w:val="clear" w:color="auto" w:fill="E2E2E2"/>
          </w:tcPr>
          <w:p>
            <w:pPr>
              <w:spacing w:after="0"/>
              <w:rPr>
                <w:sz w:val="19"/>
                <w:szCs w:val="19"/>
                <w:color w:val="auto"/>
              </w:rPr>
            </w:pPr>
          </w:p>
        </w:tc>
        <w:tc>
          <w:tcPr>
            <w:tcW w:w="240" w:type="dxa"/>
            <w:vAlign w:val="bottom"/>
            <w:shd w:val="clear" w:color="auto" w:fill="E2E2E2"/>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(25,710)</w:t>
            </w: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240" w:type="dxa"/>
            <w:vAlign w:val="bottom"/>
            <w:shd w:val="clear" w:color="auto" w:fill="E2E2E2"/>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gridSpan w:val="2"/>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24,039</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14,964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10,862</w:t>
            </w:r>
          </w:p>
        </w:tc>
        <w:tc>
          <w:tcPr>
            <w:tcW w:w="0" w:type="dxa"/>
            <w:vAlign w:val="bottom"/>
          </w:tcPr>
          <w:p>
            <w:pPr>
              <w:spacing w:after="0"/>
              <w:rPr>
                <w:sz w:val="1"/>
                <w:szCs w:val="1"/>
                <w:color w:val="auto"/>
              </w:rPr>
            </w:pPr>
          </w:p>
        </w:tc>
      </w:tr>
      <w:tr>
        <w:trPr>
          <w:trHeight w:val="230"/>
        </w:trPr>
        <w:tc>
          <w:tcPr>
            <w:tcW w:w="49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Completed technologies</w:t>
            </w:r>
          </w:p>
        </w:tc>
        <w:tc>
          <w:tcPr>
            <w:tcW w:w="18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42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255,588</w:t>
            </w:r>
          </w:p>
        </w:tc>
        <w:tc>
          <w:tcPr>
            <w:tcW w:w="18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(30,648)</w:t>
            </w: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15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224,940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Indefinite-lived process technology and trademarks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2,274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2,274</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Trademarks and other</w:t>
            </w:r>
          </w:p>
        </w:tc>
        <w:tc>
          <w:tcPr>
            <w:tcW w:w="180" w:type="dxa"/>
            <w:vAlign w:val="bottom"/>
            <w:tcBorders>
              <w:bottom w:val="single" w:sz="8" w:color="E2E2E2"/>
            </w:tcBorders>
            <w:shd w:val="clear" w:color="auto" w:fill="E2E2E2"/>
          </w:tcPr>
          <w:p>
            <w:pPr>
              <w:spacing w:after="0"/>
              <w:rPr>
                <w:sz w:val="21"/>
                <w:szCs w:val="21"/>
                <w:color w:val="auto"/>
              </w:rPr>
            </w:pPr>
          </w:p>
        </w:tc>
        <w:tc>
          <w:tcPr>
            <w:tcW w:w="360" w:type="dxa"/>
            <w:vAlign w:val="bottom"/>
            <w:tcBorders>
              <w:bottom w:val="single" w:sz="8" w:color="E2E2E2"/>
            </w:tcBorders>
            <w:shd w:val="clear" w:color="auto" w:fill="E2E2E2"/>
          </w:tcPr>
          <w:p>
            <w:pPr>
              <w:spacing w:after="0"/>
              <w:rPr>
                <w:sz w:val="21"/>
                <w:szCs w:val="21"/>
                <w:color w:val="auto"/>
              </w:rPr>
            </w:pPr>
          </w:p>
        </w:tc>
        <w:tc>
          <w:tcPr>
            <w:tcW w:w="1420" w:type="dxa"/>
            <w:vAlign w:val="bottom"/>
            <w:tcBorders>
              <w:bottom w:val="single" w:sz="8" w:color="E2E2E2"/>
            </w:tcBorders>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86</w:t>
            </w:r>
          </w:p>
        </w:tc>
        <w:tc>
          <w:tcPr>
            <w:tcW w:w="180" w:type="dxa"/>
            <w:vAlign w:val="bottom"/>
            <w:tcBorders>
              <w:bottom w:val="single" w:sz="8" w:color="E2E2E2"/>
            </w:tcBorders>
            <w:shd w:val="clear" w:color="auto" w:fill="E2E2E2"/>
          </w:tcPr>
          <w:p>
            <w:pPr>
              <w:spacing w:after="0"/>
              <w:rPr>
                <w:sz w:val="21"/>
                <w:szCs w:val="21"/>
                <w:color w:val="auto"/>
              </w:rPr>
            </w:pPr>
          </w:p>
        </w:tc>
        <w:tc>
          <w:tcPr>
            <w:tcW w:w="240" w:type="dxa"/>
            <w:vAlign w:val="bottom"/>
            <w:tcBorders>
              <w:bottom w:val="single" w:sz="8" w:color="E2E2E2"/>
            </w:tcBorders>
            <w:shd w:val="clear" w:color="auto" w:fill="E2E2E2"/>
          </w:tcPr>
          <w:p>
            <w:pPr>
              <w:spacing w:after="0"/>
              <w:rPr>
                <w:sz w:val="21"/>
                <w:szCs w:val="21"/>
                <w:color w:val="auto"/>
              </w:rPr>
            </w:pPr>
          </w:p>
        </w:tc>
        <w:tc>
          <w:tcPr>
            <w:tcW w:w="15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20" w:type="dxa"/>
            <w:vAlign w:val="bottom"/>
            <w:tcBorders>
              <w:bottom w:val="single" w:sz="8" w:color="E2E2E2"/>
            </w:tcBorders>
            <w:shd w:val="clear" w:color="auto" w:fill="E2E2E2"/>
          </w:tcPr>
          <w:p>
            <w:pPr>
              <w:spacing w:after="0"/>
              <w:rPr>
                <w:sz w:val="21"/>
                <w:szCs w:val="21"/>
                <w:color w:val="auto"/>
              </w:rPr>
            </w:pPr>
          </w:p>
        </w:tc>
        <w:tc>
          <w:tcPr>
            <w:tcW w:w="180" w:type="dxa"/>
            <w:vAlign w:val="bottom"/>
            <w:tcBorders>
              <w:bottom w:val="single" w:sz="8" w:color="E2E2E2"/>
            </w:tcBorders>
            <w:shd w:val="clear" w:color="auto" w:fill="E2E2E2"/>
          </w:tcPr>
          <w:p>
            <w:pPr>
              <w:spacing w:after="0"/>
              <w:rPr>
                <w:sz w:val="21"/>
                <w:szCs w:val="21"/>
                <w:color w:val="auto"/>
              </w:rPr>
            </w:pPr>
          </w:p>
        </w:tc>
        <w:tc>
          <w:tcPr>
            <w:tcW w:w="240" w:type="dxa"/>
            <w:vAlign w:val="bottom"/>
            <w:tcBorders>
              <w:bottom w:val="single" w:sz="8" w:color="auto"/>
            </w:tcBorders>
            <w:shd w:val="clear" w:color="auto" w:fill="E2E2E2"/>
          </w:tcPr>
          <w:p>
            <w:pPr>
              <w:spacing w:after="0"/>
              <w:rPr>
                <w:sz w:val="21"/>
                <w:szCs w:val="21"/>
                <w:color w:val="auto"/>
              </w:rPr>
            </w:pPr>
          </w:p>
        </w:tc>
        <w:tc>
          <w:tcPr>
            <w:tcW w:w="1500" w:type="dxa"/>
            <w:vAlign w:val="bottom"/>
            <w:tcBorders>
              <w:bottom w:val="single" w:sz="8" w:color="auto"/>
            </w:tcBorders>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5"/>
        </w:trPr>
        <w:tc>
          <w:tcPr>
            <w:tcW w:w="498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b w:val="1"/>
                <w:bCs w:val="1"/>
                <w:color w:val="auto"/>
              </w:rPr>
              <w:t>Total</w:t>
            </w:r>
          </w:p>
        </w:tc>
        <w:tc>
          <w:tcPr>
            <w:tcW w:w="1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6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bottom w:val="single" w:sz="8" w:color="auto"/>
            </w:tcBorders>
          </w:tcPr>
          <w:p>
            <w:pPr>
              <w:jc w:val="right"/>
              <w:ind w:right="3"/>
              <w:spacing w:after="0" w:line="205" w:lineRule="exact"/>
              <w:rPr>
                <w:sz w:val="20"/>
                <w:szCs w:val="20"/>
                <w:color w:val="auto"/>
              </w:rPr>
            </w:pPr>
            <w:r>
              <w:rPr>
                <w:rFonts w:ascii="Times New Roman" w:cs="Times New Roman" w:eastAsia="Times New Roman" w:hAnsi="Times New Roman"/>
                <w:sz w:val="20"/>
                <w:szCs w:val="20"/>
                <w:color w:val="auto"/>
              </w:rPr>
              <w:t>322,661</w:t>
            </w: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4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(60,546)</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4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top w:val="single" w:sz="8" w:color="auto"/>
              <w:bottom w:val="single" w:sz="8" w:color="auto"/>
            </w:tcBorders>
            <w:gridSpan w:val="2"/>
          </w:tcPr>
          <w:p>
            <w:pPr>
              <w:jc w:val="right"/>
              <w:ind w:right="60"/>
              <w:spacing w:after="0" w:line="205" w:lineRule="exact"/>
              <w:rPr>
                <w:sz w:val="20"/>
                <w:szCs w:val="20"/>
                <w:color w:val="auto"/>
              </w:rPr>
            </w:pPr>
            <w:r>
              <w:rPr>
                <w:rFonts w:ascii="Times New Roman" w:cs="Times New Roman" w:eastAsia="Times New Roman" w:hAnsi="Times New Roman"/>
                <w:sz w:val="20"/>
                <w:szCs w:val="20"/>
                <w:color w:val="auto"/>
              </w:rPr>
              <w:t>262,115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3258820</wp:posOffset>
            </wp:positionH>
            <wp:positionV relativeFrom="paragraph">
              <wp:posOffset>-2803525</wp:posOffset>
            </wp:positionV>
            <wp:extent cx="357759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8">
                      <a:extLst>
                        <a:ext uri="{28A0092B-C50C-407E-A947-70E740481C1C}"/>
                      </a:extLst>
                    </a:blip>
                    <a:srcRect/>
                    <a:stretch>
                      <a:fillRect/>
                    </a:stretch>
                  </pic:blipFill>
                  <pic:spPr bwMode="auto">
                    <a:xfrm>
                      <a:off x="0" y="0"/>
                      <a:ext cx="3577590" cy="38100"/>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-1180465</wp:posOffset>
            </wp:positionV>
            <wp:extent cx="357759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9">
                      <a:extLst>
                        <a:ext uri="{28A0092B-C50C-407E-A947-70E740481C1C}"/>
                      </a:extLst>
                    </a:blip>
                    <a:srcRect/>
                    <a:stretch>
                      <a:fillRect/>
                    </a:stretch>
                  </pic:blipFill>
                  <pic:spPr bwMode="auto">
                    <a:xfrm>
                      <a:off x="0" y="0"/>
                      <a:ext cx="3577590" cy="38100"/>
                    </a:xfrm>
                    <a:prstGeom prst="rect">
                      <a:avLst/>
                    </a:prstGeom>
                    <a:noFill/>
                  </pic:spPr>
                </pic:pic>
              </a:graphicData>
            </a:graphic>
          </wp:anchor>
        </w:drawing>
      </w:r>
    </w:p>
    <w:p>
      <w:pPr>
        <w:spacing w:after="0" w:line="99" w:lineRule="exact"/>
        <w:rPr>
          <w:sz w:val="20"/>
          <w:szCs w:val="20"/>
          <w:color w:val="auto"/>
        </w:rPr>
      </w:pPr>
    </w:p>
    <w:p>
      <w:pPr>
        <w:jc w:val="both"/>
        <w:ind w:firstLine="540"/>
        <w:spacing w:after="0" w:line="277" w:lineRule="auto"/>
        <w:rPr>
          <w:sz w:val="20"/>
          <w:szCs w:val="20"/>
          <w:color w:val="auto"/>
        </w:rPr>
      </w:pPr>
      <w:r>
        <w:rPr>
          <w:rFonts w:ascii="Times New Roman" w:cs="Times New Roman" w:eastAsia="Times New Roman" w:hAnsi="Times New Roman"/>
          <w:sz w:val="20"/>
          <w:szCs w:val="20"/>
          <w:color w:val="auto"/>
        </w:rPr>
        <w:t>Intangible assets amortization expense was $26,864, $25,658 and $14,587 for the fiscal years ended March 27, 2026, March 28, 2025 and March 29, 2024, respectively.</w:t>
      </w:r>
    </w:p>
    <w:p>
      <w:pPr>
        <w:spacing w:after="0" w:line="49" w:lineRule="exact"/>
        <w:rPr>
          <w:sz w:val="20"/>
          <w:szCs w:val="20"/>
          <w:color w:val="auto"/>
        </w:rPr>
      </w:pPr>
    </w:p>
    <w:p>
      <w:pPr>
        <w:jc w:val="both"/>
        <w:ind w:firstLine="540"/>
        <w:spacing w:after="0" w:line="277" w:lineRule="auto"/>
        <w:rPr>
          <w:sz w:val="20"/>
          <w:szCs w:val="20"/>
          <w:color w:val="auto"/>
        </w:rPr>
      </w:pPr>
      <w:r>
        <w:rPr>
          <w:rFonts w:ascii="Times New Roman" w:cs="Times New Roman" w:eastAsia="Times New Roman" w:hAnsi="Times New Roman"/>
          <w:sz w:val="20"/>
          <w:szCs w:val="20"/>
          <w:color w:val="auto"/>
        </w:rPr>
        <w:t>In fiscal year 2025, the Company acquired certain intellectual property assets for a total purchase price of $6,000, including certain contingent, milestone-based payments, which were paid during the fiscal year ended March 27, 2026.</w:t>
      </w:r>
    </w:p>
    <w:p>
      <w:pPr>
        <w:spacing w:after="0" w:line="49"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In February 2024, the Company initiated a realignment of resources associated with our photonics and advanced 3D imaging solutions business to refocus spending on other technologies. As a result of the change in strategy, the Company recorded impairment charges of $11,600 in the fourth quarter of fiscal year 2024 related to intangible assets, net, and long-lived assets from our 2021 acquisition of Voxtel, Inc. The results of the annual impairment test did not indicate any impairments of any other long-lived intangible assets for fiscal years 2026, 2025 and 2024.</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10800"/>
          </w:cols>
          <w:pgMar w:left="720" w:top="696" w:right="720" w:bottom="187"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8860" w:type="dxa"/>
            <w:vAlign w:val="bottom"/>
          </w:tcPr>
          <w:p>
            <w:pPr>
              <w:jc w:val="center"/>
              <w:ind w:left="1900"/>
              <w:spacing w:after="0"/>
              <w:rPr>
                <w:sz w:val="20"/>
                <w:szCs w:val="20"/>
                <w:color w:val="auto"/>
              </w:rPr>
            </w:pPr>
            <w:r>
              <w:rPr>
                <w:rFonts w:ascii="Times New Roman" w:cs="Times New Roman" w:eastAsia="Times New Roman" w:hAnsi="Times New Roman"/>
                <w:sz w:val="20"/>
                <w:szCs w:val="20"/>
                <w:b w:val="1"/>
                <w:bCs w:val="1"/>
                <w:color w:val="auto"/>
              </w:rPr>
              <w:t>ALLEGRO MICROSYSTEMS, INC.</w:t>
            </w: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8860" w:type="dxa"/>
            <w:vAlign w:val="bottom"/>
          </w:tcPr>
          <w:p>
            <w:pPr>
              <w:jc w:val="center"/>
              <w:ind w:left="1840"/>
              <w:spacing w:after="0"/>
              <w:rPr>
                <w:sz w:val="20"/>
                <w:szCs w:val="20"/>
                <w:color w:val="auto"/>
              </w:rPr>
            </w:pPr>
            <w:r>
              <w:rPr>
                <w:rFonts w:ascii="Times New Roman" w:cs="Times New Roman" w:eastAsia="Times New Roman" w:hAnsi="Times New Roman"/>
                <w:sz w:val="20"/>
                <w:szCs w:val="20"/>
                <w:b w:val="1"/>
                <w:bCs w:val="1"/>
                <w:color w:val="auto"/>
                <w:w w:val="99"/>
              </w:rPr>
              <w:t>Notes to Consolidated Financial Statements – (continued)</w:t>
            </w: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4"/>
        </w:trPr>
        <w:tc>
          <w:tcPr>
            <w:tcW w:w="8860" w:type="dxa"/>
            <w:vAlign w:val="bottom"/>
          </w:tcPr>
          <w:p>
            <w:pPr>
              <w:jc w:val="center"/>
              <w:ind w:left="1840"/>
              <w:spacing w:after="0"/>
              <w:rPr>
                <w:sz w:val="20"/>
                <w:szCs w:val="20"/>
                <w:color w:val="auto"/>
              </w:rPr>
            </w:pPr>
            <w:r>
              <w:rPr>
                <w:rFonts w:ascii="Times New Roman" w:cs="Times New Roman" w:eastAsia="Times New Roman" w:hAnsi="Times New Roman"/>
                <w:sz w:val="20"/>
                <w:szCs w:val="20"/>
                <w:b w:val="1"/>
                <w:bCs w:val="1"/>
                <w:color w:val="auto"/>
                <w:w w:val="99"/>
              </w:rPr>
              <w:t>(Amounts in thousands, except share and per share amounts)</w:t>
            </w:r>
          </w:p>
        </w:tc>
        <w:tc>
          <w:tcPr>
            <w:tcW w:w="6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502"/>
        </w:trPr>
        <w:tc>
          <w:tcPr>
            <w:tcW w:w="8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As of March 27, 2026, amortization expense of intangible assets is expected to be as follows:</w:t>
            </w: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03"/>
        </w:trPr>
        <w:tc>
          <w:tcPr>
            <w:tcW w:w="8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30"/>
        </w:trPr>
        <w:tc>
          <w:tcPr>
            <w:tcW w:w="88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2027</w:t>
            </w:r>
          </w:p>
        </w:tc>
        <w:tc>
          <w:tcPr>
            <w:tcW w:w="660" w:type="dxa"/>
            <w:vAlign w:val="bottom"/>
            <w:shd w:val="clear" w:color="auto" w:fill="E2E2E2"/>
          </w:tcPr>
          <w:p>
            <w:pPr>
              <w:jc w:val="right"/>
              <w:ind w:right="46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25,915</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6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25,549</w:t>
            </w:r>
          </w:p>
        </w:tc>
      </w:tr>
      <w:tr>
        <w:trPr>
          <w:trHeight w:val="230"/>
        </w:trPr>
        <w:tc>
          <w:tcPr>
            <w:tcW w:w="88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2029</w:t>
            </w:r>
          </w:p>
        </w:tc>
        <w:tc>
          <w:tcPr>
            <w:tcW w:w="660" w:type="dxa"/>
            <w:vAlign w:val="bottom"/>
            <w:shd w:val="clear" w:color="auto" w:fill="E2E2E2"/>
          </w:tcPr>
          <w:p>
            <w:pPr>
              <w:spacing w:after="0"/>
              <w:rPr>
                <w:sz w:val="20"/>
                <w:szCs w:val="20"/>
                <w:color w:val="auto"/>
              </w:rPr>
            </w:pP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25,183</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6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24,822</w:t>
            </w:r>
          </w:p>
        </w:tc>
      </w:tr>
      <w:tr>
        <w:trPr>
          <w:trHeight w:val="230"/>
        </w:trPr>
        <w:tc>
          <w:tcPr>
            <w:tcW w:w="88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2031</w:t>
            </w:r>
          </w:p>
        </w:tc>
        <w:tc>
          <w:tcPr>
            <w:tcW w:w="660" w:type="dxa"/>
            <w:vAlign w:val="bottom"/>
            <w:shd w:val="clear" w:color="auto" w:fill="E2E2E2"/>
          </w:tcPr>
          <w:p>
            <w:pPr>
              <w:spacing w:after="0"/>
              <w:rPr>
                <w:sz w:val="20"/>
                <w:szCs w:val="20"/>
                <w:color w:val="auto"/>
              </w:rPr>
            </w:pP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24,397</w:t>
            </w:r>
          </w:p>
        </w:tc>
      </w:tr>
      <w:tr>
        <w:trPr>
          <w:trHeight w:val="230"/>
        </w:trPr>
        <w:tc>
          <w:tcPr>
            <w:tcW w:w="886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110,540</w:t>
            </w:r>
          </w:p>
        </w:tc>
      </w:tr>
      <w:tr>
        <w:trPr>
          <w:trHeight w:val="245"/>
        </w:trPr>
        <w:tc>
          <w:tcPr>
            <w:tcW w:w="8860" w:type="dxa"/>
            <w:vAlign w:val="bottom"/>
            <w:tcBorders>
              <w:bottom w:val="single" w:sz="8" w:color="E2E2E2"/>
            </w:tcBorders>
            <w:shd w:val="clear" w:color="auto" w:fill="E2E2E2"/>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rPr>
              <w:t>Total</w:t>
            </w:r>
          </w:p>
        </w:tc>
        <w:tc>
          <w:tcPr>
            <w:tcW w:w="660" w:type="dxa"/>
            <w:vAlign w:val="bottom"/>
            <w:tcBorders>
              <w:bottom w:val="single" w:sz="8" w:color="auto"/>
            </w:tcBorders>
            <w:shd w:val="clear" w:color="auto" w:fill="E2E2E2"/>
          </w:tcPr>
          <w:p>
            <w:pPr>
              <w:jc w:val="right"/>
              <w:ind w:right="4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236,406</w:t>
            </w:r>
          </w:p>
        </w:tc>
      </w:tr>
      <w:tr>
        <w:trPr>
          <w:trHeight w:val="20"/>
        </w:trPr>
        <w:tc>
          <w:tcPr>
            <w:tcW w:w="8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540" w:hanging="540"/>
        <w:spacing w:after="0"/>
        <w:tabs>
          <w:tab w:leader="none" w:pos="54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Assets, Net</w:t>
      </w:r>
    </w:p>
    <w:p>
      <w:pPr>
        <w:spacing w:after="0" w:line="124" w:lineRule="exact"/>
        <w:rPr>
          <w:rFonts w:ascii="Times New Roman" w:cs="Times New Roman" w:eastAsia="Times New Roman" w:hAnsi="Times New Roman"/>
          <w:sz w:val="20"/>
          <w:szCs w:val="20"/>
          <w:b w:val="1"/>
          <w:bCs w:val="1"/>
          <w:color w:val="auto"/>
        </w:rPr>
      </w:pPr>
    </w:p>
    <w:p>
      <w:pPr>
        <w:ind w:left="5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composition of other assets, net was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March 28,</w:t>
            </w:r>
          </w:p>
        </w:tc>
      </w:tr>
      <w:tr>
        <w:trPr>
          <w:trHeight w:val="203"/>
        </w:trPr>
        <w:tc>
          <w:tcPr>
            <w:tcW w:w="734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7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Deposits</w:t>
            </w:r>
          </w:p>
        </w:tc>
        <w:tc>
          <w:tcPr>
            <w:tcW w:w="26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12,202</w:t>
            </w:r>
          </w:p>
        </w:tc>
        <w:tc>
          <w:tcPr>
            <w:tcW w:w="180" w:type="dxa"/>
            <w:vAlign w:val="bottom"/>
            <w:shd w:val="clear" w:color="auto" w:fill="E2E2E2"/>
          </w:tcPr>
          <w:p>
            <w:pPr>
              <w:spacing w:after="0"/>
              <w:rPr>
                <w:sz w:val="20"/>
                <w:szCs w:val="20"/>
                <w:color w:val="auto"/>
              </w:rPr>
            </w:pPr>
          </w:p>
        </w:tc>
        <w:tc>
          <w:tcPr>
            <w:tcW w:w="26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18,876</w:t>
            </w:r>
          </w:p>
        </w:tc>
      </w:tr>
      <w:tr>
        <w:trPr>
          <w:trHeight w:val="24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Other taxes receivable long-term</w:t>
            </w:r>
          </w:p>
        </w:tc>
        <w:tc>
          <w:tcPr>
            <w:tcW w:w="260" w:type="dxa"/>
            <w:vAlign w:val="bottom"/>
          </w:tcPr>
          <w:p>
            <w:pPr>
              <w:spacing w:after="0"/>
              <w:rPr>
                <w:sz w:val="21"/>
                <w:szCs w:val="21"/>
                <w:color w:val="auto"/>
              </w:rPr>
            </w:pPr>
          </w:p>
        </w:tc>
        <w:tc>
          <w:tcPr>
            <w:tcW w:w="140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6,183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5,087</w:t>
            </w:r>
          </w:p>
        </w:tc>
      </w:tr>
      <w:tr>
        <w:trPr>
          <w:trHeight w:val="244"/>
        </w:trPr>
        <w:tc>
          <w:tcPr>
            <w:tcW w:w="7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Income taxes receivable long-term</w:t>
            </w:r>
          </w:p>
        </w:tc>
        <w:tc>
          <w:tcPr>
            <w:tcW w:w="260" w:type="dxa"/>
            <w:vAlign w:val="bottom"/>
            <w:shd w:val="clear" w:color="auto" w:fill="E2E2E2"/>
          </w:tcPr>
          <w:p>
            <w:pPr>
              <w:spacing w:after="0"/>
              <w:rPr>
                <w:sz w:val="21"/>
                <w:szCs w:val="21"/>
                <w:color w:val="auto"/>
              </w:rPr>
            </w:pPr>
          </w:p>
        </w:tc>
        <w:tc>
          <w:tcPr>
            <w:tcW w:w="1400" w:type="dxa"/>
            <w:vAlign w:val="bottom"/>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4,733</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13,279</w:t>
            </w:r>
          </w:p>
        </w:tc>
      </w:tr>
      <w:tr>
        <w:trPr>
          <w:trHeight w:val="24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Investment in debt security</w:t>
            </w:r>
          </w:p>
        </w:tc>
        <w:tc>
          <w:tcPr>
            <w:tcW w:w="260" w:type="dxa"/>
            <w:vAlign w:val="bottom"/>
          </w:tcPr>
          <w:p>
            <w:pPr>
              <w:spacing w:after="0"/>
              <w:rPr>
                <w:sz w:val="21"/>
                <w:szCs w:val="21"/>
                <w:color w:val="auto"/>
              </w:rPr>
            </w:pPr>
          </w:p>
        </w:tc>
        <w:tc>
          <w:tcPr>
            <w:tcW w:w="140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3,477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7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VAT receivables long-term</w:t>
            </w:r>
          </w:p>
        </w:tc>
        <w:tc>
          <w:tcPr>
            <w:tcW w:w="260" w:type="dxa"/>
            <w:vAlign w:val="bottom"/>
            <w:shd w:val="clear" w:color="auto" w:fill="E2E2E2"/>
          </w:tcPr>
          <w:p>
            <w:pPr>
              <w:spacing w:after="0"/>
              <w:rPr>
                <w:sz w:val="21"/>
                <w:szCs w:val="21"/>
                <w:color w:val="auto"/>
              </w:rPr>
            </w:pPr>
          </w:p>
        </w:tc>
        <w:tc>
          <w:tcPr>
            <w:tcW w:w="1400" w:type="dxa"/>
            <w:vAlign w:val="bottom"/>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1,692</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10,227</w:t>
            </w:r>
          </w:p>
        </w:tc>
      </w:tr>
      <w:tr>
        <w:trPr>
          <w:trHeight w:val="244"/>
        </w:trPr>
        <w:tc>
          <w:tcPr>
            <w:tcW w:w="734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2,954</w:t>
            </w:r>
          </w:p>
        </w:tc>
        <w:tc>
          <w:tcPr>
            <w:tcW w:w="180" w:type="dxa"/>
            <w:vAlign w:val="bottom"/>
            <w:tcBorders>
              <w:bottom w:val="single" w:sz="8" w:color="E2E2E2"/>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1,875</w:t>
            </w:r>
          </w:p>
        </w:tc>
      </w:tr>
      <w:tr>
        <w:trPr>
          <w:trHeight w:val="259"/>
        </w:trPr>
        <w:tc>
          <w:tcPr>
            <w:tcW w:w="734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6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31,241</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49,344</w:t>
            </w:r>
          </w:p>
        </w:tc>
      </w:tr>
      <w:tr>
        <w:trPr>
          <w:trHeight w:val="20"/>
        </w:trPr>
        <w:tc>
          <w:tcPr>
            <w:tcW w:w="7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hanging="540"/>
        <w:spacing w:after="0"/>
        <w:tabs>
          <w:tab w:leader="none" w:pos="54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Accrued Expenses and Other Current Liabilities</w:t>
      </w:r>
    </w:p>
    <w:p>
      <w:pPr>
        <w:spacing w:after="0" w:line="124" w:lineRule="exact"/>
        <w:rPr>
          <w:rFonts w:ascii="Times New Roman" w:cs="Times New Roman" w:eastAsia="Times New Roman" w:hAnsi="Times New Roman"/>
          <w:sz w:val="20"/>
          <w:szCs w:val="20"/>
          <w:b w:val="1"/>
          <w:bCs w:val="1"/>
          <w:color w:val="auto"/>
        </w:rPr>
      </w:pPr>
    </w:p>
    <w:p>
      <w:pPr>
        <w:ind w:left="5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composition of accrued expenses and other current liabilities was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March 28,</w:t>
            </w:r>
          </w:p>
        </w:tc>
      </w:tr>
      <w:tr>
        <w:trPr>
          <w:trHeight w:val="203"/>
        </w:trPr>
        <w:tc>
          <w:tcPr>
            <w:tcW w:w="734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7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Accrued incentive programs</w:t>
            </w:r>
          </w:p>
        </w:tc>
        <w:tc>
          <w:tcPr>
            <w:tcW w:w="26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shd w:val="clear" w:color="auto" w:fill="E2E2E2"/>
          </w:tcPr>
          <w:p>
            <w:pPr>
              <w:jc w:val="right"/>
              <w:ind w:right="23"/>
              <w:spacing w:after="0"/>
              <w:rPr>
                <w:sz w:val="20"/>
                <w:szCs w:val="20"/>
                <w:color w:val="auto"/>
              </w:rPr>
            </w:pPr>
            <w:r>
              <w:rPr>
                <w:rFonts w:ascii="Times New Roman" w:cs="Times New Roman" w:eastAsia="Times New Roman" w:hAnsi="Times New Roman"/>
                <w:sz w:val="20"/>
                <w:szCs w:val="20"/>
                <w:color w:val="auto"/>
              </w:rPr>
              <w:t>44,098</w:t>
            </w:r>
          </w:p>
        </w:tc>
        <w:tc>
          <w:tcPr>
            <w:tcW w:w="180" w:type="dxa"/>
            <w:vAlign w:val="bottom"/>
            <w:shd w:val="clear" w:color="auto" w:fill="E2E2E2"/>
          </w:tcPr>
          <w:p>
            <w:pPr>
              <w:spacing w:after="0"/>
              <w:rPr>
                <w:sz w:val="20"/>
                <w:szCs w:val="20"/>
                <w:color w:val="auto"/>
              </w:rPr>
            </w:pPr>
          </w:p>
        </w:tc>
        <w:tc>
          <w:tcPr>
            <w:tcW w:w="26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11,368</w:t>
            </w:r>
          </w:p>
        </w:tc>
      </w:tr>
      <w:tr>
        <w:trPr>
          <w:trHeight w:val="24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Accrued salaries, wages and retirement benefits</w:t>
            </w:r>
          </w:p>
        </w:tc>
        <w:tc>
          <w:tcPr>
            <w:tcW w:w="260" w:type="dxa"/>
            <w:vAlign w:val="bottom"/>
          </w:tcPr>
          <w:p>
            <w:pPr>
              <w:spacing w:after="0"/>
              <w:rPr>
                <w:sz w:val="21"/>
                <w:szCs w:val="21"/>
                <w:color w:val="auto"/>
              </w:rPr>
            </w:pPr>
          </w:p>
        </w:tc>
        <w:tc>
          <w:tcPr>
            <w:tcW w:w="14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18,582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19,555</w:t>
            </w:r>
          </w:p>
        </w:tc>
      </w:tr>
      <w:tr>
        <w:trPr>
          <w:trHeight w:val="244"/>
        </w:trPr>
        <w:tc>
          <w:tcPr>
            <w:tcW w:w="7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Accrued professional fees</w:t>
            </w:r>
          </w:p>
        </w:tc>
        <w:tc>
          <w:tcPr>
            <w:tcW w:w="260" w:type="dxa"/>
            <w:vAlign w:val="bottom"/>
            <w:shd w:val="clear" w:color="auto" w:fill="E2E2E2"/>
          </w:tcPr>
          <w:p>
            <w:pPr>
              <w:spacing w:after="0"/>
              <w:rPr>
                <w:sz w:val="21"/>
                <w:szCs w:val="21"/>
                <w:color w:val="auto"/>
              </w:rPr>
            </w:pPr>
          </w:p>
        </w:tc>
        <w:tc>
          <w:tcPr>
            <w:tcW w:w="1400" w:type="dxa"/>
            <w:vAlign w:val="bottom"/>
            <w:shd w:val="clear" w:color="auto" w:fill="E2E2E2"/>
          </w:tcPr>
          <w:p>
            <w:pPr>
              <w:jc w:val="right"/>
              <w:ind w:right="23"/>
              <w:spacing w:after="0"/>
              <w:rPr>
                <w:sz w:val="20"/>
                <w:szCs w:val="20"/>
                <w:color w:val="auto"/>
              </w:rPr>
            </w:pPr>
            <w:r>
              <w:rPr>
                <w:rFonts w:ascii="Times New Roman" w:cs="Times New Roman" w:eastAsia="Times New Roman" w:hAnsi="Times New Roman"/>
                <w:sz w:val="20"/>
                <w:szCs w:val="20"/>
                <w:color w:val="auto"/>
              </w:rPr>
              <w:t>4,601</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6,132</w:t>
            </w:r>
          </w:p>
        </w:tc>
      </w:tr>
      <w:tr>
        <w:trPr>
          <w:trHeight w:val="24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Accrued income taxes</w:t>
            </w:r>
          </w:p>
        </w:tc>
        <w:tc>
          <w:tcPr>
            <w:tcW w:w="260" w:type="dxa"/>
            <w:vAlign w:val="bottom"/>
          </w:tcPr>
          <w:p>
            <w:pPr>
              <w:spacing w:after="0"/>
              <w:rPr>
                <w:sz w:val="21"/>
                <w:szCs w:val="21"/>
                <w:color w:val="auto"/>
              </w:rPr>
            </w:pPr>
          </w:p>
        </w:tc>
        <w:tc>
          <w:tcPr>
            <w:tcW w:w="14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3,946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w:t>
            </w:r>
          </w:p>
        </w:tc>
      </w:tr>
      <w:tr>
        <w:trPr>
          <w:trHeight w:val="244"/>
        </w:trPr>
        <w:tc>
          <w:tcPr>
            <w:tcW w:w="7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Accrued vacation</w:t>
            </w:r>
          </w:p>
        </w:tc>
        <w:tc>
          <w:tcPr>
            <w:tcW w:w="260" w:type="dxa"/>
            <w:vAlign w:val="bottom"/>
            <w:shd w:val="clear" w:color="auto" w:fill="E2E2E2"/>
          </w:tcPr>
          <w:p>
            <w:pPr>
              <w:spacing w:after="0"/>
              <w:rPr>
                <w:sz w:val="21"/>
                <w:szCs w:val="21"/>
                <w:color w:val="auto"/>
              </w:rPr>
            </w:pPr>
          </w:p>
        </w:tc>
        <w:tc>
          <w:tcPr>
            <w:tcW w:w="1400" w:type="dxa"/>
            <w:vAlign w:val="bottom"/>
            <w:shd w:val="clear" w:color="auto" w:fill="E2E2E2"/>
          </w:tcPr>
          <w:p>
            <w:pPr>
              <w:jc w:val="right"/>
              <w:ind w:right="23"/>
              <w:spacing w:after="0"/>
              <w:rPr>
                <w:sz w:val="20"/>
                <w:szCs w:val="20"/>
                <w:color w:val="auto"/>
              </w:rPr>
            </w:pPr>
            <w:r>
              <w:rPr>
                <w:rFonts w:ascii="Times New Roman" w:cs="Times New Roman" w:eastAsia="Times New Roman" w:hAnsi="Times New Roman"/>
                <w:sz w:val="20"/>
                <w:szCs w:val="20"/>
                <w:color w:val="auto"/>
              </w:rPr>
              <w:t>3,596</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3,566</w:t>
            </w:r>
          </w:p>
        </w:tc>
      </w:tr>
      <w:tr>
        <w:trPr>
          <w:trHeight w:val="24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Accrued warranty costs</w:t>
            </w:r>
          </w:p>
        </w:tc>
        <w:tc>
          <w:tcPr>
            <w:tcW w:w="260" w:type="dxa"/>
            <w:vAlign w:val="bottom"/>
          </w:tcPr>
          <w:p>
            <w:pPr>
              <w:spacing w:after="0"/>
              <w:rPr>
                <w:sz w:val="21"/>
                <w:szCs w:val="21"/>
                <w:color w:val="auto"/>
              </w:rPr>
            </w:pPr>
          </w:p>
        </w:tc>
        <w:tc>
          <w:tcPr>
            <w:tcW w:w="14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3,193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1,026</w:t>
            </w:r>
          </w:p>
        </w:tc>
      </w:tr>
      <w:tr>
        <w:trPr>
          <w:trHeight w:val="244"/>
        </w:trPr>
        <w:tc>
          <w:tcPr>
            <w:tcW w:w="7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Accrued severance</w:t>
            </w:r>
          </w:p>
        </w:tc>
        <w:tc>
          <w:tcPr>
            <w:tcW w:w="260" w:type="dxa"/>
            <w:vAlign w:val="bottom"/>
            <w:shd w:val="clear" w:color="auto" w:fill="E2E2E2"/>
          </w:tcPr>
          <w:p>
            <w:pPr>
              <w:spacing w:after="0"/>
              <w:rPr>
                <w:sz w:val="21"/>
                <w:szCs w:val="21"/>
                <w:color w:val="auto"/>
              </w:rPr>
            </w:pPr>
          </w:p>
        </w:tc>
        <w:tc>
          <w:tcPr>
            <w:tcW w:w="1400" w:type="dxa"/>
            <w:vAlign w:val="bottom"/>
            <w:shd w:val="clear" w:color="auto" w:fill="E2E2E2"/>
          </w:tcPr>
          <w:p>
            <w:pPr>
              <w:jc w:val="right"/>
              <w:ind w:right="23"/>
              <w:spacing w:after="0"/>
              <w:rPr>
                <w:sz w:val="20"/>
                <w:szCs w:val="20"/>
                <w:color w:val="auto"/>
              </w:rPr>
            </w:pPr>
            <w:r>
              <w:rPr>
                <w:rFonts w:ascii="Times New Roman" w:cs="Times New Roman" w:eastAsia="Times New Roman" w:hAnsi="Times New Roman"/>
                <w:sz w:val="20"/>
                <w:szCs w:val="20"/>
                <w:color w:val="auto"/>
              </w:rPr>
              <w:t>1,981</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2,336</w:t>
            </w:r>
          </w:p>
        </w:tc>
      </w:tr>
      <w:tr>
        <w:trPr>
          <w:trHeight w:val="24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Accrued interest</w:t>
            </w:r>
          </w:p>
        </w:tc>
        <w:tc>
          <w:tcPr>
            <w:tcW w:w="260" w:type="dxa"/>
            <w:vAlign w:val="bottom"/>
          </w:tcPr>
          <w:p>
            <w:pPr>
              <w:spacing w:after="0"/>
              <w:rPr>
                <w:sz w:val="21"/>
                <w:szCs w:val="21"/>
                <w:color w:val="auto"/>
              </w:rPr>
            </w:pPr>
          </w:p>
        </w:tc>
        <w:tc>
          <w:tcPr>
            <w:tcW w:w="14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1,515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w:t>
            </w:r>
          </w:p>
        </w:tc>
      </w:tr>
      <w:tr>
        <w:trPr>
          <w:trHeight w:val="244"/>
        </w:trPr>
        <w:tc>
          <w:tcPr>
            <w:tcW w:w="7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Accrued contingent consideration</w:t>
            </w:r>
          </w:p>
        </w:tc>
        <w:tc>
          <w:tcPr>
            <w:tcW w:w="260" w:type="dxa"/>
            <w:vAlign w:val="bottom"/>
            <w:shd w:val="clear" w:color="auto" w:fill="E2E2E2"/>
          </w:tcPr>
          <w:p>
            <w:pPr>
              <w:spacing w:after="0"/>
              <w:rPr>
                <w:sz w:val="21"/>
                <w:szCs w:val="21"/>
                <w:color w:val="auto"/>
              </w:rPr>
            </w:pPr>
          </w:p>
        </w:tc>
        <w:tc>
          <w:tcPr>
            <w:tcW w:w="1400" w:type="dxa"/>
            <w:vAlign w:val="bottom"/>
            <w:shd w:val="clear" w:color="auto" w:fill="E2E2E2"/>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5,000</w:t>
            </w:r>
          </w:p>
        </w:tc>
      </w:tr>
      <w:tr>
        <w:trPr>
          <w:trHeight w:val="244"/>
        </w:trPr>
        <w:tc>
          <w:tcPr>
            <w:tcW w:w="734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7,960</w:t>
            </w:r>
          </w:p>
        </w:tc>
        <w:tc>
          <w:tcPr>
            <w:tcW w:w="180" w:type="dxa"/>
            <w:vAlign w:val="bottom"/>
            <w:tcBorders>
              <w:bottom w:val="single" w:sz="8" w:color="E2E2E2"/>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8,842</w:t>
            </w:r>
          </w:p>
        </w:tc>
      </w:tr>
      <w:tr>
        <w:trPr>
          <w:trHeight w:val="259"/>
        </w:trPr>
        <w:tc>
          <w:tcPr>
            <w:tcW w:w="734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6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shd w:val="clear" w:color="auto" w:fill="E2E2E2"/>
          </w:tcPr>
          <w:p>
            <w:pPr>
              <w:jc w:val="right"/>
              <w:ind w:right="23"/>
              <w:spacing w:after="0"/>
              <w:rPr>
                <w:sz w:val="20"/>
                <w:szCs w:val="20"/>
                <w:color w:val="auto"/>
              </w:rPr>
            </w:pPr>
            <w:r>
              <w:rPr>
                <w:rFonts w:ascii="Times New Roman" w:cs="Times New Roman" w:eastAsia="Times New Roman" w:hAnsi="Times New Roman"/>
                <w:sz w:val="20"/>
                <w:szCs w:val="20"/>
                <w:color w:val="auto"/>
              </w:rPr>
              <w:t>89,472</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60,083</w:t>
            </w:r>
          </w:p>
        </w:tc>
      </w:tr>
      <w:tr>
        <w:trPr>
          <w:trHeight w:val="20"/>
        </w:trPr>
        <w:tc>
          <w:tcPr>
            <w:tcW w:w="7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10800"/>
          </w:cols>
          <w:pgMar w:left="720" w:top="696" w:right="720" w:bottom="187" w:gutter="0" w:footer="0" w:header="0"/>
          <w:type w:val="continuous"/>
        </w:sectPr>
      </w:pPr>
    </w:p>
    <w:bookmarkStart w:id="92" w:name="page93"/>
    <w:bookmarkEnd w:id="9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4" w:lineRule="exact"/>
        <w:rPr>
          <w:sz w:val="20"/>
          <w:szCs w:val="20"/>
          <w:color w:val="auto"/>
        </w:rPr>
      </w:pPr>
    </w:p>
    <w:p>
      <w:pPr>
        <w:ind w:left="540" w:hanging="540"/>
        <w:spacing w:after="0"/>
        <w:tabs>
          <w:tab w:leader="none" w:pos="54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124"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The Company leases real estate, equipment and vehicles under operating lease agreements that have initial terms ranging from one to 13 years. Some leases include one or more options to exercise renewal terms, generally at the Company’s sole discretion, that can extend the lease term. Certain leases contain rights to terminate whereby those termination options are held by either the Company, the lessor, or both parties. These options to extend or terminate a lease are included in the lease term only when it is reasonably certain that the Company will exercise that option. The Company’s leases generally do not contain any material restrictive covenants.</w:t>
      </w:r>
    </w:p>
    <w:p>
      <w:pPr>
        <w:spacing w:after="0" w:line="8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Operating lease cost is recognized on a straight-line basis over the lease term, while finance lease cost is amortized over the expected term on a straight-line basis. Information regarding the Company’s operating and finance leases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289"/>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289"/>
              <w:spacing w:after="0" w:line="160"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69"/>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Operating leases</w:t>
            </w:r>
          </w:p>
        </w:tc>
        <w:tc>
          <w:tcPr>
            <w:tcW w:w="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0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8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6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Operating lease expense</w:t>
            </w:r>
          </w:p>
        </w:tc>
        <w:tc>
          <w:tcPr>
            <w:tcW w:w="8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2E2E2"/>
          </w:tcPr>
          <w:p>
            <w:pPr>
              <w:jc w:val="right"/>
              <w:ind w:right="129"/>
              <w:spacing w:after="0"/>
              <w:rPr>
                <w:sz w:val="20"/>
                <w:szCs w:val="20"/>
                <w:color w:val="auto"/>
              </w:rPr>
            </w:pPr>
            <w:r>
              <w:rPr>
                <w:rFonts w:ascii="Times New Roman" w:cs="Times New Roman" w:eastAsia="Times New Roman" w:hAnsi="Times New Roman"/>
                <w:sz w:val="20"/>
                <w:szCs w:val="20"/>
                <w:color w:val="auto"/>
              </w:rPr>
              <w:t>10,606</w:t>
            </w:r>
          </w:p>
        </w:tc>
        <w:tc>
          <w:tcPr>
            <w:tcW w:w="32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2E2E2"/>
          </w:tcPr>
          <w:p>
            <w:pPr>
              <w:jc w:val="right"/>
              <w:ind w:right="109"/>
              <w:spacing w:after="0"/>
              <w:rPr>
                <w:sz w:val="20"/>
                <w:szCs w:val="20"/>
                <w:color w:val="auto"/>
              </w:rPr>
            </w:pPr>
            <w:r>
              <w:rPr>
                <w:rFonts w:ascii="Times New Roman" w:cs="Times New Roman" w:eastAsia="Times New Roman" w:hAnsi="Times New Roman"/>
                <w:sz w:val="20"/>
                <w:szCs w:val="20"/>
                <w:color w:val="auto"/>
              </w:rPr>
              <w:t>7,695</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6,369</w:t>
            </w:r>
          </w:p>
        </w:tc>
        <w:tc>
          <w:tcPr>
            <w:tcW w:w="2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Short term lease expense</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20"/>
                <w:szCs w:val="20"/>
                <w:color w:val="auto"/>
              </w:rPr>
              <w:t>274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20"/>
                <w:szCs w:val="20"/>
                <w:color w:val="auto"/>
              </w:rPr>
              <w:t>301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Other information:</w:t>
            </w:r>
          </w:p>
        </w:tc>
        <w:tc>
          <w:tcPr>
            <w:tcW w:w="64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24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22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02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Cash paid for operating leases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20"/>
                <w:szCs w:val="20"/>
                <w:color w:val="auto"/>
              </w:rPr>
              <w:t>6,995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20"/>
                <w:szCs w:val="20"/>
                <w:color w:val="auto"/>
              </w:rPr>
              <w:t>7,064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6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Weighted-average remaining lease term - operating leases</w:t>
            </w:r>
          </w:p>
        </w:tc>
        <w:tc>
          <w:tcPr>
            <w:tcW w:w="64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240" w:type="dxa"/>
            <w:vAlign w:val="bottom"/>
            <w:shd w:val="clear" w:color="auto" w:fill="E2E2E2"/>
          </w:tcPr>
          <w:p>
            <w:pPr>
              <w:jc w:val="right"/>
              <w:ind w:right="129"/>
              <w:spacing w:after="0"/>
              <w:rPr>
                <w:sz w:val="20"/>
                <w:szCs w:val="20"/>
                <w:color w:val="auto"/>
              </w:rPr>
            </w:pPr>
            <w:r>
              <w:rPr>
                <w:rFonts w:ascii="Times New Roman" w:cs="Times New Roman" w:eastAsia="Times New Roman" w:hAnsi="Times New Roman"/>
                <w:sz w:val="20"/>
                <w:szCs w:val="20"/>
                <w:color w:val="auto"/>
              </w:rPr>
              <w:t>5.1 years</w:t>
            </w:r>
          </w:p>
        </w:tc>
        <w:tc>
          <w:tcPr>
            <w:tcW w:w="14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220" w:type="dxa"/>
            <w:vAlign w:val="bottom"/>
            <w:shd w:val="clear" w:color="auto" w:fill="E2E2E2"/>
          </w:tcPr>
          <w:p>
            <w:pPr>
              <w:jc w:val="right"/>
              <w:ind w:right="109"/>
              <w:spacing w:after="0"/>
              <w:rPr>
                <w:sz w:val="20"/>
                <w:szCs w:val="20"/>
                <w:color w:val="auto"/>
              </w:rPr>
            </w:pPr>
            <w:r>
              <w:rPr>
                <w:rFonts w:ascii="Times New Roman" w:cs="Times New Roman" w:eastAsia="Times New Roman" w:hAnsi="Times New Roman"/>
                <w:sz w:val="20"/>
                <w:szCs w:val="20"/>
                <w:color w:val="auto"/>
              </w:rPr>
              <w:t>5.3 years</w:t>
            </w:r>
          </w:p>
        </w:tc>
        <w:tc>
          <w:tcPr>
            <w:tcW w:w="1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24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auto"/>
              </w:rPr>
              <w:t>4.4 years</w:t>
            </w:r>
          </w:p>
        </w:tc>
        <w:tc>
          <w:tcPr>
            <w:tcW w:w="0" w:type="dxa"/>
            <w:vAlign w:val="bottom"/>
          </w:tcPr>
          <w:p>
            <w:pPr>
              <w:spacing w:after="0"/>
              <w:rPr>
                <w:sz w:val="1"/>
                <w:szCs w:val="1"/>
                <w:color w:val="auto"/>
              </w:rPr>
            </w:pPr>
          </w:p>
        </w:tc>
      </w:tr>
      <w:tr>
        <w:trPr>
          <w:trHeight w:val="266"/>
        </w:trPr>
        <w:tc>
          <w:tcPr>
            <w:tcW w:w="56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Weighted-average discount rate – operating leases</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636"/>
        </w:trPr>
        <w:tc>
          <w:tcPr>
            <w:tcW w:w="5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309"/>
              <w:spacing w:after="0" w:line="174"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309"/>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69"/>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0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8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-2021840</wp:posOffset>
            </wp:positionV>
            <wp:extent cx="276606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0">
                      <a:extLst>
                        <a:ext uri="{28A0092B-C50C-407E-A947-70E740481C1C}"/>
                      </a:extLst>
                    </a:blip>
                    <a:srcRect/>
                    <a:stretch>
                      <a:fillRect/>
                    </a:stretch>
                  </pic:blipFill>
                  <pic:spPr bwMode="auto">
                    <a:xfrm>
                      <a:off x="0" y="0"/>
                      <a:ext cx="2766060" cy="3810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-275590</wp:posOffset>
            </wp:positionV>
            <wp:extent cx="276606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1">
                      <a:extLst>
                        <a:ext uri="{28A0092B-C50C-407E-A947-70E740481C1C}"/>
                      </a:extLst>
                    </a:blip>
                    <a:srcRect/>
                    <a:stretch>
                      <a:fillRect/>
                    </a:stretch>
                  </pic:blipFill>
                  <pic:spPr bwMode="auto">
                    <a:xfrm>
                      <a:off x="0" y="0"/>
                      <a:ext cx="2766060" cy="38100"/>
                    </a:xfrm>
                    <a:prstGeom prst="rect">
                      <a:avLst/>
                    </a:prstGeom>
                    <a:noFill/>
                  </pic:spPr>
                </pic:pic>
              </a:graphicData>
            </a:graphic>
          </wp:anchor>
        </w:drawing>
      </w:r>
    </w:p>
    <w:p>
      <w:pPr>
        <w:sectPr>
          <w:pgSz w:w="12240" w:h="15840" w:orient="portrait"/>
          <w:cols w:equalWidth="0" w:num="1">
            <w:col w:w="10800"/>
          </w:cols>
          <w:pgMar w:left="720" w:top="696" w:right="720" w:bottom="187" w:gutter="0" w:footer="0" w:header="0"/>
        </w:sectPr>
      </w:pPr>
    </w:p>
    <w:p>
      <w:pPr>
        <w:spacing w:after="0"/>
        <w:rPr>
          <w:sz w:val="20"/>
          <w:szCs w:val="20"/>
          <w:color w:val="auto"/>
        </w:rPr>
      </w:pPr>
      <w:r>
        <w:rPr>
          <w:rFonts w:ascii="Times New Roman" w:cs="Times New Roman" w:eastAsia="Times New Roman" w:hAnsi="Times New Roman"/>
          <w:sz w:val="20"/>
          <w:szCs w:val="20"/>
          <w:b w:val="1"/>
          <w:bCs w:val="1"/>
          <w:color w:val="auto"/>
        </w:rPr>
        <w:t>Finance leases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17780</wp:posOffset>
                </wp:positionV>
                <wp:extent cx="6858000" cy="16383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63830"/>
                        </a:xfrm>
                        <a:prstGeom prst="rect">
                          <a:avLst/>
                        </a:prstGeom>
                        <a:solidFill>
                          <a:srgbClr val="E3E3E3"/>
                        </a:solidFill>
                      </wps:spPr>
                      <wps:bodyPr/>
                    </wps:wsp>
                  </a:graphicData>
                </a:graphic>
              </wp:anchor>
            </w:drawing>
          </mc:Choice>
          <mc:Fallback>
            <w:pict>
              <v:rect id="Shape 47" o:spid="_x0000_s1072" style="position:absolute;margin-left:0pt;margin-top:1.4pt;width:540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Amortization of right-of-use assets</w:t>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Interest on lease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16510</wp:posOffset>
                </wp:positionV>
                <wp:extent cx="6858000" cy="16383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63830"/>
                        </a:xfrm>
                        <a:prstGeom prst="rect">
                          <a:avLst/>
                        </a:prstGeom>
                        <a:solidFill>
                          <a:srgbClr val="E3E3E3"/>
                        </a:solidFill>
                      </wps:spPr>
                      <wps:bodyPr/>
                    </wps:wsp>
                  </a:graphicData>
                </a:graphic>
              </wp:anchor>
            </w:drawing>
          </mc:Choice>
          <mc:Fallback>
            <w:pict>
              <v:rect id="Shape 48" o:spid="_x0000_s1073" style="position:absolute;margin-left:0pt;margin-top:1.3pt;width:540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Weighted-average remaining lease term - finance leases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Weighted-average discount rate - finance leases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1,392</w:t>
            </w: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1,397</w:t>
            </w: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581</w:t>
            </w:r>
          </w:p>
        </w:tc>
      </w:tr>
      <w:tr>
        <w:trPr>
          <w:trHeight w:val="258"/>
        </w:trPr>
        <w:tc>
          <w:tcPr>
            <w:tcW w:w="260" w:type="dxa"/>
            <w:vAlign w:val="bottom"/>
          </w:tcPr>
          <w:p>
            <w:pPr>
              <w:spacing w:after="0"/>
              <w:rPr>
                <w:sz w:val="22"/>
                <w:szCs w:val="22"/>
                <w:color w:val="auto"/>
              </w:rPr>
            </w:pPr>
          </w:p>
        </w:tc>
        <w:tc>
          <w:tcPr>
            <w:tcW w:w="11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276</w:t>
            </w:r>
          </w:p>
        </w:tc>
        <w:tc>
          <w:tcPr>
            <w:tcW w:w="380" w:type="dxa"/>
            <w:vAlign w:val="bottom"/>
          </w:tcPr>
          <w:p>
            <w:pPr>
              <w:spacing w:after="0"/>
              <w:rPr>
                <w:sz w:val="22"/>
                <w:szCs w:val="22"/>
                <w:color w:val="auto"/>
              </w:rPr>
            </w:pPr>
          </w:p>
        </w:tc>
        <w:tc>
          <w:tcPr>
            <w:tcW w:w="11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246</w:t>
            </w:r>
          </w:p>
        </w:tc>
        <w:tc>
          <w:tcPr>
            <w:tcW w:w="380" w:type="dxa"/>
            <w:vAlign w:val="bottom"/>
          </w:tcPr>
          <w:p>
            <w:pPr>
              <w:spacing w:after="0"/>
              <w:rPr>
                <w:sz w:val="22"/>
                <w:szCs w:val="22"/>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29</w:t>
            </w:r>
          </w:p>
        </w:tc>
      </w:tr>
      <w:tr>
        <w:trPr>
          <w:trHeight w:val="258"/>
        </w:trPr>
        <w:tc>
          <w:tcPr>
            <w:tcW w:w="260" w:type="dxa"/>
            <w:vAlign w:val="bottom"/>
          </w:tcPr>
          <w:p>
            <w:pPr>
              <w:spacing w:after="0"/>
              <w:rPr>
                <w:sz w:val="22"/>
                <w:szCs w:val="22"/>
                <w:color w:val="auto"/>
              </w:rPr>
            </w:pPr>
          </w:p>
        </w:tc>
        <w:tc>
          <w:tcPr>
            <w:tcW w:w="11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3.6 years</w:t>
            </w:r>
          </w:p>
        </w:tc>
        <w:tc>
          <w:tcPr>
            <w:tcW w:w="380" w:type="dxa"/>
            <w:vAlign w:val="bottom"/>
          </w:tcPr>
          <w:p>
            <w:pPr>
              <w:spacing w:after="0"/>
              <w:rPr>
                <w:sz w:val="22"/>
                <w:szCs w:val="22"/>
                <w:color w:val="auto"/>
              </w:rPr>
            </w:pPr>
          </w:p>
        </w:tc>
        <w:tc>
          <w:tcPr>
            <w:tcW w:w="11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4.6 years</w:t>
            </w:r>
          </w:p>
        </w:tc>
        <w:tc>
          <w:tcPr>
            <w:tcW w:w="380" w:type="dxa"/>
            <w:vAlign w:val="bottom"/>
          </w:tcPr>
          <w:p>
            <w:pPr>
              <w:spacing w:after="0"/>
              <w:rPr>
                <w:sz w:val="22"/>
                <w:szCs w:val="22"/>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5.6 years</w:t>
            </w:r>
          </w:p>
        </w:tc>
      </w:tr>
      <w:tr>
        <w:trPr>
          <w:trHeight w:val="266"/>
        </w:trPr>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bl>
    <w:p>
      <w:pPr>
        <w:spacing w:after="0" w:line="194" w:lineRule="exact"/>
        <w:rPr>
          <w:sz w:val="20"/>
          <w:szCs w:val="20"/>
          <w:color w:val="auto"/>
        </w:rPr>
      </w:pPr>
    </w:p>
    <w:p>
      <w:pPr>
        <w:sectPr>
          <w:pgSz w:w="12240" w:h="15840" w:orient="portrait"/>
          <w:cols w:equalWidth="0" w:num="2">
            <w:col w:w="5580" w:space="720"/>
            <w:col w:w="4500"/>
          </w:cols>
          <w:pgMar w:left="720" w:top="696" w:right="720" w:bottom="187" w:gutter="0" w:footer="0" w:header="0"/>
          <w:type w:val="continuous"/>
        </w:sectPr>
      </w:pPr>
    </w:p>
    <w:p>
      <w:pPr>
        <w:ind w:left="540"/>
        <w:spacing w:after="0"/>
        <w:rPr>
          <w:sz w:val="20"/>
          <w:szCs w:val="20"/>
          <w:color w:val="auto"/>
        </w:rPr>
      </w:pPr>
      <w:r>
        <w:rPr>
          <w:rFonts w:ascii="Times New Roman" w:cs="Times New Roman" w:eastAsia="Times New Roman" w:hAnsi="Times New Roman"/>
          <w:sz w:val="20"/>
          <w:szCs w:val="20"/>
          <w:color w:val="auto"/>
        </w:rPr>
        <w:t>Finance leases are recorded in the following line items within the consolidated balance sheets:</w:t>
      </w:r>
    </w:p>
    <w:p>
      <w:pPr>
        <w:sectPr>
          <w:pgSz w:w="12240" w:h="15840" w:orient="portrait"/>
          <w:cols w:equalWidth="0" w:num="1">
            <w:col w:w="10800"/>
          </w:cols>
          <w:pgMar w:left="720" w:top="696" w:right="720" w:bottom="187"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Property, plant and equipment,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-135255</wp:posOffset>
                </wp:positionV>
                <wp:extent cx="4666615" cy="16383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6615" cy="163830"/>
                        </a:xfrm>
                        <a:prstGeom prst="rect">
                          <a:avLst/>
                        </a:prstGeom>
                        <a:solidFill>
                          <a:srgbClr val="E2E2E2"/>
                        </a:solidFill>
                      </wps:spPr>
                      <wps:bodyPr/>
                    </wps:wsp>
                  </a:graphicData>
                </a:graphic>
              </wp:anchor>
            </w:drawing>
          </mc:Choice>
          <mc:Fallback>
            <w:pict>
              <v:rect id="Shape 49" o:spid="_x0000_s1074" style="position:absolute;margin-left:0pt;margin-top:-10.6499pt;width:367.4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Current portion of long-term debt</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Long-term debt</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380" w:type="dxa"/>
            <w:vAlign w:val="bottom"/>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March 28,</w:t>
            </w:r>
          </w:p>
        </w:tc>
      </w:tr>
      <w:tr>
        <w:trPr>
          <w:trHeight w:val="203"/>
        </w:trPr>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280" w:type="dxa"/>
            <w:vAlign w:val="bottom"/>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E2E2E2"/>
          </w:tcPr>
          <w:p>
            <w:pPr>
              <w:jc w:val="right"/>
              <w:ind w:right="8"/>
              <w:spacing w:after="0"/>
              <w:rPr>
                <w:sz w:val="20"/>
                <w:szCs w:val="20"/>
                <w:color w:val="auto"/>
              </w:rPr>
            </w:pPr>
            <w:r>
              <w:rPr>
                <w:rFonts w:ascii="Times New Roman" w:cs="Times New Roman" w:eastAsia="Times New Roman" w:hAnsi="Times New Roman"/>
                <w:sz w:val="20"/>
                <w:szCs w:val="20"/>
                <w:color w:val="auto"/>
              </w:rPr>
              <w:t>5,279</w:t>
            </w:r>
          </w:p>
        </w:tc>
        <w:tc>
          <w:tcPr>
            <w:tcW w:w="180" w:type="dxa"/>
            <w:vAlign w:val="bottom"/>
            <w:shd w:val="clear" w:color="auto" w:fill="E2E2E2"/>
          </w:tcPr>
          <w:p>
            <w:pPr>
              <w:spacing w:after="0"/>
              <w:rPr>
                <w:sz w:val="20"/>
                <w:szCs w:val="20"/>
                <w:color w:val="auto"/>
              </w:rPr>
            </w:pPr>
          </w:p>
        </w:tc>
        <w:tc>
          <w:tcPr>
            <w:tcW w:w="26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6,206</w:t>
            </w:r>
          </w:p>
        </w:tc>
      </w:tr>
      <w:tr>
        <w:trPr>
          <w:trHeight w:val="225"/>
        </w:trPr>
        <w:tc>
          <w:tcPr>
            <w:tcW w:w="280" w:type="dxa"/>
            <w:vAlign w:val="bottom"/>
          </w:tcPr>
          <w:p>
            <w:pPr>
              <w:spacing w:after="0"/>
              <w:rPr>
                <w:sz w:val="19"/>
                <w:szCs w:val="19"/>
                <w:color w:val="auto"/>
              </w:rPr>
            </w:pPr>
          </w:p>
        </w:tc>
        <w:tc>
          <w:tcPr>
            <w:tcW w:w="1380" w:type="dxa"/>
            <w:vAlign w:val="bottom"/>
          </w:tcPr>
          <w:p>
            <w:pPr>
              <w:jc w:val="right"/>
              <w:ind w:right="8"/>
              <w:spacing w:after="0" w:line="225" w:lineRule="exact"/>
              <w:rPr>
                <w:sz w:val="20"/>
                <w:szCs w:val="20"/>
                <w:color w:val="auto"/>
              </w:rPr>
            </w:pPr>
            <w:r>
              <w:rPr>
                <w:rFonts w:ascii="Times New Roman" w:cs="Times New Roman" w:eastAsia="Times New Roman" w:hAnsi="Times New Roman"/>
                <w:sz w:val="20"/>
                <w:szCs w:val="20"/>
                <w:color w:val="auto"/>
              </w:rPr>
              <w:t>1,530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1,423</w:t>
            </w:r>
          </w:p>
        </w:tc>
      </w:tr>
      <w:tr>
        <w:trPr>
          <w:trHeight w:val="266"/>
        </w:trPr>
        <w:tc>
          <w:tcPr>
            <w:tcW w:w="280" w:type="dxa"/>
            <w:vAlign w:val="bottom"/>
          </w:tcPr>
          <w:p>
            <w:pPr>
              <w:spacing w:after="0"/>
              <w:rPr>
                <w:sz w:val="23"/>
                <w:szCs w:val="23"/>
                <w:color w:val="auto"/>
              </w:rPr>
            </w:pP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4,862</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-4660900</wp:posOffset>
                </wp:positionH>
                <wp:positionV relativeFrom="paragraph">
                  <wp:posOffset>-156210</wp:posOffset>
                </wp:positionV>
                <wp:extent cx="6858000" cy="14605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6050"/>
                        </a:xfrm>
                        <a:prstGeom prst="rect">
                          <a:avLst/>
                        </a:prstGeom>
                        <a:solidFill>
                          <a:srgbClr val="E2E2E2"/>
                        </a:solidFill>
                      </wps:spPr>
                      <wps:bodyPr/>
                    </wps:wsp>
                  </a:graphicData>
                </a:graphic>
              </wp:anchor>
            </w:drawing>
          </mc:Choice>
          <mc:Fallback>
            <w:pict>
              <v:rect id="Shape 50" o:spid="_x0000_s1075" style="position:absolute;margin-left:-367pt;margin-top:-12.2999pt;width:540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94" w:lineRule="exact"/>
        <w:rPr>
          <w:sz w:val="20"/>
          <w:szCs w:val="20"/>
          <w:color w:val="auto"/>
        </w:rPr>
      </w:pPr>
    </w:p>
    <w:p>
      <w:pPr>
        <w:sectPr>
          <w:pgSz w:w="12240" w:h="15840" w:orient="portrait"/>
          <w:cols w:equalWidth="0" w:num="2">
            <w:col w:w="6620" w:space="720"/>
            <w:col w:w="3460"/>
          </w:cols>
          <w:pgMar w:left="720" w:top="696" w:right="720" w:bottom="187" w:gutter="0" w:footer="0" w:header="0"/>
          <w:type w:val="continuous"/>
        </w:sectPr>
      </w:pPr>
    </w:p>
    <w:p>
      <w:pPr>
        <w:ind w:left="540"/>
        <w:spacing w:after="0"/>
        <w:rPr>
          <w:sz w:val="20"/>
          <w:szCs w:val="20"/>
          <w:color w:val="auto"/>
        </w:rPr>
      </w:pPr>
      <w:r>
        <w:rPr>
          <w:rFonts w:ascii="Times New Roman" w:cs="Times New Roman" w:eastAsia="Times New Roman" w:hAnsi="Times New Roman"/>
          <w:sz w:val="20"/>
          <w:szCs w:val="20"/>
          <w:color w:val="auto"/>
        </w:rPr>
        <w:t>As of March 27, 2026, future minimum lease payments under operating and finance leases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Borders>
              <w:bottom w:val="single" w:sz="8" w:color="E2E2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8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25"/>
        </w:trPr>
        <w:tc>
          <w:tcPr>
            <w:tcW w:w="734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2027</w:t>
            </w:r>
          </w:p>
        </w:tc>
        <w:tc>
          <w:tcPr>
            <w:tcW w:w="14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shd w:val="clear" w:color="auto" w:fill="E2E2E2"/>
          </w:tcPr>
          <w:p>
            <w:pPr>
              <w:jc w:val="right"/>
              <w:ind w:right="2"/>
              <w:spacing w:after="0" w:line="225" w:lineRule="exact"/>
              <w:rPr>
                <w:sz w:val="20"/>
                <w:szCs w:val="20"/>
                <w:color w:val="auto"/>
              </w:rPr>
            </w:pPr>
            <w:r>
              <w:rPr>
                <w:rFonts w:ascii="Times New Roman" w:cs="Times New Roman" w:eastAsia="Times New Roman" w:hAnsi="Times New Roman"/>
                <w:sz w:val="20"/>
                <w:szCs w:val="20"/>
                <w:color w:val="auto"/>
              </w:rPr>
              <w:t>6,826</w:t>
            </w:r>
          </w:p>
        </w:tc>
        <w:tc>
          <w:tcPr>
            <w:tcW w:w="180" w:type="dxa"/>
            <w:vAlign w:val="bottom"/>
            <w:shd w:val="clear" w:color="auto" w:fill="E2E2E2"/>
          </w:tcPr>
          <w:p>
            <w:pPr>
              <w:spacing w:after="0"/>
              <w:rPr>
                <w:sz w:val="19"/>
                <w:szCs w:val="19"/>
                <w:color w:val="auto"/>
              </w:rPr>
            </w:pPr>
          </w:p>
        </w:tc>
        <w:tc>
          <w:tcPr>
            <w:tcW w:w="18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1,912</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40" w:type="dxa"/>
            <w:vAlign w:val="bottom"/>
          </w:tcPr>
          <w:p>
            <w:pPr>
              <w:spacing w:after="0"/>
              <w:rPr>
                <w:sz w:val="20"/>
                <w:szCs w:val="20"/>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5,372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1,912</w:t>
            </w:r>
          </w:p>
        </w:tc>
      </w:tr>
      <w:tr>
        <w:trPr>
          <w:trHeight w:val="230"/>
        </w:trPr>
        <w:tc>
          <w:tcPr>
            <w:tcW w:w="7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2029</w:t>
            </w:r>
          </w:p>
        </w:tc>
        <w:tc>
          <w:tcPr>
            <w:tcW w:w="140" w:type="dxa"/>
            <w:vAlign w:val="bottom"/>
            <w:shd w:val="clear" w:color="auto" w:fill="E2E2E2"/>
          </w:tcPr>
          <w:p>
            <w:pPr>
              <w:spacing w:after="0"/>
              <w:rPr>
                <w:sz w:val="20"/>
                <w:szCs w:val="20"/>
                <w:color w:val="auto"/>
              </w:rPr>
            </w:pPr>
          </w:p>
        </w:tc>
        <w:tc>
          <w:tcPr>
            <w:tcW w:w="150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3,126</w:t>
            </w:r>
          </w:p>
        </w:tc>
        <w:tc>
          <w:tcPr>
            <w:tcW w:w="18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1,912</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140" w:type="dxa"/>
            <w:vAlign w:val="bottom"/>
          </w:tcPr>
          <w:p>
            <w:pPr>
              <w:spacing w:after="0"/>
              <w:rPr>
                <w:sz w:val="20"/>
                <w:szCs w:val="20"/>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2,034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w:t>
            </w:r>
          </w:p>
        </w:tc>
      </w:tr>
      <w:tr>
        <w:trPr>
          <w:trHeight w:val="230"/>
        </w:trPr>
        <w:tc>
          <w:tcPr>
            <w:tcW w:w="7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2031</w:t>
            </w:r>
          </w:p>
        </w:tc>
        <w:tc>
          <w:tcPr>
            <w:tcW w:w="140" w:type="dxa"/>
            <w:vAlign w:val="bottom"/>
            <w:shd w:val="clear" w:color="auto" w:fill="E2E2E2"/>
          </w:tcPr>
          <w:p>
            <w:pPr>
              <w:spacing w:after="0"/>
              <w:rPr>
                <w:sz w:val="20"/>
                <w:szCs w:val="20"/>
                <w:color w:val="auto"/>
              </w:rPr>
            </w:pPr>
          </w:p>
        </w:tc>
        <w:tc>
          <w:tcPr>
            <w:tcW w:w="150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1,094</w:t>
            </w:r>
          </w:p>
        </w:tc>
        <w:tc>
          <w:tcPr>
            <w:tcW w:w="18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34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4,129</w:t>
            </w:r>
          </w:p>
        </w:tc>
        <w:tc>
          <w:tcPr>
            <w:tcW w:w="180" w:type="dxa"/>
            <w:vAlign w:val="bottom"/>
            <w:tcBorders>
              <w:bottom w:val="single" w:sz="8" w:color="E2E2E2"/>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5"/>
        </w:trPr>
        <w:tc>
          <w:tcPr>
            <w:tcW w:w="7340" w:type="dxa"/>
            <w:vAlign w:val="bottom"/>
            <w:shd w:val="clear" w:color="auto" w:fill="E2E2E2"/>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 lease payments</w:t>
            </w:r>
          </w:p>
        </w:tc>
        <w:tc>
          <w:tcPr>
            <w:tcW w:w="14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shd w:val="clear" w:color="auto" w:fill="E2E2E2"/>
          </w:tcPr>
          <w:p>
            <w:pPr>
              <w:jc w:val="right"/>
              <w:ind w:right="2"/>
              <w:spacing w:after="0" w:line="225" w:lineRule="exact"/>
              <w:rPr>
                <w:sz w:val="20"/>
                <w:szCs w:val="20"/>
                <w:color w:val="auto"/>
              </w:rPr>
            </w:pPr>
            <w:r>
              <w:rPr>
                <w:rFonts w:ascii="Times New Roman" w:cs="Times New Roman" w:eastAsia="Times New Roman" w:hAnsi="Times New Roman"/>
                <w:sz w:val="20"/>
                <w:szCs w:val="20"/>
                <w:color w:val="auto"/>
              </w:rPr>
              <w:t>22,581</w:t>
            </w:r>
          </w:p>
        </w:tc>
        <w:tc>
          <w:tcPr>
            <w:tcW w:w="180" w:type="dxa"/>
            <w:vAlign w:val="bottom"/>
            <w:shd w:val="clear" w:color="auto" w:fill="E2E2E2"/>
          </w:tcPr>
          <w:p>
            <w:pPr>
              <w:spacing w:after="0"/>
              <w:rPr>
                <w:sz w:val="19"/>
                <w:szCs w:val="19"/>
                <w:color w:val="auto"/>
              </w:rPr>
            </w:pPr>
          </w:p>
        </w:tc>
        <w:tc>
          <w:tcPr>
            <w:tcW w:w="18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7,438</w:t>
            </w:r>
          </w:p>
        </w:tc>
      </w:tr>
      <w:tr>
        <w:trPr>
          <w:trHeight w:val="230"/>
        </w:trPr>
        <w:tc>
          <w:tcPr>
            <w:tcW w:w="734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(3,945)</w:t>
            </w:r>
          </w:p>
        </w:tc>
        <w:tc>
          <w:tcPr>
            <w:tcW w:w="180" w:type="dxa"/>
            <w:vAlign w:val="bottom"/>
            <w:tcBorders>
              <w:bottom w:val="single" w:sz="8" w:color="E2E2E2"/>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(1,046)</w:t>
            </w:r>
          </w:p>
        </w:tc>
      </w:tr>
      <w:tr>
        <w:trPr>
          <w:trHeight w:val="245"/>
        </w:trPr>
        <w:tc>
          <w:tcPr>
            <w:tcW w:w="7340" w:type="dxa"/>
            <w:vAlign w:val="bottom"/>
            <w:tcBorders>
              <w:bottom w:val="single" w:sz="8" w:color="E2E2E2"/>
            </w:tcBorders>
            <w:shd w:val="clear" w:color="auto" w:fill="E2E2E2"/>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 lease liabilities</w:t>
            </w:r>
          </w:p>
        </w:tc>
        <w:tc>
          <w:tcPr>
            <w:tcW w:w="14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bottom w:val="single" w:sz="8" w:color="auto"/>
            </w:tcBorders>
            <w:shd w:val="clear" w:color="auto" w:fill="E2E2E2"/>
          </w:tcPr>
          <w:p>
            <w:pPr>
              <w:jc w:val="right"/>
              <w:ind w:right="2"/>
              <w:spacing w:after="0" w:line="225" w:lineRule="exact"/>
              <w:rPr>
                <w:sz w:val="20"/>
                <w:szCs w:val="20"/>
                <w:color w:val="auto"/>
              </w:rPr>
            </w:pPr>
            <w:r>
              <w:rPr>
                <w:rFonts w:ascii="Times New Roman" w:cs="Times New Roman" w:eastAsia="Times New Roman" w:hAnsi="Times New Roman"/>
                <w:sz w:val="20"/>
                <w:szCs w:val="20"/>
                <w:color w:val="auto"/>
              </w:rPr>
              <w:t>18,636</w:t>
            </w:r>
          </w:p>
        </w:tc>
        <w:tc>
          <w:tcPr>
            <w:tcW w:w="180" w:type="dxa"/>
            <w:vAlign w:val="bottom"/>
            <w:tcBorders>
              <w:bottom w:val="single" w:sz="8" w:color="E2E2E2"/>
            </w:tcBorders>
            <w:shd w:val="clear" w:color="auto" w:fill="E2E2E2"/>
          </w:tcPr>
          <w:p>
            <w:pPr>
              <w:spacing w:after="0"/>
              <w:rPr>
                <w:sz w:val="21"/>
                <w:szCs w:val="21"/>
                <w:color w:val="auto"/>
              </w:rPr>
            </w:pPr>
          </w:p>
        </w:tc>
        <w:tc>
          <w:tcPr>
            <w:tcW w:w="18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6,392</w:t>
            </w:r>
          </w:p>
        </w:tc>
      </w:tr>
      <w:tr>
        <w:trPr>
          <w:trHeight w:val="20"/>
        </w:trPr>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10800"/>
          </w:cols>
          <w:pgMar w:left="720" w:top="696" w:right="720" w:bottom="187" w:gutter="0" w:footer="0" w:header="0"/>
          <w:type w:val="continuous"/>
        </w:sectPr>
      </w:pPr>
    </w:p>
    <w:bookmarkStart w:id="93" w:name="page94"/>
    <w:bookmarkEnd w:id="9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b w:val="1"/>
          <w:bCs w:val="1"/>
          <w:color w:val="auto"/>
        </w:rPr>
        <w:t>13.</w:t>
        <w:tab/>
        <w:t>Debt and Other Borrowings</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Company’s debt obligations consisted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1044"/>
              <w:spacing w:after="0"/>
              <w:rPr>
                <w:sz w:val="20"/>
                <w:szCs w:val="20"/>
                <w:color w:val="auto"/>
              </w:rPr>
            </w:pPr>
            <w:r>
              <w:rPr>
                <w:rFonts w:ascii="Times New Roman" w:cs="Times New Roman" w:eastAsia="Times New Roman" w:hAnsi="Times New Roman"/>
                <w:sz w:val="16"/>
                <w:szCs w:val="16"/>
                <w:b w:val="1"/>
                <w:bCs w:val="1"/>
                <w:color w:val="auto"/>
              </w:rPr>
              <w:t>Fiscal Year Ended</w:t>
            </w:r>
          </w:p>
        </w:tc>
      </w:tr>
      <w:tr>
        <w:trPr>
          <w:trHeight w:val="160"/>
        </w:trPr>
        <w:tc>
          <w:tcPr>
            <w:tcW w:w="7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ind w:right="426"/>
              <w:spacing w:after="0" w:line="160"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384"/>
              <w:spacing w:after="0" w:line="160" w:lineRule="exact"/>
              <w:rPr>
                <w:sz w:val="20"/>
                <w:szCs w:val="20"/>
                <w:color w:val="auto"/>
              </w:rPr>
            </w:pPr>
            <w:r>
              <w:rPr>
                <w:rFonts w:ascii="Times New Roman" w:cs="Times New Roman" w:eastAsia="Times New Roman" w:hAnsi="Times New Roman"/>
                <w:sz w:val="16"/>
                <w:szCs w:val="16"/>
                <w:b w:val="1"/>
                <w:bCs w:val="1"/>
                <w:color w:val="auto"/>
              </w:rPr>
              <w:t>March 28,</w:t>
            </w:r>
          </w:p>
        </w:tc>
      </w:tr>
      <w:tr>
        <w:trPr>
          <w:trHeight w:val="203"/>
        </w:trPr>
        <w:tc>
          <w:tcPr>
            <w:tcW w:w="732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32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Term Loan Facility</w:t>
            </w:r>
          </w:p>
        </w:tc>
        <w:tc>
          <w:tcPr>
            <w:tcW w:w="260" w:type="dxa"/>
            <w:vAlign w:val="bottom"/>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E2E2E2"/>
          </w:tcPr>
          <w:p>
            <w:pPr>
              <w:jc w:val="right"/>
              <w:ind w:right="26"/>
              <w:spacing w:after="0" w:line="225" w:lineRule="exact"/>
              <w:rPr>
                <w:sz w:val="20"/>
                <w:szCs w:val="20"/>
                <w:color w:val="auto"/>
              </w:rPr>
            </w:pPr>
            <w:r>
              <w:rPr>
                <w:rFonts w:ascii="Times New Roman" w:cs="Times New Roman" w:eastAsia="Times New Roman" w:hAnsi="Times New Roman"/>
                <w:sz w:val="20"/>
                <w:szCs w:val="20"/>
                <w:color w:val="auto"/>
              </w:rPr>
              <w:t>285,000</w:t>
            </w:r>
          </w:p>
        </w:tc>
        <w:tc>
          <w:tcPr>
            <w:tcW w:w="260" w:type="dxa"/>
            <w:vAlign w:val="bottom"/>
            <w:shd w:val="clear" w:color="auto" w:fill="E2E2E2"/>
          </w:tcPr>
          <w:p>
            <w:pPr>
              <w:spacing w:after="0"/>
              <w:rPr>
                <w:sz w:val="19"/>
                <w:szCs w:val="19"/>
                <w:color w:val="auto"/>
              </w:rPr>
            </w:pPr>
          </w:p>
        </w:tc>
        <w:tc>
          <w:tcPr>
            <w:tcW w:w="260" w:type="dxa"/>
            <w:vAlign w:val="bottom"/>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345,000</w:t>
            </w:r>
          </w:p>
        </w:tc>
      </w:tr>
      <w:tr>
        <w:trPr>
          <w:trHeight w:val="230"/>
        </w:trPr>
        <w:tc>
          <w:tcPr>
            <w:tcW w:w="732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Unamortized debt issuance costs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(4,116)</w:t>
            </w:r>
          </w:p>
        </w:tc>
        <w:tc>
          <w:tcPr>
            <w:tcW w:w="260" w:type="dxa"/>
            <w:vAlign w:val="bottom"/>
            <w:tcBorders>
              <w:bottom w:val="single" w:sz="8" w:color="E2E2E2"/>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(6,071)</w:t>
            </w:r>
          </w:p>
        </w:tc>
      </w:tr>
      <w:tr>
        <w:trPr>
          <w:trHeight w:val="225"/>
        </w:trPr>
        <w:tc>
          <w:tcPr>
            <w:tcW w:w="732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Total loans outstanding</w:t>
            </w:r>
          </w:p>
        </w:tc>
        <w:tc>
          <w:tcPr>
            <w:tcW w:w="260" w:type="dxa"/>
            <w:vAlign w:val="bottom"/>
            <w:shd w:val="clear" w:color="auto" w:fill="E2E2E2"/>
          </w:tcPr>
          <w:p>
            <w:pPr>
              <w:spacing w:after="0"/>
              <w:rPr>
                <w:sz w:val="19"/>
                <w:szCs w:val="19"/>
                <w:color w:val="auto"/>
              </w:rPr>
            </w:pPr>
          </w:p>
        </w:tc>
        <w:tc>
          <w:tcPr>
            <w:tcW w:w="1360" w:type="dxa"/>
            <w:vAlign w:val="bottom"/>
            <w:shd w:val="clear" w:color="auto" w:fill="E2E2E2"/>
          </w:tcPr>
          <w:p>
            <w:pPr>
              <w:jc w:val="right"/>
              <w:ind w:right="26"/>
              <w:spacing w:after="0" w:line="225" w:lineRule="exact"/>
              <w:rPr>
                <w:sz w:val="20"/>
                <w:szCs w:val="20"/>
                <w:color w:val="auto"/>
              </w:rPr>
            </w:pPr>
            <w:r>
              <w:rPr>
                <w:rFonts w:ascii="Times New Roman" w:cs="Times New Roman" w:eastAsia="Times New Roman" w:hAnsi="Times New Roman"/>
                <w:sz w:val="20"/>
                <w:szCs w:val="20"/>
                <w:color w:val="auto"/>
              </w:rPr>
              <w:t>280,884</w:t>
            </w:r>
          </w:p>
        </w:tc>
        <w:tc>
          <w:tcPr>
            <w:tcW w:w="26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134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338,929</w:t>
            </w:r>
          </w:p>
        </w:tc>
      </w:tr>
      <w:tr>
        <w:trPr>
          <w:trHeight w:val="230"/>
        </w:trPr>
        <w:tc>
          <w:tcPr>
            <w:tcW w:w="732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Finance lease liabilities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20"/>
                <w:szCs w:val="20"/>
                <w:color w:val="auto"/>
              </w:rPr>
              <w:t>6,392</w:t>
            </w:r>
          </w:p>
        </w:tc>
        <w:tc>
          <w:tcPr>
            <w:tcW w:w="260" w:type="dxa"/>
            <w:vAlign w:val="bottom"/>
            <w:tcBorders>
              <w:bottom w:val="single" w:sz="8" w:color="E2E2E2"/>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7,197</w:t>
            </w:r>
          </w:p>
        </w:tc>
      </w:tr>
      <w:tr>
        <w:trPr>
          <w:trHeight w:val="225"/>
        </w:trPr>
        <w:tc>
          <w:tcPr>
            <w:tcW w:w="732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Total debt</w:t>
            </w:r>
          </w:p>
        </w:tc>
        <w:tc>
          <w:tcPr>
            <w:tcW w:w="260" w:type="dxa"/>
            <w:vAlign w:val="bottom"/>
            <w:shd w:val="clear" w:color="auto" w:fill="E2E2E2"/>
          </w:tcPr>
          <w:p>
            <w:pPr>
              <w:spacing w:after="0"/>
              <w:rPr>
                <w:sz w:val="19"/>
                <w:szCs w:val="19"/>
                <w:color w:val="auto"/>
              </w:rPr>
            </w:pPr>
          </w:p>
        </w:tc>
        <w:tc>
          <w:tcPr>
            <w:tcW w:w="1360" w:type="dxa"/>
            <w:vAlign w:val="bottom"/>
            <w:shd w:val="clear" w:color="auto" w:fill="E2E2E2"/>
          </w:tcPr>
          <w:p>
            <w:pPr>
              <w:jc w:val="right"/>
              <w:ind w:right="26"/>
              <w:spacing w:after="0" w:line="225" w:lineRule="exact"/>
              <w:rPr>
                <w:sz w:val="20"/>
                <w:szCs w:val="20"/>
                <w:color w:val="auto"/>
              </w:rPr>
            </w:pPr>
            <w:r>
              <w:rPr>
                <w:rFonts w:ascii="Times New Roman" w:cs="Times New Roman" w:eastAsia="Times New Roman" w:hAnsi="Times New Roman"/>
                <w:sz w:val="20"/>
                <w:szCs w:val="20"/>
                <w:color w:val="auto"/>
              </w:rPr>
              <w:t>287,276</w:t>
            </w:r>
          </w:p>
        </w:tc>
        <w:tc>
          <w:tcPr>
            <w:tcW w:w="26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134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346,126</w:t>
            </w:r>
          </w:p>
        </w:tc>
      </w:tr>
      <w:tr>
        <w:trPr>
          <w:trHeight w:val="230"/>
        </w:trPr>
        <w:tc>
          <w:tcPr>
            <w:tcW w:w="732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Current portion of long-term debt and finance lease liabilities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(1,530)</w:t>
            </w:r>
          </w:p>
        </w:tc>
        <w:tc>
          <w:tcPr>
            <w:tcW w:w="260" w:type="dxa"/>
            <w:vAlign w:val="bottom"/>
            <w:tcBorders>
              <w:bottom w:val="single" w:sz="8" w:color="E2E2E2"/>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(1,423)</w:t>
            </w:r>
          </w:p>
        </w:tc>
      </w:tr>
      <w:tr>
        <w:trPr>
          <w:trHeight w:val="264"/>
        </w:trPr>
        <w:tc>
          <w:tcPr>
            <w:tcW w:w="73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 long-term debt and finance lease liabilities, less current portion</w:t>
            </w:r>
          </w:p>
        </w:tc>
        <w:tc>
          <w:tcPr>
            <w:tcW w:w="26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285,746</w:t>
            </w:r>
          </w:p>
        </w:tc>
        <w:tc>
          <w:tcPr>
            <w:tcW w:w="260" w:type="dxa"/>
            <w:vAlign w:val="bottom"/>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344,703</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Facility under the 2023 Revolving Credit Agreement</w:t>
      </w:r>
    </w:p>
    <w:p>
      <w:pPr>
        <w:spacing w:after="0" w:line="118" w:lineRule="exact"/>
        <w:rPr>
          <w:sz w:val="20"/>
          <w:szCs w:val="20"/>
          <w:color w:val="auto"/>
        </w:rPr>
      </w:pPr>
    </w:p>
    <w:p>
      <w:pPr>
        <w:jc w:val="both"/>
        <w:ind w:firstLine="547"/>
        <w:spacing w:after="0" w:line="242" w:lineRule="auto"/>
        <w:rPr>
          <w:sz w:val="20"/>
          <w:szCs w:val="20"/>
          <w:color w:val="auto"/>
        </w:rPr>
      </w:pPr>
      <w:r>
        <w:rPr>
          <w:rFonts w:ascii="Times New Roman" w:cs="Times New Roman" w:eastAsia="Times New Roman" w:hAnsi="Times New Roman"/>
          <w:sz w:val="20"/>
          <w:szCs w:val="20"/>
          <w:color w:val="auto"/>
        </w:rPr>
        <w:t>On June 21, 2023, the Company entered into a Credit Agreement dated as of June 21, 2023 (as amended, restated, supplemented or otherwise modified, refinanced or replaced from time to time, the “2023 Revolving Credit Agreement”) by and among the Company, Allegro MicroSystems, LLC (“AML”), Morgan Stanley Senior Funding, Inc., as the administrative agent, collateral agent, a letter of credit issuers parties thereto that provided for a $224,000 revolving credit facility, which included a $20,000 letter of credit sub-facility. On August 6, 2024, upon entry into the Amendment No. 2 (the “Second Amendment”) to the 2023 Revolving Credit Agreement, the total capacity of the revolving credit facility was increased to $256,000, and the Second Amendment also provided for a new $400,000 tranche of term loans maturing in 2030 (the “2024 Term Loans”), which were paid in full in connection with entry into the Third Amendment (as defined below). The revolving credit facility is available until, and loans made thereunder will mature on, June 21, 2028. Under the terms of the 2023 Revolving Credit Agreement, interest is calculated at a rate equal to (i) Term SOFR (as defined in the 2023 Revolving Credit Agreement) in effect, plus the applicable spread (ranging from 1.50% to 1.75%) or (ii) the highest of (x) the Federal funds rate, as published by the Federal Reserve Bank of New York, plus 0.50%,</w:t>
      </w:r>
    </w:p>
    <w:p>
      <w:pPr>
        <w:spacing w:after="0" w:line="7" w:lineRule="exact"/>
        <w:rPr>
          <w:sz w:val="20"/>
          <w:szCs w:val="20"/>
          <w:color w:val="auto"/>
        </w:rPr>
      </w:pPr>
    </w:p>
    <w:p>
      <w:pPr>
        <w:jc w:val="both"/>
        <w:spacing w:after="0" w:line="242" w:lineRule="auto"/>
        <w:tabs>
          <w:tab w:leader="none" w:pos="29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prime lending rate or (z) the one-month term SOFR plus 1.00% in effect, plus the applicable spread (ranging from 0.50% to 0.75%). The applicable spreads are based on the Company’s Total Net Leverage Ratio (as defined in the 2023 Revolving Credit Agreement) at the time of the applicable borrowing. Issuance costs related to the revolving credit facility were not significant. As of March 27, 2026, there were no outstanding borrowings under the revolving credit facility.</w:t>
      </w:r>
    </w:p>
    <w:p>
      <w:pPr>
        <w:spacing w:after="0" w:line="84"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The Company will also pay a quarterly commitment fee of 0.20% to 0.25% on the daily amount by which the commitments under the revolving credit facility exceed the outstanding loans and letters of credit under the revolving credit facility. The 2023 Revolving Credit Agreement contains certain covenants applicable to the Company and its subsidiaries, including limitations on additional indebtedness, liens, various fundamental changes, dividends and distributions, investments (including acquisitions), transactions with affiliates, asset sales, prepayment of junior financing, changes in business and other limitations customary in senior secured credit facilities. In addition, the Company is required to maintain a Total Net Leverage Ratio of no more than 4.00 to 1.00 at the end of each fiscal quarter, which may, subject to certain limitations, be increased to 4.50 to 1.00 for any quarter in which an acquisition in excess of $500,000 is conducted and for the three subsequent quarters.</w:t>
      </w:r>
    </w:p>
    <w:p>
      <w:pPr>
        <w:spacing w:after="0" w:line="82"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The 2023 Revolving Credit Agreement provides for customary events of default. Upon an event of default, the administrative agent with the consent of, or at the request of, the holders of more than 50% in principal amount of the loans and commitments, may terminate the commitments and accelerate the maturity of the loans and enforce certain other remedies.</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Company was in compliance with its Revolving Credit Facility covenants as of March 27,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Refinancing and Repricing of Term Loans</w:t>
      </w:r>
    </w:p>
    <w:p>
      <w:pPr>
        <w:spacing w:after="0" w:line="118" w:lineRule="exact"/>
        <w:rPr>
          <w:sz w:val="20"/>
          <w:szCs w:val="20"/>
          <w:color w:val="auto"/>
        </w:rPr>
      </w:pPr>
    </w:p>
    <w:p>
      <w:pPr>
        <w:jc w:val="both"/>
        <w:ind w:firstLine="547"/>
        <w:spacing w:after="0" w:line="244" w:lineRule="auto"/>
        <w:rPr>
          <w:sz w:val="20"/>
          <w:szCs w:val="20"/>
          <w:color w:val="auto"/>
        </w:rPr>
      </w:pPr>
      <w:r>
        <w:rPr>
          <w:rFonts w:ascii="Times New Roman" w:cs="Times New Roman" w:eastAsia="Times New Roman" w:hAnsi="Times New Roman"/>
          <w:sz w:val="20"/>
          <w:szCs w:val="20"/>
          <w:color w:val="auto"/>
        </w:rPr>
        <w:t>On February 6, 2025, the Company entered into Amendment No. 3 (the “Third Amendment”) to the 2023 Revolving Credit Agreement. The Third Amendment provided for a new $375,000 tranche of term loans maturing in 2030 (the “2025 Refinanced Loans”), the proceeds of which were used, in relevant part, to (i) refinance all outstanding borrowings under the 2024 Term Loans, (ii) pay fees and expenses in connection with the foregoing and (iii) for general corporate purposes. The 2025 Refinanced Loans amortized at a rate of 0.00% per annum. The 2025 Refinanced Loans bore interest, at the Company’s option, at a rate equal to (i) Term SOFR (as defined in the 2023 Revolving Credit Agreement) in effect from time to time plus 2.00% or (ii) the highest of (x) the Federal funds rate, as published by the Federal Reserve Bank of New York, plus 0.50%, (y) the prime lending rate or (z) the one-month Term SOFR plus 1.00% in effect from time to time plus 1.00%. The 2025 Refinanced Loans were scheduled to mature on October 31, 2030. The Company incurred costs of $1,090 in connection with the Third Amendment.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F-29</w:t>
      </w:r>
    </w:p>
    <w:p>
      <w:pPr>
        <w:sectPr>
          <w:pgSz w:w="12240" w:h="15840" w:orient="portrait"/>
          <w:cols w:equalWidth="0" w:num="1">
            <w:col w:w="10800"/>
          </w:cols>
          <w:pgMar w:left="720" w:top="696" w:right="720" w:bottom="175" w:gutter="0" w:footer="0" w:header="0"/>
        </w:sectPr>
      </w:pPr>
    </w:p>
    <w:bookmarkStart w:id="94" w:name="page95"/>
    <w:bookmarkEnd w:id="9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8"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Payments of $25,000, $10,000, and $25,000 were applied to the outstanding balance of the 2025 Refinanced Loans on April 30, 2025, May 30, 2025 and July 31, 2025, respectively.</w:t>
      </w:r>
    </w:p>
    <w:p>
      <w:pPr>
        <w:spacing w:after="0" w:line="49" w:lineRule="exact"/>
        <w:rPr>
          <w:sz w:val="20"/>
          <w:szCs w:val="20"/>
          <w:color w:val="auto"/>
        </w:rPr>
      </w:pPr>
    </w:p>
    <w:p>
      <w:pPr>
        <w:jc w:val="both"/>
        <w:ind w:firstLine="547"/>
        <w:spacing w:after="0" w:line="246" w:lineRule="auto"/>
        <w:rPr>
          <w:sz w:val="20"/>
          <w:szCs w:val="20"/>
          <w:color w:val="auto"/>
        </w:rPr>
      </w:pPr>
      <w:r>
        <w:rPr>
          <w:rFonts w:ascii="Times New Roman" w:cs="Times New Roman" w:eastAsia="Times New Roman" w:hAnsi="Times New Roman"/>
          <w:sz w:val="20"/>
          <w:szCs w:val="20"/>
          <w:color w:val="auto"/>
        </w:rPr>
        <w:t>On January 21, 2026, the Company entered into Amendment No. 4 (the “Fourth Amendment”) to the 2023 Revolving Credit Agreement. The Fourth Amendment provides for a new $ 285,000 tranche of term loans maturing in October 2030 (the “2026 Refinanced Loans”), the proceeds of which were used, in relevant part, to refinance all outstanding borrowing under the 2025 Refinanced Loans. The 2026 Refinanced Loans amortize at a rate of 0.00% per annum. The 2026 Refinanced Loans bear interest, at the Company’s option, at a rate equal to (i) Term SOFR in effect from time to time plus 1.75% or (ii) the highest of (x) the Federal funds rate, as published by the Federal Reserve Bank of New York, plus 0.50%, (y) the prime lending rate or (z) the one-month Term SOFR plus 1.00% in effect from time to time plus 0.75%. The 2026 Refinanced Loans will mature on October 31, 2030.</w:t>
      </w:r>
    </w:p>
    <w:p>
      <w:pPr>
        <w:spacing w:after="0" w:line="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Company was in compliance with its debt covenants as of March 27, 2026.</w:t>
      </w:r>
    </w:p>
    <w:p>
      <w:pPr>
        <w:sectPr>
          <w:pgSz w:w="12240" w:h="15840" w:orient="portrait"/>
          <w:cols w:equalWidth="0" w:num="1">
            <w:col w:w="10800"/>
          </w:cols>
          <w:pgMar w:left="720" w:top="696" w:right="720" w:bottom="187" w:gutter="0" w:footer="0" w:header="0"/>
        </w:sectPr>
      </w:pPr>
    </w:p>
    <w:p>
      <w:pPr>
        <w:spacing w:after="0" w:line="236" w:lineRule="exact"/>
        <w:rPr>
          <w:sz w:val="20"/>
          <w:szCs w:val="20"/>
          <w:color w:val="auto"/>
        </w:rPr>
      </w:pPr>
    </w:p>
    <w:p>
      <w:pPr>
        <w:ind w:left="540" w:hanging="540"/>
        <w:spacing w:after="0"/>
        <w:tabs>
          <w:tab w:leader="none" w:pos="54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Long-Term Liabilities</w:t>
      </w:r>
    </w:p>
    <w:p>
      <w:pPr>
        <w:spacing w:after="0" w:line="124" w:lineRule="exact"/>
        <w:rPr>
          <w:rFonts w:ascii="Times New Roman" w:cs="Times New Roman" w:eastAsia="Times New Roman" w:hAnsi="Times New Roman"/>
          <w:sz w:val="20"/>
          <w:szCs w:val="20"/>
          <w:b w:val="1"/>
          <w:bCs w:val="1"/>
          <w:color w:val="auto"/>
        </w:rPr>
      </w:pPr>
    </w:p>
    <w:p>
      <w:pPr>
        <w:ind w:left="5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composition of other long-term liabilities is as follows: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retirement and defined benefit plan obligation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-142240</wp:posOffset>
                </wp:positionV>
                <wp:extent cx="4666615" cy="17907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6615" cy="179070"/>
                        </a:xfrm>
                        <a:prstGeom prst="rect">
                          <a:avLst/>
                        </a:prstGeom>
                        <a:solidFill>
                          <a:srgbClr val="E2E2E2"/>
                        </a:solidFill>
                      </wps:spPr>
                      <wps:bodyPr/>
                    </wps:wsp>
                  </a:graphicData>
                </a:graphic>
              </wp:anchor>
            </w:drawing>
          </mc:Choice>
          <mc:Fallback>
            <w:pict>
              <v:rect id="Shape 51" o:spid="_x0000_s1076" style="position:absolute;margin-left:0pt;margin-top:-11.1999pt;width:367.45pt;height:14.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 for uncertain tax positions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long-term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-132715</wp:posOffset>
                </wp:positionV>
                <wp:extent cx="6858000" cy="16954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69545"/>
                        </a:xfrm>
                        <a:prstGeom prst="rect">
                          <a:avLst/>
                        </a:prstGeom>
                        <a:solidFill>
                          <a:srgbClr val="E2E2E2"/>
                        </a:solidFill>
                      </wps:spPr>
                      <wps:bodyPr/>
                    </wps:wsp>
                  </a:graphicData>
                </a:graphic>
              </wp:anchor>
            </w:drawing>
          </mc:Choice>
          <mc:Fallback>
            <w:pict>
              <v:rect id="Shape 52" o:spid="_x0000_s1077" style="position:absolute;margin-left:0pt;margin-top:-10.4499pt;width:540pt;height:13.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380" w:type="dxa"/>
            <w:vAlign w:val="bottom"/>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March 28,</w:t>
            </w:r>
          </w:p>
        </w:tc>
      </w:tr>
      <w:tr>
        <w:trPr>
          <w:trHeight w:val="203"/>
        </w:trPr>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4"/>
        </w:trPr>
        <w:tc>
          <w:tcPr>
            <w:tcW w:w="280" w:type="dxa"/>
            <w:vAlign w:val="bottom"/>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auto"/>
              </w:rPr>
              <w:t>8,738</w:t>
            </w:r>
          </w:p>
        </w:tc>
        <w:tc>
          <w:tcPr>
            <w:tcW w:w="180" w:type="dxa"/>
            <w:vAlign w:val="bottom"/>
            <w:shd w:val="clear" w:color="auto" w:fill="E2E2E2"/>
          </w:tcPr>
          <w:p>
            <w:pPr>
              <w:spacing w:after="0"/>
              <w:rPr>
                <w:sz w:val="22"/>
                <w:szCs w:val="22"/>
                <w:color w:val="auto"/>
              </w:rPr>
            </w:pPr>
          </w:p>
        </w:tc>
        <w:tc>
          <w:tcPr>
            <w:tcW w:w="26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9,997</w:t>
            </w:r>
          </w:p>
        </w:tc>
      </w:tr>
      <w:tr>
        <w:trPr>
          <w:trHeight w:val="285"/>
        </w:trPr>
        <w:tc>
          <w:tcPr>
            <w:tcW w:w="280" w:type="dxa"/>
            <w:vAlign w:val="bottom"/>
          </w:tcPr>
          <w:p>
            <w:pPr>
              <w:spacing w:after="0"/>
              <w:rPr>
                <w:sz w:val="24"/>
                <w:szCs w:val="24"/>
                <w:color w:val="auto"/>
              </w:rPr>
            </w:pPr>
          </w:p>
        </w:tc>
        <w:tc>
          <w:tcPr>
            <w:tcW w:w="13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6,213</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6,022</w:t>
            </w:r>
          </w:p>
        </w:tc>
      </w:tr>
      <w:tr>
        <w:trPr>
          <w:trHeight w:val="252"/>
        </w:trPr>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163</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5"/>
        </w:trPr>
        <w:tc>
          <w:tcPr>
            <w:tcW w:w="280" w:type="dxa"/>
            <w:vAlign w:val="bottom"/>
            <w:tcBorders>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tcPr>
          <w:p>
            <w:pPr>
              <w:jc w:val="right"/>
              <w:ind w:right="7"/>
              <w:spacing w:after="0" w:line="225" w:lineRule="exact"/>
              <w:rPr>
                <w:sz w:val="20"/>
                <w:szCs w:val="20"/>
                <w:color w:val="auto"/>
              </w:rPr>
            </w:pPr>
            <w:r>
              <w:rPr>
                <w:rFonts w:ascii="Times New Roman" w:cs="Times New Roman" w:eastAsia="Times New Roman" w:hAnsi="Times New Roman"/>
                <w:sz w:val="20"/>
                <w:szCs w:val="20"/>
                <w:color w:val="auto"/>
              </w:rPr>
              <w:t>15,114</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16,019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6620" w:space="720"/>
            <w:col w:w="3460"/>
          </w:cols>
          <w:pgMar w:left="720" w:top="696" w:right="720" w:bottom="187" w:gutter="0" w:footer="0" w:header="0"/>
          <w:type w:val="continuous"/>
        </w:sectPr>
      </w:pPr>
    </w:p>
    <w:p>
      <w:pPr>
        <w:spacing w:after="0" w:line="126" w:lineRule="exact"/>
        <w:rPr>
          <w:sz w:val="20"/>
          <w:szCs w:val="20"/>
          <w:color w:val="auto"/>
        </w:rPr>
      </w:pPr>
    </w:p>
    <w:p>
      <w:pPr>
        <w:ind w:left="540" w:hanging="540"/>
        <w:spacing w:after="0"/>
        <w:tabs>
          <w:tab w:leader="none" w:pos="54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Retirement Plans</w:t>
      </w:r>
    </w:p>
    <w:p>
      <w:pPr>
        <w:spacing w:after="0" w:line="124" w:lineRule="exact"/>
        <w:rPr>
          <w:sz w:val="20"/>
          <w:szCs w:val="20"/>
          <w:color w:val="auto"/>
        </w:rPr>
      </w:pPr>
    </w:p>
    <w:p>
      <w:pPr>
        <w:jc w:val="both"/>
        <w:ind w:firstLine="547"/>
        <w:spacing w:after="0" w:line="246" w:lineRule="auto"/>
        <w:rPr>
          <w:sz w:val="20"/>
          <w:szCs w:val="20"/>
          <w:color w:val="auto"/>
        </w:rPr>
      </w:pPr>
      <w:r>
        <w:rPr>
          <w:rFonts w:ascii="Times New Roman" w:cs="Times New Roman" w:eastAsia="Times New Roman" w:hAnsi="Times New Roman"/>
          <w:sz w:val="20"/>
          <w:szCs w:val="20"/>
          <w:color w:val="auto"/>
        </w:rPr>
        <w:t>The Company recognizes the funded status (i.e., the difference between the fair value of plan assets and the benefit obligations) of its defined benefit pension plans in its consolidated balance sheets with a corresponding adjustment to accumulated other comprehensive income (“AOCI”), net of tax. Further, actuarial gains and losses and prior service costs that arise in future periods and are not recognized as net periodic benefit costs in the same periods will be recognized as a component of other comprehensive (loss) income. Those amounts will also be recognized as a component of future net periodic benefit costs consistent with the Company’s past practice. The Company uses a measurement date for its defined benefit pension plans and other postretirement benefit plans that is equivalent to its fiscal year end.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Plan Descriptions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Non-U.S. Defined Benefit Plan</w:t>
      </w:r>
    </w:p>
    <w:p>
      <w:pPr>
        <w:spacing w:after="0" w:line="118"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The Company, through its wholly owned subsidiary, Allegro MicroSystems Philippines, Inc., has a defined benefit pension plan, which is a noncontributory plan that covers substantially all employees of this subsidiary. The plan’s assets are invested in government securities, common trust funds, bonds and other debt instruments and stocks.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 on the consolidated statements of operations</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Expense related to the non-U.S. defined benefit plan was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r>
      <w:tr>
        <w:trPr>
          <w:trHeight w:val="160"/>
        </w:trPr>
        <w:tc>
          <w:tcPr>
            <w:tcW w:w="6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305"/>
              <w:spacing w:after="0" w:line="160"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305"/>
              <w:spacing w:after="0" w:line="160"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05"/>
              <w:spacing w:after="0" w:line="160"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80" w:type="dxa"/>
            <w:vAlign w:val="bottom"/>
          </w:tcPr>
          <w:p>
            <w:pPr>
              <w:spacing w:after="0"/>
              <w:rPr>
                <w:sz w:val="13"/>
                <w:szCs w:val="13"/>
                <w:color w:val="auto"/>
              </w:rPr>
            </w:pPr>
          </w:p>
        </w:tc>
      </w:tr>
      <w:tr>
        <w:trPr>
          <w:trHeight w:val="203"/>
        </w:trPr>
        <w:tc>
          <w:tcPr>
            <w:tcW w:w="630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r>
      <w:tr>
        <w:trPr>
          <w:trHeight w:val="225"/>
        </w:trPr>
        <w:tc>
          <w:tcPr>
            <w:tcW w:w="630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Service cost</w:t>
            </w: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E2E2E2"/>
          </w:tcPr>
          <w:p>
            <w:pPr>
              <w:jc w:val="right"/>
              <w:ind w:right="5"/>
              <w:spacing w:after="0" w:line="225" w:lineRule="exact"/>
              <w:rPr>
                <w:sz w:val="20"/>
                <w:szCs w:val="20"/>
                <w:color w:val="auto"/>
              </w:rPr>
            </w:pPr>
            <w:r>
              <w:rPr>
                <w:rFonts w:ascii="Times New Roman" w:cs="Times New Roman" w:eastAsia="Times New Roman" w:hAnsi="Times New Roman"/>
                <w:sz w:val="20"/>
                <w:szCs w:val="20"/>
                <w:color w:val="auto"/>
              </w:rPr>
              <w:t>1,468</w:t>
            </w:r>
          </w:p>
        </w:tc>
        <w:tc>
          <w:tcPr>
            <w:tcW w:w="16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2E2E2"/>
          </w:tcPr>
          <w:p>
            <w:pPr>
              <w:jc w:val="right"/>
              <w:ind w:right="5"/>
              <w:spacing w:after="0" w:line="225" w:lineRule="exact"/>
              <w:rPr>
                <w:sz w:val="20"/>
                <w:szCs w:val="20"/>
                <w:color w:val="auto"/>
              </w:rPr>
            </w:pPr>
            <w:r>
              <w:rPr>
                <w:rFonts w:ascii="Times New Roman" w:cs="Times New Roman" w:eastAsia="Times New Roman" w:hAnsi="Times New Roman"/>
                <w:sz w:val="20"/>
                <w:szCs w:val="20"/>
                <w:color w:val="auto"/>
              </w:rPr>
              <w:t>1,456</w:t>
            </w:r>
          </w:p>
        </w:tc>
        <w:tc>
          <w:tcPr>
            <w:tcW w:w="160" w:type="dxa"/>
            <w:vAlign w:val="bottom"/>
            <w:shd w:val="clear" w:color="auto" w:fill="E2E2E2"/>
          </w:tcPr>
          <w:p>
            <w:pPr>
              <w:spacing w:after="0"/>
              <w:rPr>
                <w:sz w:val="19"/>
                <w:szCs w:val="19"/>
                <w:color w:val="auto"/>
              </w:rPr>
            </w:pPr>
          </w:p>
        </w:tc>
        <w:tc>
          <w:tcPr>
            <w:tcW w:w="2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1,345</w:t>
            </w:r>
          </w:p>
        </w:tc>
        <w:tc>
          <w:tcPr>
            <w:tcW w:w="80" w:type="dxa"/>
            <w:vAlign w:val="bottom"/>
            <w:shd w:val="clear" w:color="auto" w:fill="E2E2E2"/>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1,042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939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w:t>
            </w:r>
          </w:p>
        </w:tc>
        <w:tc>
          <w:tcPr>
            <w:tcW w:w="80" w:type="dxa"/>
            <w:vAlign w:val="bottom"/>
          </w:tcPr>
          <w:p>
            <w:pPr>
              <w:spacing w:after="0"/>
              <w:rPr>
                <w:sz w:val="20"/>
                <w:szCs w:val="20"/>
                <w:color w:val="auto"/>
              </w:rPr>
            </w:pPr>
          </w:p>
        </w:tc>
      </w:tr>
      <w:tr>
        <w:trPr>
          <w:trHeight w:val="230"/>
        </w:trPr>
        <w:tc>
          <w:tcPr>
            <w:tcW w:w="63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(487)</w:t>
            </w:r>
          </w:p>
        </w:tc>
        <w:tc>
          <w:tcPr>
            <w:tcW w:w="16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16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18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(468)</w:t>
            </w: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prior service cost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w:t>
            </w:r>
          </w:p>
        </w:tc>
      </w:tr>
      <w:tr>
        <w:trPr>
          <w:trHeight w:val="230"/>
        </w:trPr>
        <w:tc>
          <w:tcPr>
            <w:tcW w:w="63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Actuarial loss</w:t>
            </w:r>
          </w:p>
        </w:tc>
        <w:tc>
          <w:tcPr>
            <w:tcW w:w="20" w:type="dxa"/>
            <w:vAlign w:val="bottom"/>
            <w:shd w:val="clear" w:color="auto" w:fill="E2E2E2"/>
          </w:tcPr>
          <w:p>
            <w:pPr>
              <w:spacing w:after="0"/>
              <w:rPr>
                <w:sz w:val="20"/>
                <w:szCs w:val="20"/>
                <w:color w:val="auto"/>
              </w:rPr>
            </w:pPr>
          </w:p>
        </w:tc>
        <w:tc>
          <w:tcPr>
            <w:tcW w:w="180" w:type="dxa"/>
            <w:vAlign w:val="bottom"/>
            <w:tcBorders>
              <w:bottom w:val="single" w:sz="8" w:color="auto"/>
            </w:tcBorders>
            <w:shd w:val="clear" w:color="auto" w:fill="E2E2E2"/>
          </w:tcPr>
          <w:p>
            <w:pPr>
              <w:spacing w:after="0"/>
              <w:rPr>
                <w:sz w:val="20"/>
                <w:szCs w:val="20"/>
                <w:color w:val="auto"/>
              </w:rPr>
            </w:pPr>
          </w:p>
        </w:tc>
        <w:tc>
          <w:tcPr>
            <w:tcW w:w="1200" w:type="dxa"/>
            <w:vAlign w:val="bottom"/>
            <w:tcBorders>
              <w:bottom w:val="single" w:sz="8" w:color="auto"/>
            </w:tcBorders>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auto"/>
              </w:rPr>
              <w:t>41</w:t>
            </w:r>
          </w:p>
        </w:tc>
        <w:tc>
          <w:tcPr>
            <w:tcW w:w="160" w:type="dxa"/>
            <w:vAlign w:val="bottom"/>
            <w:shd w:val="clear" w:color="auto" w:fill="E2E2E2"/>
          </w:tcPr>
          <w:p>
            <w:pPr>
              <w:spacing w:after="0"/>
              <w:rPr>
                <w:sz w:val="20"/>
                <w:szCs w:val="20"/>
                <w:color w:val="auto"/>
              </w:rPr>
            </w:pPr>
          </w:p>
        </w:tc>
        <w:tc>
          <w:tcPr>
            <w:tcW w:w="200" w:type="dxa"/>
            <w:vAlign w:val="bottom"/>
            <w:tcBorders>
              <w:bottom w:val="single" w:sz="8" w:color="auto"/>
            </w:tcBorders>
            <w:shd w:val="clear" w:color="auto" w:fill="E2E2E2"/>
          </w:tcPr>
          <w:p>
            <w:pPr>
              <w:spacing w:after="0"/>
              <w:rPr>
                <w:sz w:val="20"/>
                <w:szCs w:val="20"/>
                <w:color w:val="auto"/>
              </w:rPr>
            </w:pPr>
          </w:p>
        </w:tc>
        <w:tc>
          <w:tcPr>
            <w:tcW w:w="1200" w:type="dxa"/>
            <w:vAlign w:val="bottom"/>
            <w:tcBorders>
              <w:bottom w:val="single" w:sz="8" w:color="auto"/>
            </w:tcBorders>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auto"/>
              </w:rPr>
              <w:t>71</w:t>
            </w:r>
          </w:p>
        </w:tc>
        <w:tc>
          <w:tcPr>
            <w:tcW w:w="160" w:type="dxa"/>
            <w:vAlign w:val="bottom"/>
            <w:shd w:val="clear" w:color="auto" w:fill="E2E2E2"/>
          </w:tcPr>
          <w:p>
            <w:pPr>
              <w:spacing w:after="0"/>
              <w:rPr>
                <w:sz w:val="20"/>
                <w:szCs w:val="20"/>
                <w:color w:val="auto"/>
              </w:rPr>
            </w:pPr>
          </w:p>
        </w:tc>
        <w:tc>
          <w:tcPr>
            <w:tcW w:w="200" w:type="dxa"/>
            <w:vAlign w:val="bottom"/>
            <w:tcBorders>
              <w:bottom w:val="single" w:sz="8" w:color="auto"/>
            </w:tcBorders>
            <w:shd w:val="clear" w:color="auto" w:fill="E2E2E2"/>
          </w:tcPr>
          <w:p>
            <w:pPr>
              <w:spacing w:after="0"/>
              <w:rPr>
                <w:sz w:val="20"/>
                <w:szCs w:val="20"/>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Borders>
              <w:bottom w:val="single" w:sz="8" w:color="auto"/>
            </w:tcBorders>
            <w:shd w:val="clear" w:color="auto" w:fill="E2E2E2"/>
          </w:tcPr>
          <w:p>
            <w:pPr>
              <w:spacing w:after="0"/>
              <w:rPr>
                <w:sz w:val="20"/>
                <w:szCs w:val="20"/>
                <w:color w:val="auto"/>
              </w:rPr>
            </w:pPr>
          </w:p>
        </w:tc>
      </w:tr>
      <w:tr>
        <w:trPr>
          <w:trHeight w:val="225"/>
        </w:trPr>
        <w:tc>
          <w:tcPr>
            <w:tcW w:w="63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rPr>
              <w:t>Net periodic pension expense</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ind w:right="5"/>
              <w:spacing w:after="0" w:line="225" w:lineRule="exact"/>
              <w:rPr>
                <w:sz w:val="20"/>
                <w:szCs w:val="20"/>
                <w:color w:val="auto"/>
              </w:rPr>
            </w:pPr>
            <w:r>
              <w:rPr>
                <w:rFonts w:ascii="Times New Roman" w:cs="Times New Roman" w:eastAsia="Times New Roman" w:hAnsi="Times New Roman"/>
                <w:sz w:val="20"/>
                <w:szCs w:val="20"/>
                <w:color w:val="auto"/>
              </w:rPr>
              <w:t>2,056</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5"/>
              <w:spacing w:after="0" w:line="225" w:lineRule="exact"/>
              <w:rPr>
                <w:sz w:val="20"/>
                <w:szCs w:val="20"/>
                <w:color w:val="auto"/>
              </w:rPr>
            </w:pPr>
            <w:r>
              <w:rPr>
                <w:rFonts w:ascii="Times New Roman" w:cs="Times New Roman" w:eastAsia="Times New Roman" w:hAnsi="Times New Roman"/>
                <w:sz w:val="20"/>
                <w:szCs w:val="20"/>
                <w:color w:val="auto"/>
              </w:rPr>
              <w:t>2,012</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1,809</w:t>
            </w:r>
          </w:p>
        </w:tc>
        <w:tc>
          <w:tcPr>
            <w:tcW w:w="80" w:type="dxa"/>
            <w:vAlign w:val="bottom"/>
            <w:tcBorders>
              <w:bottom w:val="single" w:sz="8" w:color="auto"/>
            </w:tcBorders>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-1181100</wp:posOffset>
            </wp:positionV>
            <wp:extent cx="284734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2">
                      <a:extLst>
                        <a:ext uri="{28A0092B-C50C-407E-A947-70E740481C1C}"/>
                      </a:extLst>
                    </a:blip>
                    <a:srcRect/>
                    <a:stretch>
                      <a:fillRect/>
                    </a:stretch>
                  </pic:blipFill>
                  <pic:spPr bwMode="auto">
                    <a:xfrm>
                      <a:off x="0" y="0"/>
                      <a:ext cx="2847340" cy="38100"/>
                    </a:xfrm>
                    <a:prstGeom prst="rect">
                      <a:avLst/>
                    </a:prstGeom>
                    <a:noFill/>
                  </pic:spPr>
                </pic:pic>
              </a:graphicData>
            </a:graphic>
          </wp:anchor>
        </w:drawing>
      </w:r>
    </w:p>
    <w:p>
      <w:pPr>
        <w:sectPr>
          <w:pgSz w:w="12240" w:h="15840" w:orient="portrait"/>
          <w:cols w:equalWidth="0" w:num="1">
            <w:col w:w="10800"/>
          </w:cols>
          <w:pgMar w:left="720" w:top="696" w:right="720" w:bottom="1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10800"/>
          </w:cols>
          <w:pgMar w:left="720" w:top="696" w:right="720" w:bottom="187" w:gutter="0" w:footer="0" w:header="0"/>
          <w:type w:val="continuous"/>
        </w:sectPr>
      </w:pPr>
    </w:p>
    <w:bookmarkStart w:id="95" w:name="page96"/>
    <w:bookmarkEnd w:id="9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3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Changes in the benefit obligations and plan assets for the non-U.S. defined benefit plan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1043"/>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0" w:type="dxa"/>
            <w:vAlign w:val="bottom"/>
          </w:tcPr>
          <w:p>
            <w:pPr>
              <w:spacing w:after="0"/>
              <w:rPr>
                <w:sz w:val="1"/>
                <w:szCs w:val="1"/>
                <w:color w:val="auto"/>
              </w:rPr>
            </w:pPr>
          </w:p>
        </w:tc>
      </w:tr>
      <w:tr>
        <w:trPr>
          <w:trHeight w:val="174"/>
        </w:trPr>
        <w:tc>
          <w:tcPr>
            <w:tcW w:w="7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424"/>
              <w:spacing w:after="0" w:line="174"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403"/>
              <w:spacing w:after="0" w:line="174"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0" w:type="dxa"/>
            <w:vAlign w:val="bottom"/>
          </w:tcPr>
          <w:p>
            <w:pPr>
              <w:spacing w:after="0"/>
              <w:rPr>
                <w:sz w:val="1"/>
                <w:szCs w:val="1"/>
                <w:color w:val="auto"/>
              </w:rPr>
            </w:pPr>
          </w:p>
        </w:tc>
      </w:tr>
      <w:tr>
        <w:trPr>
          <w:trHeight w:val="203"/>
        </w:trPr>
        <w:tc>
          <w:tcPr>
            <w:tcW w:w="736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9"/>
        </w:trPr>
        <w:tc>
          <w:tcPr>
            <w:tcW w:w="73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Obligation and funded status of plan:</w:t>
            </w:r>
          </w:p>
        </w:tc>
        <w:tc>
          <w:tcPr>
            <w:tcW w:w="2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138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136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Benefit obligation at beginning of year</w:t>
            </w:r>
          </w:p>
        </w:tc>
        <w:tc>
          <w:tcPr>
            <w:tcW w:w="20" w:type="dxa"/>
            <w:vAlign w:val="bottom"/>
          </w:tcPr>
          <w:p>
            <w:pPr>
              <w:spacing w:after="0"/>
              <w:rPr>
                <w:sz w:val="21"/>
                <w:szCs w:val="21"/>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17,299</w:t>
            </w:r>
          </w:p>
        </w:tc>
        <w:tc>
          <w:tcPr>
            <w:tcW w:w="18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16,194</w:t>
            </w:r>
          </w:p>
        </w:tc>
        <w:tc>
          <w:tcPr>
            <w:tcW w:w="0" w:type="dxa"/>
            <w:vAlign w:val="bottom"/>
          </w:tcPr>
          <w:p>
            <w:pPr>
              <w:spacing w:after="0"/>
              <w:rPr>
                <w:sz w:val="1"/>
                <w:szCs w:val="1"/>
                <w:color w:val="auto"/>
              </w:rPr>
            </w:pPr>
          </w:p>
        </w:tc>
      </w:tr>
      <w:tr>
        <w:trPr>
          <w:trHeight w:val="244"/>
        </w:trPr>
        <w:tc>
          <w:tcPr>
            <w:tcW w:w="73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Service cost</w:t>
            </w:r>
          </w:p>
        </w:tc>
        <w:tc>
          <w:tcPr>
            <w:tcW w:w="2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1,468</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1,456</w:t>
            </w:r>
          </w:p>
        </w:tc>
        <w:tc>
          <w:tcPr>
            <w:tcW w:w="0" w:type="dxa"/>
            <w:vAlign w:val="bottom"/>
          </w:tcPr>
          <w:p>
            <w:pPr>
              <w:spacing w:after="0"/>
              <w:rPr>
                <w:sz w:val="1"/>
                <w:szCs w:val="1"/>
                <w:color w:val="auto"/>
              </w:rPr>
            </w:pPr>
          </w:p>
        </w:tc>
      </w:tr>
      <w:tr>
        <w:trPr>
          <w:trHeight w:val="244"/>
        </w:trPr>
        <w:tc>
          <w:tcPr>
            <w:tcW w:w="7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cost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1,042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939</w:t>
            </w:r>
          </w:p>
        </w:tc>
        <w:tc>
          <w:tcPr>
            <w:tcW w:w="0" w:type="dxa"/>
            <w:vAlign w:val="bottom"/>
          </w:tcPr>
          <w:p>
            <w:pPr>
              <w:spacing w:after="0"/>
              <w:rPr>
                <w:sz w:val="1"/>
                <w:szCs w:val="1"/>
                <w:color w:val="auto"/>
              </w:rPr>
            </w:pPr>
          </w:p>
        </w:tc>
      </w:tr>
      <w:tr>
        <w:trPr>
          <w:trHeight w:val="244"/>
        </w:trPr>
        <w:tc>
          <w:tcPr>
            <w:tcW w:w="73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Benefits paid</w:t>
            </w:r>
          </w:p>
        </w:tc>
        <w:tc>
          <w:tcPr>
            <w:tcW w:w="2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(695)</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(892)</w:t>
            </w:r>
          </w:p>
        </w:tc>
        <w:tc>
          <w:tcPr>
            <w:tcW w:w="0" w:type="dxa"/>
            <w:vAlign w:val="bottom"/>
          </w:tcPr>
          <w:p>
            <w:pPr>
              <w:spacing w:after="0"/>
              <w:rPr>
                <w:sz w:val="1"/>
                <w:szCs w:val="1"/>
                <w:color w:val="auto"/>
              </w:rPr>
            </w:pPr>
          </w:p>
        </w:tc>
      </w:tr>
      <w:tr>
        <w:trPr>
          <w:trHeight w:val="244"/>
        </w:trPr>
        <w:tc>
          <w:tcPr>
            <w:tcW w:w="7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Actuarial (gain) loss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64"/>
        </w:trPr>
        <w:tc>
          <w:tcPr>
            <w:tcW w:w="736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Foreign currency exchange rate changes</w:t>
            </w:r>
          </w:p>
        </w:tc>
        <w:tc>
          <w:tcPr>
            <w:tcW w:w="20" w:type="dxa"/>
            <w:vAlign w:val="bottom"/>
            <w:tcBorders>
              <w:bottom w:val="single" w:sz="8" w:color="E2E2E2"/>
            </w:tcBorders>
            <w:shd w:val="clear" w:color="auto" w:fill="E2E2E2"/>
          </w:tcPr>
          <w:p>
            <w:pPr>
              <w:spacing w:after="0"/>
              <w:rPr>
                <w:sz w:val="22"/>
                <w:szCs w:val="22"/>
                <w:color w:val="auto"/>
              </w:rPr>
            </w:pPr>
          </w:p>
        </w:tc>
        <w:tc>
          <w:tcPr>
            <w:tcW w:w="240" w:type="dxa"/>
            <w:vAlign w:val="bottom"/>
            <w:tcBorders>
              <w:bottom w:val="single" w:sz="8" w:color="E2E2E2"/>
            </w:tcBorders>
            <w:shd w:val="clear" w:color="auto" w:fill="E2E2E2"/>
          </w:tcPr>
          <w:p>
            <w:pPr>
              <w:spacing w:after="0"/>
              <w:rPr>
                <w:sz w:val="22"/>
                <w:szCs w:val="22"/>
                <w:color w:val="auto"/>
              </w:rPr>
            </w:pPr>
          </w:p>
        </w:tc>
        <w:tc>
          <w:tcPr>
            <w:tcW w:w="13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(688)</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(409)</w:t>
            </w:r>
          </w:p>
        </w:tc>
        <w:tc>
          <w:tcPr>
            <w:tcW w:w="0" w:type="dxa"/>
            <w:vAlign w:val="bottom"/>
          </w:tcPr>
          <w:p>
            <w:pPr>
              <w:spacing w:after="0"/>
              <w:rPr>
                <w:sz w:val="1"/>
                <w:szCs w:val="1"/>
                <w:color w:val="auto"/>
              </w:rPr>
            </w:pPr>
          </w:p>
        </w:tc>
      </w:tr>
      <w:tr>
        <w:trPr>
          <w:trHeight w:val="259"/>
        </w:trPr>
        <w:tc>
          <w:tcPr>
            <w:tcW w:w="7360" w:type="dxa"/>
            <w:vAlign w:val="bottom"/>
            <w:tcBorders>
              <w:bottom w:val="single" w:sz="8" w:color="E2E2E2"/>
            </w:tcBorders>
          </w:tcPr>
          <w:p>
            <w:pPr>
              <w:ind w:left="400"/>
              <w:spacing w:after="0" w:line="219" w:lineRule="exact"/>
              <w:rPr>
                <w:sz w:val="20"/>
                <w:szCs w:val="20"/>
                <w:color w:val="auto"/>
              </w:rPr>
            </w:pPr>
            <w:r>
              <w:rPr>
                <w:rFonts w:ascii="Times New Roman" w:cs="Times New Roman" w:eastAsia="Times New Roman" w:hAnsi="Times New Roman"/>
                <w:sz w:val="20"/>
                <w:szCs w:val="20"/>
                <w:b w:val="1"/>
                <w:bCs w:val="1"/>
                <w:color w:val="auto"/>
              </w:rPr>
              <w:t>Benefit obligation at end of year</w:t>
            </w:r>
          </w:p>
        </w:tc>
        <w:tc>
          <w:tcPr>
            <w:tcW w:w="20" w:type="dxa"/>
            <w:vAlign w:val="bottom"/>
            <w:tcBorders>
              <w:bottom w:val="single" w:sz="8" w:color="E2E2E2"/>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ind w:right="24"/>
              <w:spacing w:after="0" w:line="219" w:lineRule="exact"/>
              <w:rPr>
                <w:sz w:val="20"/>
                <w:szCs w:val="20"/>
                <w:color w:val="auto"/>
              </w:rPr>
            </w:pPr>
            <w:r>
              <w:rPr>
                <w:rFonts w:ascii="Times New Roman" w:cs="Times New Roman" w:eastAsia="Times New Roman" w:hAnsi="Times New Roman"/>
                <w:sz w:val="20"/>
                <w:szCs w:val="20"/>
                <w:color w:val="auto"/>
              </w:rPr>
              <w:t>17,132</w:t>
            </w:r>
          </w:p>
        </w:tc>
        <w:tc>
          <w:tcPr>
            <w:tcW w:w="180" w:type="dxa"/>
            <w:vAlign w:val="bottom"/>
            <w:tcBorders>
              <w:bottom w:val="single" w:sz="8" w:color="E2E2E2"/>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top w:val="single" w:sz="8" w:color="auto"/>
              <w:bottom w:val="single" w:sz="8" w:color="auto"/>
            </w:tcBorders>
          </w:tcPr>
          <w:p>
            <w:pPr>
              <w:jc w:val="right"/>
              <w:ind w:right="3"/>
              <w:spacing w:after="0" w:line="219" w:lineRule="exact"/>
              <w:rPr>
                <w:sz w:val="20"/>
                <w:szCs w:val="20"/>
                <w:color w:val="auto"/>
              </w:rPr>
            </w:pPr>
            <w:r>
              <w:rPr>
                <w:rFonts w:ascii="Times New Roman" w:cs="Times New Roman" w:eastAsia="Times New Roman" w:hAnsi="Times New Roman"/>
                <w:sz w:val="20"/>
                <w:szCs w:val="20"/>
                <w:color w:val="auto"/>
              </w:rPr>
              <w:t>17,299</w:t>
            </w:r>
          </w:p>
        </w:tc>
        <w:tc>
          <w:tcPr>
            <w:tcW w:w="0" w:type="dxa"/>
            <w:vAlign w:val="bottom"/>
          </w:tcPr>
          <w:p>
            <w:pPr>
              <w:spacing w:after="0"/>
              <w:rPr>
                <w:sz w:val="1"/>
                <w:szCs w:val="1"/>
                <w:color w:val="auto"/>
              </w:rPr>
            </w:pPr>
          </w:p>
        </w:tc>
      </w:tr>
      <w:tr>
        <w:trPr>
          <w:trHeight w:val="229"/>
        </w:trPr>
        <w:tc>
          <w:tcPr>
            <w:tcW w:w="73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Change in plan assets:</w:t>
            </w:r>
          </w:p>
        </w:tc>
        <w:tc>
          <w:tcPr>
            <w:tcW w:w="2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38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136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Fair value of plan assets at beginning of year</w:t>
            </w:r>
          </w:p>
        </w:tc>
        <w:tc>
          <w:tcPr>
            <w:tcW w:w="20" w:type="dxa"/>
            <w:vAlign w:val="bottom"/>
          </w:tcPr>
          <w:p>
            <w:pPr>
              <w:spacing w:after="0"/>
              <w:rPr>
                <w:sz w:val="21"/>
                <w:szCs w:val="21"/>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8,432</w:t>
            </w:r>
          </w:p>
        </w:tc>
        <w:tc>
          <w:tcPr>
            <w:tcW w:w="18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7,665</w:t>
            </w:r>
          </w:p>
        </w:tc>
        <w:tc>
          <w:tcPr>
            <w:tcW w:w="0" w:type="dxa"/>
            <w:vAlign w:val="bottom"/>
          </w:tcPr>
          <w:p>
            <w:pPr>
              <w:spacing w:after="0"/>
              <w:rPr>
                <w:sz w:val="1"/>
                <w:szCs w:val="1"/>
                <w:color w:val="auto"/>
              </w:rPr>
            </w:pPr>
          </w:p>
        </w:tc>
      </w:tr>
      <w:tr>
        <w:trPr>
          <w:trHeight w:val="244"/>
        </w:trPr>
        <w:tc>
          <w:tcPr>
            <w:tcW w:w="73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2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608</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597</w:t>
            </w:r>
          </w:p>
        </w:tc>
        <w:tc>
          <w:tcPr>
            <w:tcW w:w="0" w:type="dxa"/>
            <w:vAlign w:val="bottom"/>
          </w:tcPr>
          <w:p>
            <w:pPr>
              <w:spacing w:after="0"/>
              <w:rPr>
                <w:sz w:val="1"/>
                <w:szCs w:val="1"/>
                <w:color w:val="auto"/>
              </w:rPr>
            </w:pPr>
          </w:p>
        </w:tc>
      </w:tr>
      <w:tr>
        <w:trPr>
          <w:trHeight w:val="244"/>
        </w:trPr>
        <w:tc>
          <w:tcPr>
            <w:tcW w:w="7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Employer contributions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1,532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1,122</w:t>
            </w:r>
          </w:p>
        </w:tc>
        <w:tc>
          <w:tcPr>
            <w:tcW w:w="0" w:type="dxa"/>
            <w:vAlign w:val="bottom"/>
          </w:tcPr>
          <w:p>
            <w:pPr>
              <w:spacing w:after="0"/>
              <w:rPr>
                <w:sz w:val="1"/>
                <w:szCs w:val="1"/>
                <w:color w:val="auto"/>
              </w:rPr>
            </w:pPr>
          </w:p>
        </w:tc>
      </w:tr>
      <w:tr>
        <w:trPr>
          <w:trHeight w:val="244"/>
        </w:trPr>
        <w:tc>
          <w:tcPr>
            <w:tcW w:w="73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Benefits paid</w:t>
            </w:r>
          </w:p>
        </w:tc>
        <w:tc>
          <w:tcPr>
            <w:tcW w:w="2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(758)</w:t>
            </w:r>
          </w:p>
        </w:tc>
        <w:tc>
          <w:tcPr>
            <w:tcW w:w="0" w:type="dxa"/>
            <w:vAlign w:val="bottom"/>
          </w:tcPr>
          <w:p>
            <w:pPr>
              <w:spacing w:after="0"/>
              <w:rPr>
                <w:sz w:val="1"/>
                <w:szCs w:val="1"/>
                <w:color w:val="auto"/>
              </w:rPr>
            </w:pPr>
          </w:p>
        </w:tc>
      </w:tr>
      <w:tr>
        <w:trPr>
          <w:trHeight w:val="244"/>
        </w:trPr>
        <w:tc>
          <w:tcPr>
            <w:tcW w:w="736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Foreign currency exchange rate changes</w:t>
            </w:r>
          </w:p>
        </w:tc>
        <w:tc>
          <w:tcPr>
            <w:tcW w:w="20" w:type="dxa"/>
            <w:vAlign w:val="bottom"/>
            <w:tcBorders>
              <w:bottom w:val="single" w:sz="8" w:color="E2E2E2"/>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180" w:type="dxa"/>
            <w:vAlign w:val="bottom"/>
            <w:tcBorders>
              <w:bottom w:val="single" w:sz="8" w:color="E2E2E2"/>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0" w:type="dxa"/>
            <w:vAlign w:val="bottom"/>
          </w:tcPr>
          <w:p>
            <w:pPr>
              <w:spacing w:after="0"/>
              <w:rPr>
                <w:sz w:val="1"/>
                <w:szCs w:val="1"/>
                <w:color w:val="auto"/>
              </w:rPr>
            </w:pPr>
          </w:p>
        </w:tc>
      </w:tr>
      <w:tr>
        <w:trPr>
          <w:trHeight w:val="259"/>
        </w:trPr>
        <w:tc>
          <w:tcPr>
            <w:tcW w:w="7360" w:type="dxa"/>
            <w:vAlign w:val="bottom"/>
            <w:tcBorders>
              <w:bottom w:val="single" w:sz="8" w:color="E2E2E2"/>
            </w:tcBorders>
            <w:shd w:val="clear" w:color="auto" w:fill="E2E2E2"/>
          </w:tcPr>
          <w:p>
            <w:pPr>
              <w:ind w:left="400"/>
              <w:spacing w:after="0"/>
              <w:rPr>
                <w:sz w:val="20"/>
                <w:szCs w:val="20"/>
                <w:color w:val="auto"/>
              </w:rPr>
            </w:pPr>
            <w:r>
              <w:rPr>
                <w:rFonts w:ascii="Times New Roman" w:cs="Times New Roman" w:eastAsia="Times New Roman" w:hAnsi="Times New Roman"/>
                <w:sz w:val="20"/>
                <w:szCs w:val="20"/>
                <w:b w:val="1"/>
                <w:bCs w:val="1"/>
                <w:color w:val="auto"/>
              </w:rPr>
              <w:t>Fair value of plan assets at end of year</w:t>
            </w:r>
          </w:p>
        </w:tc>
        <w:tc>
          <w:tcPr>
            <w:tcW w:w="20" w:type="dxa"/>
            <w:vAlign w:val="bottom"/>
            <w:tcBorders>
              <w:bottom w:val="single" w:sz="8" w:color="E2E2E2"/>
            </w:tcBorders>
            <w:shd w:val="clear" w:color="auto" w:fill="E2E2E2"/>
          </w:tcPr>
          <w:p>
            <w:pPr>
              <w:spacing w:after="0"/>
              <w:rPr>
                <w:sz w:val="22"/>
                <w:szCs w:val="22"/>
                <w:color w:val="auto"/>
              </w:rPr>
            </w:pPr>
          </w:p>
        </w:tc>
        <w:tc>
          <w:tcPr>
            <w:tcW w:w="240" w:type="dxa"/>
            <w:vAlign w:val="bottom"/>
            <w:tcBorders>
              <w:bottom w:val="single" w:sz="8" w:color="auto"/>
            </w:tcBorders>
            <w:shd w:val="clear" w:color="auto" w:fill="E2E2E2"/>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9,604</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8,432</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600"/>
              <w:spacing w:after="0"/>
              <w:rPr>
                <w:sz w:val="20"/>
                <w:szCs w:val="20"/>
                <w:color w:val="auto"/>
              </w:rPr>
            </w:pPr>
            <w:r>
              <w:rPr>
                <w:rFonts w:ascii="Times New Roman" w:cs="Times New Roman" w:eastAsia="Times New Roman" w:hAnsi="Times New Roman"/>
                <w:sz w:val="20"/>
                <w:szCs w:val="20"/>
                <w:b w:val="1"/>
                <w:bCs w:val="1"/>
                <w:color w:val="auto"/>
              </w:rPr>
              <w:t>Underfunded status at end of year</w:t>
            </w:r>
          </w:p>
        </w:tc>
        <w:tc>
          <w:tcPr>
            <w:tcW w:w="2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(7,528)</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6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(8,867)</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underfunded plan amounts are recognized as a component of other long-term liabilities in the consolidated balance sheets.</w:t>
      </w:r>
    </w:p>
    <w:p>
      <w:pPr>
        <w:spacing w:after="0" w:line="12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following table presents the obligations and asset information for the non-U.S. defined benefit plan that has a projected benefit obligation in excess of plan assets: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1028"/>
              <w:spacing w:after="0"/>
              <w:rPr>
                <w:sz w:val="20"/>
                <w:szCs w:val="20"/>
                <w:color w:val="auto"/>
              </w:rPr>
            </w:pPr>
            <w:r>
              <w:rPr>
                <w:rFonts w:ascii="Times New Roman" w:cs="Times New Roman" w:eastAsia="Times New Roman" w:hAnsi="Times New Roman"/>
                <w:sz w:val="16"/>
                <w:szCs w:val="16"/>
                <w:b w:val="1"/>
                <w:bCs w:val="1"/>
                <w:color w:val="auto"/>
              </w:rPr>
              <w:t>Fiscal Year Ended</w:t>
            </w:r>
          </w:p>
        </w:tc>
      </w:tr>
      <w:tr>
        <w:trPr>
          <w:trHeight w:val="160"/>
        </w:trPr>
        <w:tc>
          <w:tcPr>
            <w:tcW w:w="7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30"/>
              <w:spacing w:after="0" w:line="160"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ind w:right="388"/>
              <w:spacing w:after="0" w:line="160" w:lineRule="exact"/>
              <w:rPr>
                <w:sz w:val="20"/>
                <w:szCs w:val="20"/>
                <w:color w:val="auto"/>
              </w:rPr>
            </w:pPr>
            <w:r>
              <w:rPr>
                <w:rFonts w:ascii="Times New Roman" w:cs="Times New Roman" w:eastAsia="Times New Roman" w:hAnsi="Times New Roman"/>
                <w:sz w:val="16"/>
                <w:szCs w:val="16"/>
                <w:b w:val="1"/>
                <w:bCs w:val="1"/>
                <w:color w:val="auto"/>
              </w:rPr>
              <w:t>March 28,</w:t>
            </w:r>
          </w:p>
        </w:tc>
      </w:tr>
      <w:tr>
        <w:trPr>
          <w:trHeight w:val="203"/>
        </w:trPr>
        <w:tc>
          <w:tcPr>
            <w:tcW w:w="7340" w:type="dxa"/>
            <w:vAlign w:val="bottom"/>
            <w:tcBorders>
              <w:bottom w:val="single" w:sz="8" w:color="E2E2E2"/>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34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Projected benefit obligations</w:t>
            </w:r>
          </w:p>
        </w:tc>
        <w:tc>
          <w:tcPr>
            <w:tcW w:w="280" w:type="dxa"/>
            <w:vAlign w:val="bottom"/>
            <w:shd w:val="clear" w:color="auto" w:fill="E2E2E2"/>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E2E2E2"/>
          </w:tcPr>
          <w:p>
            <w:pPr>
              <w:jc w:val="right"/>
              <w:ind w:right="10"/>
              <w:spacing w:after="0" w:line="225" w:lineRule="exact"/>
              <w:rPr>
                <w:sz w:val="20"/>
                <w:szCs w:val="20"/>
                <w:color w:val="auto"/>
              </w:rPr>
            </w:pPr>
            <w:r>
              <w:rPr>
                <w:rFonts w:ascii="Times New Roman" w:cs="Times New Roman" w:eastAsia="Times New Roman" w:hAnsi="Times New Roman"/>
                <w:sz w:val="20"/>
                <w:szCs w:val="20"/>
                <w:color w:val="auto"/>
              </w:rPr>
              <w:t>17,132</w:t>
            </w:r>
          </w:p>
        </w:tc>
        <w:tc>
          <w:tcPr>
            <w:tcW w:w="180" w:type="dxa"/>
            <w:vAlign w:val="bottom"/>
            <w:shd w:val="clear" w:color="auto" w:fill="E2E2E2"/>
          </w:tcPr>
          <w:p>
            <w:pPr>
              <w:spacing w:after="0"/>
              <w:rPr>
                <w:sz w:val="19"/>
                <w:szCs w:val="19"/>
                <w:color w:val="auto"/>
              </w:rPr>
            </w:pPr>
          </w:p>
        </w:tc>
        <w:tc>
          <w:tcPr>
            <w:tcW w:w="260" w:type="dxa"/>
            <w:vAlign w:val="bottom"/>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17,299</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Plan assets</w:t>
            </w:r>
          </w:p>
        </w:tc>
        <w:tc>
          <w:tcPr>
            <w:tcW w:w="2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9,604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8,432</w:t>
            </w:r>
          </w:p>
        </w:tc>
      </w:tr>
      <w:tr>
        <w:trPr>
          <w:trHeight w:val="230"/>
        </w:trPr>
        <w:tc>
          <w:tcPr>
            <w:tcW w:w="7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Accumulated benefit obligations</w:t>
            </w:r>
          </w:p>
        </w:tc>
        <w:tc>
          <w:tcPr>
            <w:tcW w:w="280" w:type="dxa"/>
            <w:vAlign w:val="bottom"/>
            <w:shd w:val="clear" w:color="auto" w:fill="E2E2E2"/>
          </w:tcPr>
          <w:p>
            <w:pPr>
              <w:spacing w:after="0"/>
              <w:rPr>
                <w:sz w:val="20"/>
                <w:szCs w:val="20"/>
                <w:color w:val="auto"/>
              </w:rPr>
            </w:pPr>
          </w:p>
        </w:tc>
        <w:tc>
          <w:tcPr>
            <w:tcW w:w="138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auto"/>
              </w:rPr>
              <w:t>10,857</w:t>
            </w:r>
          </w:p>
        </w:tc>
        <w:tc>
          <w:tcPr>
            <w:tcW w:w="18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10,509</w:t>
            </w:r>
          </w:p>
        </w:tc>
      </w:tr>
    </w:tbl>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amounts recorded in AOCI for the non-U.S. defined benefit plan for the fiscal years ended March 27, 2026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28, 2025 are further detailed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3460" w:type="dxa"/>
            <w:vAlign w:val="bottom"/>
            <w:tcBorders>
              <w:bottom w:val="single" w:sz="8" w:color="auto"/>
            </w:tcBorders>
            <w:gridSpan w:val="5"/>
          </w:tcPr>
          <w:p>
            <w:pPr>
              <w:jc w:val="right"/>
              <w:ind w:right="1045"/>
              <w:spacing w:after="0"/>
              <w:rPr>
                <w:sz w:val="20"/>
                <w:szCs w:val="20"/>
                <w:color w:val="auto"/>
              </w:rPr>
            </w:pPr>
            <w:r>
              <w:rPr>
                <w:rFonts w:ascii="Times New Roman" w:cs="Times New Roman" w:eastAsia="Times New Roman" w:hAnsi="Times New Roman"/>
                <w:sz w:val="16"/>
                <w:szCs w:val="16"/>
                <w:b w:val="1"/>
                <w:bCs w:val="1"/>
                <w:color w:val="auto"/>
              </w:rPr>
              <w:t>Fiscal Year Ended</w:t>
            </w:r>
          </w:p>
        </w:tc>
      </w:tr>
      <w:tr>
        <w:trPr>
          <w:trHeight w:val="174"/>
        </w:trPr>
        <w:tc>
          <w:tcPr>
            <w:tcW w:w="7340" w:type="dxa"/>
            <w:vAlign w:val="bottom"/>
          </w:tcPr>
          <w:p>
            <w:pPr>
              <w:spacing w:after="0"/>
              <w:rPr>
                <w:sz w:val="15"/>
                <w:szCs w:val="15"/>
                <w:color w:val="auto"/>
              </w:rPr>
            </w:pPr>
          </w:p>
        </w:tc>
        <w:tc>
          <w:tcPr>
            <w:tcW w:w="11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405"/>
              <w:spacing w:after="0" w:line="174" w:lineRule="exact"/>
              <w:rPr>
                <w:sz w:val="20"/>
                <w:szCs w:val="20"/>
                <w:color w:val="auto"/>
              </w:rPr>
            </w:pPr>
            <w:r>
              <w:rPr>
                <w:rFonts w:ascii="Times New Roman" w:cs="Times New Roman" w:eastAsia="Times New Roman" w:hAnsi="Times New Roman"/>
                <w:sz w:val="16"/>
                <w:szCs w:val="16"/>
                <w:b w:val="1"/>
                <w:bCs w:val="1"/>
                <w:color w:val="auto"/>
              </w:rPr>
              <w:t>March 28,</w:t>
            </w:r>
          </w:p>
        </w:tc>
      </w:tr>
      <w:tr>
        <w:trPr>
          <w:trHeight w:val="203"/>
        </w:trPr>
        <w:tc>
          <w:tcPr>
            <w:tcW w:w="7340" w:type="dxa"/>
            <w:vAlign w:val="bottom"/>
            <w:tcBorders>
              <w:bottom w:val="single" w:sz="8" w:color="E2E2E2"/>
            </w:tcBorders>
          </w:tcPr>
          <w:p>
            <w:pPr>
              <w:spacing w:after="0"/>
              <w:rPr>
                <w:sz w:val="17"/>
                <w:szCs w:val="17"/>
                <w:color w:val="auto"/>
              </w:rPr>
            </w:pPr>
          </w:p>
        </w:tc>
        <w:tc>
          <w:tcPr>
            <w:tcW w:w="11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7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Net transition obligation</w:t>
            </w:r>
          </w:p>
        </w:tc>
        <w:tc>
          <w:tcPr>
            <w:tcW w:w="1180" w:type="dxa"/>
            <w:vAlign w:val="bottom"/>
            <w:shd w:val="clear" w:color="auto" w:fill="E2E2E2"/>
          </w:tcPr>
          <w:p>
            <w:pPr>
              <w:jc w:val="right"/>
              <w:ind w:right="992"/>
              <w:spacing w:after="0"/>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2E2E2"/>
          </w:tcPr>
          <w:p>
            <w:pPr>
              <w:spacing w:after="0"/>
              <w:rPr>
                <w:sz w:val="20"/>
                <w:szCs w:val="20"/>
                <w:color w:val="auto"/>
              </w:rPr>
            </w:pPr>
          </w:p>
        </w:tc>
        <w:tc>
          <w:tcPr>
            <w:tcW w:w="26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auto"/>
              </w:rPr>
              <w:t>5</w:t>
            </w:r>
          </w:p>
        </w:tc>
      </w:tr>
      <w:tr>
        <w:trPr>
          <w:trHeight w:val="24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Prior service costs</w:t>
            </w:r>
          </w:p>
        </w:tc>
        <w:tc>
          <w:tcPr>
            <w:tcW w:w="1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64"/>
        </w:trPr>
        <w:tc>
          <w:tcPr>
            <w:tcW w:w="734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Net actuarial loss</w:t>
            </w:r>
          </w:p>
        </w:tc>
        <w:tc>
          <w:tcPr>
            <w:tcW w:w="1180" w:type="dxa"/>
            <w:vAlign w:val="bottom"/>
            <w:tcBorders>
              <w:bottom w:val="single" w:sz="8" w:color="auto"/>
            </w:tcBorders>
            <w:shd w:val="clear" w:color="auto" w:fill="E2E2E2"/>
          </w:tcPr>
          <w:p>
            <w:pPr>
              <w:spacing w:after="0"/>
              <w:rPr>
                <w:sz w:val="22"/>
                <w:szCs w:val="22"/>
                <w:color w:val="auto"/>
              </w:rPr>
            </w:pPr>
          </w:p>
        </w:tc>
        <w:tc>
          <w:tcPr>
            <w:tcW w:w="480" w:type="dxa"/>
            <w:vAlign w:val="bottom"/>
            <w:tcBorders>
              <w:bottom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894</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60" w:type="dxa"/>
            <w:vAlign w:val="bottom"/>
            <w:tcBorders>
              <w:bottom w:val="single" w:sz="8" w:color="auto"/>
            </w:tcBorders>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auto"/>
              </w:rPr>
              <w:t>2,322</w:t>
            </w:r>
          </w:p>
        </w:tc>
      </w:tr>
      <w:tr>
        <w:trPr>
          <w:trHeight w:val="219"/>
        </w:trPr>
        <w:tc>
          <w:tcPr>
            <w:tcW w:w="73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Amounts in AOCI before tax</w:t>
            </w:r>
          </w:p>
        </w:tc>
        <w:tc>
          <w:tcPr>
            <w:tcW w:w="1180" w:type="dxa"/>
            <w:vAlign w:val="bottom"/>
          </w:tcPr>
          <w:p>
            <w:pPr>
              <w:spacing w:after="0"/>
              <w:rPr>
                <w:sz w:val="19"/>
                <w:szCs w:val="19"/>
                <w:color w:val="auto"/>
              </w:rPr>
            </w:pPr>
          </w:p>
        </w:tc>
        <w:tc>
          <w:tcPr>
            <w:tcW w:w="48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821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5"/>
              <w:spacing w:after="0" w:line="219" w:lineRule="exact"/>
              <w:rPr>
                <w:sz w:val="20"/>
                <w:szCs w:val="20"/>
                <w:color w:val="auto"/>
              </w:rPr>
            </w:pPr>
            <w:r>
              <w:rPr>
                <w:rFonts w:ascii="Times New Roman" w:cs="Times New Roman" w:eastAsia="Times New Roman" w:hAnsi="Times New Roman"/>
                <w:sz w:val="20"/>
                <w:szCs w:val="20"/>
                <w:color w:val="auto"/>
              </w:rPr>
              <w:t>2,256</w:t>
            </w:r>
          </w:p>
        </w:tc>
      </w:tr>
      <w:tr>
        <w:trPr>
          <w:trHeight w:val="264"/>
        </w:trPr>
        <w:tc>
          <w:tcPr>
            <w:tcW w:w="734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Less: tax benefit</w:t>
            </w:r>
          </w:p>
        </w:tc>
        <w:tc>
          <w:tcPr>
            <w:tcW w:w="1180" w:type="dxa"/>
            <w:vAlign w:val="bottom"/>
            <w:tcBorders>
              <w:bottom w:val="single" w:sz="8" w:color="auto"/>
            </w:tcBorders>
            <w:shd w:val="clear" w:color="auto" w:fill="E2E2E2"/>
          </w:tcPr>
          <w:p>
            <w:pPr>
              <w:spacing w:after="0"/>
              <w:rPr>
                <w:sz w:val="22"/>
                <w:szCs w:val="22"/>
                <w:color w:val="auto"/>
              </w:rPr>
            </w:pPr>
          </w:p>
        </w:tc>
        <w:tc>
          <w:tcPr>
            <w:tcW w:w="480" w:type="dxa"/>
            <w:vAlign w:val="bottom"/>
            <w:tcBorders>
              <w:bottom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205</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60" w:type="dxa"/>
            <w:vAlign w:val="bottom"/>
            <w:tcBorders>
              <w:bottom w:val="single" w:sz="8" w:color="auto"/>
            </w:tcBorders>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auto"/>
              </w:rPr>
              <w:t>564</w:t>
            </w:r>
          </w:p>
        </w:tc>
      </w:tr>
      <w:tr>
        <w:trPr>
          <w:trHeight w:val="219"/>
        </w:trPr>
        <w:tc>
          <w:tcPr>
            <w:tcW w:w="734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b w:val="1"/>
                <w:bCs w:val="1"/>
                <w:color w:val="auto"/>
              </w:rPr>
              <w:t>Balance, net of tax</w:t>
            </w:r>
          </w:p>
        </w:tc>
        <w:tc>
          <w:tcPr>
            <w:tcW w:w="1180" w:type="dxa"/>
            <w:vAlign w:val="bottom"/>
            <w:tcBorders>
              <w:bottom w:val="single" w:sz="8" w:color="auto"/>
            </w:tcBorders>
          </w:tcPr>
          <w:p>
            <w:pPr>
              <w:jc w:val="right"/>
              <w:ind w:right="992"/>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616</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ind w:right="5"/>
              <w:spacing w:after="0" w:line="219" w:lineRule="exact"/>
              <w:rPr>
                <w:sz w:val="20"/>
                <w:szCs w:val="20"/>
                <w:color w:val="auto"/>
              </w:rPr>
            </w:pPr>
            <w:r>
              <w:rPr>
                <w:rFonts w:ascii="Times New Roman" w:cs="Times New Roman" w:eastAsia="Times New Roman" w:hAnsi="Times New Roman"/>
                <w:sz w:val="20"/>
                <w:szCs w:val="20"/>
                <w:color w:val="auto"/>
              </w:rPr>
              <w:t>1,692</w:t>
            </w:r>
          </w:p>
        </w:tc>
      </w:tr>
      <w:tr>
        <w:trPr>
          <w:trHeight w:val="20"/>
        </w:trPr>
        <w:tc>
          <w:tcPr>
            <w:tcW w:w="7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540"/>
        <w:spacing w:after="0" w:line="277" w:lineRule="auto"/>
        <w:rPr>
          <w:sz w:val="20"/>
          <w:szCs w:val="20"/>
          <w:color w:val="auto"/>
        </w:rPr>
      </w:pPr>
      <w:r>
        <w:rPr>
          <w:rFonts w:ascii="Times New Roman" w:cs="Times New Roman" w:eastAsia="Times New Roman" w:hAnsi="Times New Roman"/>
          <w:sz w:val="20"/>
          <w:szCs w:val="20"/>
          <w:color w:val="auto"/>
        </w:rPr>
        <w:t>There is no significant actuarial net gain or loss included in AOCI as of March 27, 2026 that is expected to be amortized into net periodic benefit cost over the next fiscal year.</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As of March 27, 2026, the Company does not expect a significant return of plan assets during the next 12 months.</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10800"/>
          </w:cols>
          <w:pgMar w:left="720" w:top="696" w:right="720" w:bottom="187" w:gutter="0" w:footer="0" w:header="0"/>
          <w:type w:val="continuous"/>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Assumptions and Investment Policies</w:t>
      </w:r>
    </w:p>
    <w:p>
      <w:pPr>
        <w:spacing w:after="0" w:line="12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actuarial assumptions and methodologies used in determining the projected benefit obligation and net periodic benefit cost are reviewed on an annual basis. The primary assumptions include the Non-U.S. assumed discount rates, the Non-U.S. expected long-term returns on plan assets, and the Non-U.S. rate of compensation increases.</w:t>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Weighted-Average Assumptions Used to Determine Projected Benefit Obligation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gridSpan w:val="4"/>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w w:val="99"/>
              </w:rPr>
              <w:t>March 27,</w:t>
            </w:r>
          </w:p>
        </w:tc>
        <w:tc>
          <w:tcPr>
            <w:tcW w:w="160" w:type="dxa"/>
            <w:vAlign w:val="bottom"/>
          </w:tcPr>
          <w:p>
            <w:pPr>
              <w:spacing w:after="0"/>
              <w:rPr>
                <w:sz w:val="16"/>
                <w:szCs w:val="16"/>
                <w:color w:val="auto"/>
              </w:rPr>
            </w:pP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March 28,</w:t>
            </w:r>
          </w:p>
        </w:tc>
      </w:tr>
      <w:tr>
        <w:trPr>
          <w:trHeight w:val="203"/>
        </w:trPr>
        <w:tc>
          <w:tcPr>
            <w:tcW w:w="6220" w:type="dxa"/>
            <w:vAlign w:val="bottom"/>
            <w:tcBorders>
              <w:bottom w:val="single" w:sz="8" w:color="E2E2E2"/>
            </w:tcBorders>
          </w:tcPr>
          <w:p>
            <w:pPr>
              <w:spacing w:after="0"/>
              <w:rPr>
                <w:sz w:val="17"/>
                <w:szCs w:val="17"/>
                <w:color w:val="auto"/>
              </w:rPr>
            </w:pPr>
          </w:p>
        </w:tc>
        <w:tc>
          <w:tcPr>
            <w:tcW w:w="1080" w:type="dxa"/>
            <w:vAlign w:val="bottom"/>
            <w:tcBorders>
              <w:bottom w:val="single" w:sz="8" w:color="E2E2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68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E2E2E2"/>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622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Non-U.S. assumed discount rate</w:t>
            </w:r>
          </w:p>
        </w:tc>
        <w:tc>
          <w:tcPr>
            <w:tcW w:w="1080" w:type="dxa"/>
            <w:vAlign w:val="bottom"/>
            <w:shd w:val="clear" w:color="auto" w:fill="E2E2E2"/>
          </w:tcPr>
          <w:p>
            <w:pPr>
              <w:spacing w:after="0"/>
              <w:rPr>
                <w:sz w:val="19"/>
                <w:szCs w:val="19"/>
                <w:color w:val="auto"/>
              </w:rPr>
            </w:pPr>
          </w:p>
        </w:tc>
        <w:tc>
          <w:tcPr>
            <w:tcW w:w="360" w:type="dxa"/>
            <w:vAlign w:val="bottom"/>
            <w:shd w:val="clear" w:color="auto" w:fill="E2E2E2"/>
          </w:tcPr>
          <w:p>
            <w:pPr>
              <w:spacing w:after="0"/>
              <w:rPr>
                <w:sz w:val="19"/>
                <w:szCs w:val="19"/>
                <w:color w:val="auto"/>
              </w:rPr>
            </w:pPr>
          </w:p>
        </w:tc>
        <w:tc>
          <w:tcPr>
            <w:tcW w:w="1300" w:type="dxa"/>
            <w:vAlign w:val="bottom"/>
            <w:gridSpan w:val="2"/>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7.27%</w:t>
            </w:r>
          </w:p>
        </w:tc>
        <w:tc>
          <w:tcPr>
            <w:tcW w:w="18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1580" w:type="dxa"/>
            <w:vAlign w:val="bottom"/>
            <w:gridSpan w:val="2"/>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6.33%</w:t>
            </w:r>
          </w:p>
        </w:tc>
      </w:tr>
      <w:tr>
        <w:trPr>
          <w:trHeight w:val="266"/>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Non-U.S. rate of compensation increases</w:t>
            </w: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5.50%</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5.50%</w:t>
            </w:r>
          </w:p>
        </w:tc>
      </w:tr>
      <w:tr>
        <w:trPr>
          <w:trHeight w:val="349"/>
        </w:trPr>
        <w:tc>
          <w:tcPr>
            <w:tcW w:w="7660" w:type="dxa"/>
            <w:vAlign w:val="bottom"/>
            <w:gridSpan w:val="3"/>
          </w:tcPr>
          <w:p>
            <w:pPr>
              <w:ind w:left="540"/>
              <w:spacing w:after="0"/>
              <w:rPr>
                <w:sz w:val="20"/>
                <w:szCs w:val="20"/>
                <w:color w:val="auto"/>
              </w:rPr>
            </w:pPr>
            <w:r>
              <w:rPr>
                <w:rFonts w:ascii="Times New Roman" w:cs="Times New Roman" w:eastAsia="Times New Roman" w:hAnsi="Times New Roman"/>
                <w:sz w:val="20"/>
                <w:szCs w:val="20"/>
                <w:i w:val="1"/>
                <w:iCs w:val="1"/>
                <w:color w:val="auto"/>
              </w:rPr>
              <w:t>Weighted-Average Assumptions Used to Determine Net Periodic Benefit Cost</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68"/>
        </w:trPr>
        <w:tc>
          <w:tcPr>
            <w:tcW w:w="6220" w:type="dxa"/>
            <w:vAlign w:val="bottom"/>
          </w:tcPr>
          <w:p>
            <w:pPr>
              <w:spacing w:after="0"/>
              <w:rPr>
                <w:sz w:val="23"/>
                <w:szCs w:val="2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March 27,</w:t>
            </w:r>
          </w:p>
        </w:tc>
        <w:tc>
          <w:tcPr>
            <w:tcW w:w="140" w:type="dxa"/>
            <w:vAlign w:val="bottom"/>
          </w:tcPr>
          <w:p>
            <w:pPr>
              <w:spacing w:after="0"/>
              <w:rPr>
                <w:sz w:val="23"/>
                <w:szCs w:val="23"/>
                <w:color w:val="auto"/>
              </w:rPr>
            </w:pP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160" w:type="dxa"/>
            <w:vAlign w:val="bottom"/>
          </w:tcPr>
          <w:p>
            <w:pPr>
              <w:spacing w:after="0"/>
              <w:rPr>
                <w:sz w:val="23"/>
                <w:szCs w:val="23"/>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March 29,</w:t>
            </w:r>
          </w:p>
        </w:tc>
      </w:tr>
      <w:tr>
        <w:trPr>
          <w:trHeight w:val="203"/>
        </w:trPr>
        <w:tc>
          <w:tcPr>
            <w:tcW w:w="6220" w:type="dxa"/>
            <w:vAlign w:val="bottom"/>
          </w:tcPr>
          <w:p>
            <w:pPr>
              <w:spacing w:after="0"/>
              <w:rPr>
                <w:sz w:val="17"/>
                <w:szCs w:val="17"/>
                <w:color w:val="auto"/>
              </w:rPr>
            </w:pPr>
          </w:p>
        </w:tc>
        <w:tc>
          <w:tcPr>
            <w:tcW w:w="108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Pr>
          <w:p>
            <w:pPr>
              <w:spacing w:after="0"/>
              <w:rPr>
                <w:sz w:val="17"/>
                <w:szCs w:val="17"/>
                <w:color w:val="auto"/>
              </w:rPr>
            </w:pPr>
          </w:p>
        </w:tc>
        <w:tc>
          <w:tcPr>
            <w:tcW w:w="1300" w:type="dxa"/>
            <w:vAlign w:val="bottom"/>
            <w:gridSpan w:val="2"/>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220" w:type="dxa"/>
            <w:vAlign w:val="bottom"/>
            <w:tcBorders>
              <w:top w:val="single" w:sz="8" w:color="E2E2E2"/>
            </w:tcBorders>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Non-U.S. assumed discount rate</w:t>
            </w:r>
          </w:p>
        </w:tc>
        <w:tc>
          <w:tcPr>
            <w:tcW w:w="1440" w:type="dxa"/>
            <w:vAlign w:val="bottom"/>
            <w:tcBorders>
              <w:top w:val="single" w:sz="8" w:color="auto"/>
            </w:tcBorders>
            <w:gridSpan w:val="2"/>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7.27%</w:t>
            </w:r>
          </w:p>
        </w:tc>
        <w:tc>
          <w:tcPr>
            <w:tcW w:w="140" w:type="dxa"/>
            <w:vAlign w:val="bottom"/>
            <w:tcBorders>
              <w:top w:val="single" w:sz="8" w:color="E2E2E2"/>
            </w:tcBorders>
            <w:shd w:val="clear" w:color="auto" w:fill="E2E2E2"/>
          </w:tcPr>
          <w:p>
            <w:pPr>
              <w:spacing w:after="0"/>
              <w:rPr>
                <w:sz w:val="19"/>
                <w:szCs w:val="19"/>
                <w:color w:val="auto"/>
              </w:rPr>
            </w:pPr>
          </w:p>
        </w:tc>
        <w:tc>
          <w:tcPr>
            <w:tcW w:w="1420" w:type="dxa"/>
            <w:vAlign w:val="bottom"/>
            <w:tcBorders>
              <w:top w:val="single" w:sz="8" w:color="auto"/>
            </w:tcBorders>
            <w:gridSpan w:val="3"/>
            <w:shd w:val="clear" w:color="auto" w:fill="E2E2E2"/>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6.33%</w:t>
            </w:r>
          </w:p>
        </w:tc>
        <w:tc>
          <w:tcPr>
            <w:tcW w:w="160" w:type="dxa"/>
            <w:vAlign w:val="bottom"/>
            <w:tcBorders>
              <w:top w:val="single" w:sz="8" w:color="E2E2E2"/>
            </w:tcBorders>
            <w:shd w:val="clear" w:color="auto" w:fill="E2E2E2"/>
          </w:tcPr>
          <w:p>
            <w:pPr>
              <w:spacing w:after="0"/>
              <w:rPr>
                <w:sz w:val="19"/>
                <w:szCs w:val="19"/>
                <w:color w:val="auto"/>
              </w:rPr>
            </w:pPr>
          </w:p>
        </w:tc>
        <w:tc>
          <w:tcPr>
            <w:tcW w:w="1420" w:type="dxa"/>
            <w:vAlign w:val="bottom"/>
            <w:tcBorders>
              <w:top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6.21%</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Non-U.S. expected long-term return on plan assets</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5.44%</w:t>
            </w:r>
          </w:p>
        </w:tc>
        <w:tc>
          <w:tcPr>
            <w:tcW w:w="140" w:type="dxa"/>
            <w:vAlign w:val="bottom"/>
          </w:tcPr>
          <w:p>
            <w:pPr>
              <w:spacing w:after="0"/>
              <w:rPr>
                <w:sz w:val="20"/>
                <w:szCs w:val="20"/>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5.45%</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w:t>
            </w:r>
          </w:p>
        </w:tc>
      </w:tr>
      <w:tr>
        <w:trPr>
          <w:trHeight w:val="230"/>
        </w:trPr>
        <w:tc>
          <w:tcPr>
            <w:tcW w:w="62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Non-U.S. rate of compensation increases</w:t>
            </w:r>
          </w:p>
        </w:tc>
        <w:tc>
          <w:tcPr>
            <w:tcW w:w="14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5.50%</w:t>
            </w:r>
          </w:p>
        </w:tc>
        <w:tc>
          <w:tcPr>
            <w:tcW w:w="1560" w:type="dxa"/>
            <w:vAlign w:val="bottom"/>
            <w:gridSpan w:val="4"/>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5.50%</w:t>
            </w:r>
          </w:p>
        </w:tc>
        <w:tc>
          <w:tcPr>
            <w:tcW w:w="15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5.50%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on Plan Assets</w:t>
      </w:r>
    </w:p>
    <w:p>
      <w:pPr>
        <w:spacing w:after="0" w:line="124" w:lineRule="exact"/>
        <w:rPr>
          <w:sz w:val="20"/>
          <w:szCs w:val="20"/>
          <w:color w:val="auto"/>
        </w:rPr>
      </w:pPr>
    </w:p>
    <w:p>
      <w:pPr>
        <w:jc w:val="both"/>
        <w:ind w:firstLine="540"/>
        <w:spacing w:after="0" w:line="277" w:lineRule="auto"/>
        <w:rPr>
          <w:sz w:val="20"/>
          <w:szCs w:val="20"/>
          <w:color w:val="auto"/>
        </w:rPr>
      </w:pPr>
      <w:r>
        <w:rPr>
          <w:rFonts w:ascii="Times New Roman" w:cs="Times New Roman" w:eastAsia="Times New Roman" w:hAnsi="Times New Roman"/>
          <w:sz w:val="20"/>
          <w:szCs w:val="20"/>
          <w:color w:val="auto"/>
        </w:rPr>
        <w:t>The table below sets forth the fair value of the entity’s plan assets using the same three-level hierarchy of fair value inputs described in Note 2, “Summary of Significant Accounting Policies”: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Fair Value at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4"/>
        </w:trPr>
        <w:tc>
          <w:tcPr>
            <w:tcW w:w="5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March 27,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546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25"/>
        </w:trPr>
        <w:tc>
          <w:tcPr>
            <w:tcW w:w="5480" w:type="dxa"/>
            <w:vAlign w:val="bottom"/>
            <w:gridSpan w:val="2"/>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Assets of non-U.S. defined benefit plan:</w:t>
            </w:r>
          </w:p>
        </w:tc>
        <w:tc>
          <w:tcPr>
            <w:tcW w:w="80" w:type="dxa"/>
            <w:vAlign w:val="bottom"/>
            <w:shd w:val="clear" w:color="auto" w:fill="E2E2E2"/>
          </w:tcPr>
          <w:p>
            <w:pPr>
              <w:spacing w:after="0"/>
              <w:rPr>
                <w:sz w:val="19"/>
                <w:szCs w:val="19"/>
                <w:color w:val="auto"/>
              </w:rPr>
            </w:pPr>
          </w:p>
        </w:tc>
        <w:tc>
          <w:tcPr>
            <w:tcW w:w="114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04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04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000" w:type="dxa"/>
            <w:vAlign w:val="bottom"/>
            <w:shd w:val="clear" w:color="auto" w:fill="E2E2E2"/>
          </w:tcPr>
          <w:p>
            <w:pPr>
              <w:spacing w:after="0"/>
              <w:rPr>
                <w:sz w:val="19"/>
                <w:szCs w:val="19"/>
                <w:color w:val="auto"/>
              </w:rPr>
            </w:pPr>
          </w:p>
        </w:tc>
      </w:tr>
      <w:tr>
        <w:trPr>
          <w:trHeight w:val="230"/>
        </w:trPr>
        <w:tc>
          <w:tcPr>
            <w:tcW w:w="54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Government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3,638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3,638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48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Unit investment trust fund</w:t>
            </w:r>
          </w:p>
        </w:tc>
        <w:tc>
          <w:tcPr>
            <w:tcW w:w="80" w:type="dxa"/>
            <w:vAlign w:val="bottom"/>
            <w:shd w:val="clear" w:color="auto" w:fill="E2E2E2"/>
          </w:tcPr>
          <w:p>
            <w:pPr>
              <w:spacing w:after="0"/>
              <w:rPr>
                <w:sz w:val="20"/>
                <w:szCs w:val="20"/>
                <w:color w:val="auto"/>
              </w:rPr>
            </w:pPr>
          </w:p>
        </w:tc>
        <w:tc>
          <w:tcPr>
            <w:tcW w:w="11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auto"/>
              </w:rPr>
              <w:t>1,915</w:t>
            </w: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1,915</w:t>
            </w: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4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Loans</w:t>
            </w:r>
          </w:p>
        </w:tc>
        <w:tc>
          <w:tcPr>
            <w:tcW w:w="80" w:type="dxa"/>
            <w:vAlign w:val="bottom"/>
          </w:tcPr>
          <w:p>
            <w:pPr>
              <w:spacing w:after="0"/>
              <w:rPr>
                <w:sz w:val="20"/>
                <w:szCs w:val="20"/>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760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w:t>
            </w:r>
          </w:p>
        </w:tc>
      </w:tr>
      <w:tr>
        <w:trPr>
          <w:trHeight w:val="230"/>
        </w:trPr>
        <w:tc>
          <w:tcPr>
            <w:tcW w:w="548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Bonds</w:t>
            </w:r>
          </w:p>
        </w:tc>
        <w:tc>
          <w:tcPr>
            <w:tcW w:w="80" w:type="dxa"/>
            <w:vAlign w:val="bottom"/>
            <w:shd w:val="clear" w:color="auto" w:fill="E2E2E2"/>
          </w:tcPr>
          <w:p>
            <w:pPr>
              <w:spacing w:after="0"/>
              <w:rPr>
                <w:sz w:val="20"/>
                <w:szCs w:val="20"/>
                <w:color w:val="auto"/>
              </w:rPr>
            </w:pPr>
          </w:p>
        </w:tc>
        <w:tc>
          <w:tcPr>
            <w:tcW w:w="11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auto"/>
              </w:rPr>
              <w:t>313</w:t>
            </w: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313</w:t>
            </w: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480" w:type="dxa"/>
            <w:vAlign w:val="bottom"/>
            <w:tcBorders>
              <w:bottom w:val="single" w:sz="8" w:color="E2E2E2"/>
            </w:tcBorders>
            <w:gridSpan w:val="2"/>
          </w:tcPr>
          <w:p>
            <w:pPr>
              <w:ind w:left="200"/>
              <w:spacing w:after="0"/>
              <w:rPr>
                <w:sz w:val="20"/>
                <w:szCs w:val="20"/>
                <w:color w:val="auto"/>
              </w:rPr>
            </w:pPr>
            <w:r>
              <w:rPr>
                <w:rFonts w:ascii="Times New Roman" w:cs="Times New Roman" w:eastAsia="Times New Roman" w:hAnsi="Times New Roman"/>
                <w:sz w:val="20"/>
                <w:szCs w:val="20"/>
                <w:color w:val="auto"/>
              </w:rPr>
              <w:t>Stocks and other investments</w:t>
            </w: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2,978</w:t>
            </w:r>
          </w:p>
        </w:tc>
        <w:tc>
          <w:tcPr>
            <w:tcW w:w="14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2,037</w:t>
            </w:r>
          </w:p>
        </w:tc>
        <w:tc>
          <w:tcPr>
            <w:tcW w:w="14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940</w:t>
            </w:r>
          </w:p>
        </w:tc>
      </w:tr>
      <w:tr>
        <w:trPr>
          <w:trHeight w:val="245"/>
        </w:trPr>
        <w:tc>
          <w:tcPr>
            <w:tcW w:w="5480" w:type="dxa"/>
            <w:vAlign w:val="bottom"/>
            <w:gridSpan w:val="2"/>
            <w:shd w:val="clear" w:color="auto" w:fill="E2E2E2"/>
          </w:tcPr>
          <w:p>
            <w:pPr>
              <w:ind w:left="400"/>
              <w:spacing w:after="0" w:line="225" w:lineRule="exact"/>
              <w:rPr>
                <w:sz w:val="20"/>
                <w:szCs w:val="20"/>
                <w:color w:val="auto"/>
              </w:rPr>
            </w:pPr>
            <w:r>
              <w:rPr>
                <w:rFonts w:ascii="Times New Roman" w:cs="Times New Roman" w:eastAsia="Times New Roman" w:hAnsi="Times New Roman"/>
                <w:sz w:val="20"/>
                <w:szCs w:val="20"/>
                <w:b w:val="1"/>
                <w:bCs w:val="1"/>
                <w:color w:val="auto"/>
              </w:rPr>
              <w:t>Total</w:t>
            </w:r>
          </w:p>
        </w:tc>
        <w:tc>
          <w:tcPr>
            <w:tcW w:w="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E2E2E2"/>
          </w:tcPr>
          <w:p>
            <w:pPr>
              <w:jc w:val="right"/>
              <w:ind w:right="7"/>
              <w:spacing w:after="0" w:line="225" w:lineRule="exact"/>
              <w:rPr>
                <w:sz w:val="20"/>
                <w:szCs w:val="20"/>
                <w:color w:val="auto"/>
              </w:rPr>
            </w:pPr>
            <w:r>
              <w:rPr>
                <w:rFonts w:ascii="Times New Roman" w:cs="Times New Roman" w:eastAsia="Times New Roman" w:hAnsi="Times New Roman"/>
                <w:sz w:val="20"/>
                <w:szCs w:val="20"/>
                <w:color w:val="auto"/>
              </w:rPr>
              <w:t>9,604</w:t>
            </w:r>
          </w:p>
        </w:tc>
        <w:tc>
          <w:tcPr>
            <w:tcW w:w="1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8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E2E2E2"/>
          </w:tcPr>
          <w:p>
            <w:pPr>
              <w:jc w:val="right"/>
              <w:ind w:right="3"/>
              <w:spacing w:after="0" w:line="225" w:lineRule="exact"/>
              <w:rPr>
                <w:sz w:val="20"/>
                <w:szCs w:val="20"/>
                <w:color w:val="auto"/>
              </w:rPr>
            </w:pPr>
            <w:r>
              <w:rPr>
                <w:rFonts w:ascii="Times New Roman" w:cs="Times New Roman" w:eastAsia="Times New Roman" w:hAnsi="Times New Roman"/>
                <w:sz w:val="20"/>
                <w:szCs w:val="20"/>
                <w:color w:val="auto"/>
              </w:rPr>
              <w:t>5,675</w:t>
            </w:r>
          </w:p>
        </w:tc>
        <w:tc>
          <w:tcPr>
            <w:tcW w:w="1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8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E2E2E2"/>
          </w:tcPr>
          <w:p>
            <w:pPr>
              <w:jc w:val="right"/>
              <w:ind w:right="3"/>
              <w:spacing w:after="0" w:line="225" w:lineRule="exact"/>
              <w:rPr>
                <w:sz w:val="20"/>
                <w:szCs w:val="20"/>
                <w:color w:val="auto"/>
              </w:rPr>
            </w:pPr>
            <w:r>
              <w:rPr>
                <w:rFonts w:ascii="Times New Roman" w:cs="Times New Roman" w:eastAsia="Times New Roman" w:hAnsi="Times New Roman"/>
                <w:sz w:val="20"/>
                <w:szCs w:val="20"/>
                <w:color w:val="auto"/>
              </w:rPr>
              <w:t>2,229</w:t>
            </w:r>
          </w:p>
        </w:tc>
        <w:tc>
          <w:tcPr>
            <w:tcW w:w="1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8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1,700</w:t>
            </w:r>
          </w:p>
        </w:tc>
      </w:tr>
      <w:tr>
        <w:trPr>
          <w:trHeight w:val="20"/>
        </w:trPr>
        <w:tc>
          <w:tcPr>
            <w:tcW w:w="546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406"/>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Fair Value at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4"/>
        </w:trPr>
        <w:tc>
          <w:tcPr>
            <w:tcW w:w="5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March 28,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546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25"/>
        </w:trPr>
        <w:tc>
          <w:tcPr>
            <w:tcW w:w="5480" w:type="dxa"/>
            <w:vAlign w:val="bottom"/>
            <w:gridSpan w:val="2"/>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Assets of non-U.S. defined benefit plan:</w:t>
            </w:r>
          </w:p>
        </w:tc>
        <w:tc>
          <w:tcPr>
            <w:tcW w:w="80" w:type="dxa"/>
            <w:vAlign w:val="bottom"/>
            <w:shd w:val="clear" w:color="auto" w:fill="E2E2E2"/>
          </w:tcPr>
          <w:p>
            <w:pPr>
              <w:spacing w:after="0"/>
              <w:rPr>
                <w:sz w:val="19"/>
                <w:szCs w:val="19"/>
                <w:color w:val="auto"/>
              </w:rPr>
            </w:pPr>
          </w:p>
        </w:tc>
        <w:tc>
          <w:tcPr>
            <w:tcW w:w="114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04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04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000" w:type="dxa"/>
            <w:vAlign w:val="bottom"/>
            <w:shd w:val="clear" w:color="auto" w:fill="E2E2E2"/>
          </w:tcPr>
          <w:p>
            <w:pPr>
              <w:spacing w:after="0"/>
              <w:rPr>
                <w:sz w:val="19"/>
                <w:szCs w:val="19"/>
                <w:color w:val="auto"/>
              </w:rPr>
            </w:pPr>
          </w:p>
        </w:tc>
      </w:tr>
      <w:tr>
        <w:trPr>
          <w:trHeight w:val="230"/>
        </w:trPr>
        <w:tc>
          <w:tcPr>
            <w:tcW w:w="54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Government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3,023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3,023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48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Unit investment trust fund</w:t>
            </w:r>
          </w:p>
        </w:tc>
        <w:tc>
          <w:tcPr>
            <w:tcW w:w="80" w:type="dxa"/>
            <w:vAlign w:val="bottom"/>
            <w:shd w:val="clear" w:color="auto" w:fill="E2E2E2"/>
          </w:tcPr>
          <w:p>
            <w:pPr>
              <w:spacing w:after="0"/>
              <w:rPr>
                <w:sz w:val="20"/>
                <w:szCs w:val="20"/>
                <w:color w:val="auto"/>
              </w:rPr>
            </w:pPr>
          </w:p>
        </w:tc>
        <w:tc>
          <w:tcPr>
            <w:tcW w:w="11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auto"/>
              </w:rPr>
              <w:t>1,719</w:t>
            </w: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1,719</w:t>
            </w: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4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Loans</w:t>
            </w:r>
          </w:p>
        </w:tc>
        <w:tc>
          <w:tcPr>
            <w:tcW w:w="80" w:type="dxa"/>
            <w:vAlign w:val="bottom"/>
          </w:tcPr>
          <w:p>
            <w:pPr>
              <w:spacing w:after="0"/>
              <w:rPr>
                <w:sz w:val="20"/>
                <w:szCs w:val="20"/>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654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w:t>
            </w:r>
          </w:p>
        </w:tc>
      </w:tr>
      <w:tr>
        <w:trPr>
          <w:trHeight w:val="230"/>
        </w:trPr>
        <w:tc>
          <w:tcPr>
            <w:tcW w:w="548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Bonds</w:t>
            </w:r>
          </w:p>
        </w:tc>
        <w:tc>
          <w:tcPr>
            <w:tcW w:w="80" w:type="dxa"/>
            <w:vAlign w:val="bottom"/>
            <w:shd w:val="clear" w:color="auto" w:fill="E2E2E2"/>
          </w:tcPr>
          <w:p>
            <w:pPr>
              <w:spacing w:after="0"/>
              <w:rPr>
                <w:sz w:val="20"/>
                <w:szCs w:val="20"/>
                <w:color w:val="auto"/>
              </w:rPr>
            </w:pPr>
          </w:p>
        </w:tc>
        <w:tc>
          <w:tcPr>
            <w:tcW w:w="11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auto"/>
              </w:rPr>
              <w:t>341</w:t>
            </w: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341</w:t>
            </w: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480" w:type="dxa"/>
            <w:vAlign w:val="bottom"/>
            <w:tcBorders>
              <w:bottom w:val="single" w:sz="8" w:color="E2E2E2"/>
            </w:tcBorders>
            <w:gridSpan w:val="2"/>
          </w:tcPr>
          <w:p>
            <w:pPr>
              <w:ind w:left="200"/>
              <w:spacing w:after="0"/>
              <w:rPr>
                <w:sz w:val="20"/>
                <w:szCs w:val="20"/>
                <w:color w:val="auto"/>
              </w:rPr>
            </w:pPr>
            <w:r>
              <w:rPr>
                <w:rFonts w:ascii="Times New Roman" w:cs="Times New Roman" w:eastAsia="Times New Roman" w:hAnsi="Times New Roman"/>
                <w:sz w:val="20"/>
                <w:szCs w:val="20"/>
                <w:color w:val="auto"/>
              </w:rPr>
              <w:t>Stocks and other investments</w:t>
            </w: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2,695</w:t>
            </w:r>
          </w:p>
        </w:tc>
        <w:tc>
          <w:tcPr>
            <w:tcW w:w="14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1,845</w:t>
            </w:r>
          </w:p>
        </w:tc>
        <w:tc>
          <w:tcPr>
            <w:tcW w:w="14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847</w:t>
            </w:r>
          </w:p>
        </w:tc>
      </w:tr>
      <w:tr>
        <w:trPr>
          <w:trHeight w:val="245"/>
        </w:trPr>
        <w:tc>
          <w:tcPr>
            <w:tcW w:w="5480" w:type="dxa"/>
            <w:vAlign w:val="bottom"/>
            <w:gridSpan w:val="2"/>
            <w:shd w:val="clear" w:color="auto" w:fill="E2E2E2"/>
          </w:tcPr>
          <w:p>
            <w:pPr>
              <w:ind w:left="400"/>
              <w:spacing w:after="0" w:line="225" w:lineRule="exact"/>
              <w:rPr>
                <w:sz w:val="20"/>
                <w:szCs w:val="20"/>
                <w:color w:val="auto"/>
              </w:rPr>
            </w:pPr>
            <w:r>
              <w:rPr>
                <w:rFonts w:ascii="Times New Roman" w:cs="Times New Roman" w:eastAsia="Times New Roman" w:hAnsi="Times New Roman"/>
                <w:sz w:val="20"/>
                <w:szCs w:val="20"/>
                <w:b w:val="1"/>
                <w:bCs w:val="1"/>
                <w:color w:val="auto"/>
              </w:rPr>
              <w:t>Total</w:t>
            </w:r>
          </w:p>
        </w:tc>
        <w:tc>
          <w:tcPr>
            <w:tcW w:w="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E2E2E2"/>
          </w:tcPr>
          <w:p>
            <w:pPr>
              <w:jc w:val="right"/>
              <w:ind w:right="7"/>
              <w:spacing w:after="0" w:line="225" w:lineRule="exact"/>
              <w:rPr>
                <w:sz w:val="20"/>
                <w:szCs w:val="20"/>
                <w:color w:val="auto"/>
              </w:rPr>
            </w:pPr>
            <w:r>
              <w:rPr>
                <w:rFonts w:ascii="Times New Roman" w:cs="Times New Roman" w:eastAsia="Times New Roman" w:hAnsi="Times New Roman"/>
                <w:sz w:val="20"/>
                <w:szCs w:val="20"/>
                <w:color w:val="auto"/>
              </w:rPr>
              <w:t>8,432</w:t>
            </w:r>
          </w:p>
        </w:tc>
        <w:tc>
          <w:tcPr>
            <w:tcW w:w="1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8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E2E2E2"/>
          </w:tcPr>
          <w:p>
            <w:pPr>
              <w:jc w:val="right"/>
              <w:ind w:right="3"/>
              <w:spacing w:after="0" w:line="225" w:lineRule="exact"/>
              <w:rPr>
                <w:sz w:val="20"/>
                <w:szCs w:val="20"/>
                <w:color w:val="auto"/>
              </w:rPr>
            </w:pPr>
            <w:r>
              <w:rPr>
                <w:rFonts w:ascii="Times New Roman" w:cs="Times New Roman" w:eastAsia="Times New Roman" w:hAnsi="Times New Roman"/>
                <w:sz w:val="20"/>
                <w:szCs w:val="20"/>
                <w:color w:val="auto"/>
              </w:rPr>
              <w:t>4,868</w:t>
            </w:r>
          </w:p>
        </w:tc>
        <w:tc>
          <w:tcPr>
            <w:tcW w:w="1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8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E2E2E2"/>
          </w:tcPr>
          <w:p>
            <w:pPr>
              <w:jc w:val="right"/>
              <w:ind w:right="3"/>
              <w:spacing w:after="0" w:line="225" w:lineRule="exact"/>
              <w:rPr>
                <w:sz w:val="20"/>
                <w:szCs w:val="20"/>
                <w:color w:val="auto"/>
              </w:rPr>
            </w:pPr>
            <w:r>
              <w:rPr>
                <w:rFonts w:ascii="Times New Roman" w:cs="Times New Roman" w:eastAsia="Times New Roman" w:hAnsi="Times New Roman"/>
                <w:sz w:val="20"/>
                <w:szCs w:val="20"/>
                <w:color w:val="auto"/>
              </w:rPr>
              <w:t>2,063</w:t>
            </w:r>
          </w:p>
        </w:tc>
        <w:tc>
          <w:tcPr>
            <w:tcW w:w="1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8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1,501</w:t>
            </w:r>
          </w:p>
        </w:tc>
      </w:tr>
      <w:tr>
        <w:trPr>
          <w:trHeight w:val="20"/>
        </w:trPr>
        <w:tc>
          <w:tcPr>
            <w:tcW w:w="546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10800"/>
          </w:cols>
          <w:pgMar w:left="720" w:top="696" w:right="720" w:bottom="187" w:gutter="0" w:footer="0" w:header="0"/>
          <w:type w:val="continuous"/>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shows the change in fair value of Level 3 plan assets:</w:t>
      </w:r>
    </w:p>
    <w:p>
      <w:pPr>
        <w:spacing w:after="0" w:line="134"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6"/>
          <w:szCs w:val="16"/>
          <w:b w:val="1"/>
          <w:bCs w:val="1"/>
          <w:color w:val="auto"/>
        </w:rPr>
        <w:t>Level 3 Non-U.S. Defined</w:t>
      </w:r>
    </w:p>
    <w:p>
      <w:pPr>
        <w:spacing w:after="0" w:line="26"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6"/>
          <w:szCs w:val="16"/>
          <w:b w:val="1"/>
          <w:bCs w:val="1"/>
          <w:color w:val="auto"/>
        </w:rPr>
        <w:t>Plan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4673600</wp:posOffset>
                </wp:positionH>
                <wp:positionV relativeFrom="paragraph">
                  <wp:posOffset>0</wp:posOffset>
                </wp:positionV>
                <wp:extent cx="21844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44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pt,0pt" to="540pt,0pt" o:allowincell="f" strokecolor="#000000" strokeweight="0.75pt"/>
            </w:pict>
          </mc:Fallback>
        </mc:AlternateContent>
      </w:r>
    </w:p>
    <w:tbl>
      <w:tblPr>
        <w:tblLayout w:type="fixed"/>
        <w:tblInd w:w="0" w:type="dxa"/>
        <w:tblCellMar>
          <w:top w:w="0" w:type="dxa"/>
          <w:left w:w="0" w:type="dxa"/>
          <w:bottom w:w="0" w:type="dxa"/>
          <w:right w:w="0" w:type="dxa"/>
        </w:tblCellMar>
      </w:tblPr>
      <w:tr>
        <w:trPr>
          <w:trHeight w:val="196"/>
        </w:trPr>
        <w:tc>
          <w:tcPr>
            <w:tcW w:w="5500" w:type="dxa"/>
            <w:vAlign w:val="bottom"/>
            <w:tcBorders>
              <w:bottom w:val="single" w:sz="8" w:color="E2E2E2"/>
            </w:tcBorders>
          </w:tcPr>
          <w:p>
            <w:pPr>
              <w:spacing w:after="0"/>
              <w:rPr>
                <w:sz w:val="17"/>
                <w:szCs w:val="17"/>
                <w:color w:val="auto"/>
              </w:rPr>
            </w:pPr>
          </w:p>
        </w:tc>
        <w:tc>
          <w:tcPr>
            <w:tcW w:w="1860" w:type="dxa"/>
            <w:vAlign w:val="bottom"/>
            <w:tcBorders>
              <w:bottom w:val="single" w:sz="8" w:color="E2E2E2"/>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Loans</w:t>
            </w: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E2E2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Stocks</w:t>
            </w:r>
          </w:p>
        </w:tc>
      </w:tr>
      <w:tr>
        <w:trPr>
          <w:trHeight w:val="239"/>
        </w:trPr>
        <w:tc>
          <w:tcPr>
            <w:tcW w:w="5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Balance at March 29, 2024</w:t>
            </w:r>
          </w:p>
        </w:tc>
        <w:tc>
          <w:tcPr>
            <w:tcW w:w="1860" w:type="dxa"/>
            <w:vAlign w:val="bottom"/>
            <w:shd w:val="clear" w:color="auto" w:fill="E2E2E2"/>
          </w:tcPr>
          <w:p>
            <w:pPr>
              <w:spacing w:after="0"/>
              <w:rPr>
                <w:sz w:val="20"/>
                <w:szCs w:val="20"/>
                <w:color w:val="auto"/>
              </w:rPr>
            </w:pPr>
          </w:p>
        </w:tc>
        <w:tc>
          <w:tcPr>
            <w:tcW w:w="1060" w:type="dxa"/>
            <w:vAlign w:val="bottom"/>
            <w:shd w:val="clear" w:color="auto" w:fill="E2E2E2"/>
          </w:tcPr>
          <w:p>
            <w:pPr>
              <w:jc w:val="right"/>
              <w:ind w:right="865"/>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574</w:t>
            </w:r>
          </w:p>
        </w:tc>
        <w:tc>
          <w:tcPr>
            <w:tcW w:w="180" w:type="dxa"/>
            <w:vAlign w:val="bottom"/>
            <w:shd w:val="clear" w:color="auto" w:fill="E2E2E2"/>
          </w:tcPr>
          <w:p>
            <w:pPr>
              <w:spacing w:after="0"/>
              <w:rPr>
                <w:sz w:val="20"/>
                <w:szCs w:val="20"/>
                <w:color w:val="auto"/>
              </w:rPr>
            </w:pPr>
          </w:p>
        </w:tc>
        <w:tc>
          <w:tcPr>
            <w:tcW w:w="32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909</w:t>
            </w:r>
          </w:p>
        </w:tc>
      </w:tr>
      <w:tr>
        <w:trPr>
          <w:trHeight w:val="244"/>
        </w:trPr>
        <w:tc>
          <w:tcPr>
            <w:tcW w:w="5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Additions</w:t>
            </w:r>
          </w:p>
        </w:tc>
        <w:tc>
          <w:tcPr>
            <w:tcW w:w="1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475</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5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Redemptions</w:t>
            </w:r>
          </w:p>
        </w:tc>
        <w:tc>
          <w:tcPr>
            <w:tcW w:w="1860" w:type="dxa"/>
            <w:vAlign w:val="bottom"/>
            <w:shd w:val="clear" w:color="auto" w:fill="E2E2E2"/>
          </w:tcPr>
          <w:p>
            <w:pPr>
              <w:spacing w:after="0"/>
              <w:rPr>
                <w:sz w:val="21"/>
                <w:szCs w:val="21"/>
                <w:color w:val="auto"/>
              </w:rPr>
            </w:pPr>
          </w:p>
        </w:tc>
        <w:tc>
          <w:tcPr>
            <w:tcW w:w="1060" w:type="dxa"/>
            <w:vAlign w:val="bottom"/>
            <w:shd w:val="clear" w:color="auto" w:fill="E2E2E2"/>
          </w:tcPr>
          <w:p>
            <w:pPr>
              <w:spacing w:after="0"/>
              <w:rPr>
                <w:sz w:val="21"/>
                <w:szCs w:val="21"/>
                <w:color w:val="auto"/>
              </w:rPr>
            </w:pPr>
          </w:p>
        </w:tc>
        <w:tc>
          <w:tcPr>
            <w:tcW w:w="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(381)</w:t>
            </w:r>
          </w:p>
        </w:tc>
        <w:tc>
          <w:tcPr>
            <w:tcW w:w="180" w:type="dxa"/>
            <w:vAlign w:val="bottom"/>
            <w:shd w:val="clear" w:color="auto" w:fill="E2E2E2"/>
          </w:tcPr>
          <w:p>
            <w:pPr>
              <w:spacing w:after="0"/>
              <w:rPr>
                <w:sz w:val="21"/>
                <w:szCs w:val="21"/>
                <w:color w:val="auto"/>
              </w:rPr>
            </w:pPr>
          </w:p>
        </w:tc>
        <w:tc>
          <w:tcPr>
            <w:tcW w:w="32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Revaluation of debt and equity securities</w:t>
            </w:r>
          </w:p>
        </w:tc>
        <w:tc>
          <w:tcPr>
            <w:tcW w:w="1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64"/>
        </w:trPr>
        <w:tc>
          <w:tcPr>
            <w:tcW w:w="550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Change in foreign currency exchange rates</w:t>
            </w:r>
          </w:p>
        </w:tc>
        <w:tc>
          <w:tcPr>
            <w:tcW w:w="1860" w:type="dxa"/>
            <w:vAlign w:val="bottom"/>
            <w:tcBorders>
              <w:bottom w:val="single" w:sz="8" w:color="E2E2E2"/>
            </w:tcBorders>
            <w:shd w:val="clear" w:color="auto" w:fill="E2E2E2"/>
          </w:tcPr>
          <w:p>
            <w:pPr>
              <w:spacing w:after="0"/>
              <w:rPr>
                <w:sz w:val="22"/>
                <w:szCs w:val="22"/>
                <w:color w:val="auto"/>
              </w:rPr>
            </w:pPr>
          </w:p>
        </w:tc>
        <w:tc>
          <w:tcPr>
            <w:tcW w:w="1060" w:type="dxa"/>
            <w:vAlign w:val="bottom"/>
            <w:tcBorders>
              <w:bottom w:val="single" w:sz="8" w:color="E2E2E2"/>
            </w:tcBorders>
            <w:shd w:val="clear" w:color="auto" w:fill="E2E2E2"/>
          </w:tcPr>
          <w:p>
            <w:pPr>
              <w:spacing w:after="0"/>
              <w:rPr>
                <w:sz w:val="22"/>
                <w:szCs w:val="22"/>
                <w:color w:val="auto"/>
              </w:rPr>
            </w:pPr>
          </w:p>
        </w:tc>
        <w:tc>
          <w:tcPr>
            <w:tcW w:w="5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80" w:type="dxa"/>
            <w:vAlign w:val="bottom"/>
            <w:tcBorders>
              <w:bottom w:val="single" w:sz="8" w:color="E2E2E2"/>
            </w:tcBorders>
            <w:shd w:val="clear" w:color="auto" w:fill="E2E2E2"/>
          </w:tcPr>
          <w:p>
            <w:pPr>
              <w:spacing w:after="0"/>
              <w:rPr>
                <w:sz w:val="22"/>
                <w:szCs w:val="22"/>
                <w:color w:val="auto"/>
              </w:rPr>
            </w:pPr>
          </w:p>
        </w:tc>
        <w:tc>
          <w:tcPr>
            <w:tcW w:w="320" w:type="dxa"/>
            <w:vAlign w:val="bottom"/>
            <w:tcBorders>
              <w:bottom w:val="single" w:sz="8" w:color="auto"/>
            </w:tcBorders>
            <w:shd w:val="clear" w:color="auto" w:fill="E2E2E2"/>
          </w:tcPr>
          <w:p>
            <w:pPr>
              <w:spacing w:after="0"/>
              <w:rPr>
                <w:sz w:val="22"/>
                <w:szCs w:val="22"/>
                <w:color w:val="auto"/>
              </w:rPr>
            </w:pPr>
          </w:p>
        </w:tc>
        <w:tc>
          <w:tcPr>
            <w:tcW w:w="13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19"/>
        </w:trPr>
        <w:tc>
          <w:tcPr>
            <w:tcW w:w="550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Balance at March 28, 2025</w:t>
            </w:r>
          </w:p>
        </w:tc>
        <w:tc>
          <w:tcPr>
            <w:tcW w:w="1860" w:type="dxa"/>
            <w:vAlign w:val="bottom"/>
          </w:tcPr>
          <w:p>
            <w:pPr>
              <w:spacing w:after="0"/>
              <w:rPr>
                <w:sz w:val="19"/>
                <w:szCs w:val="19"/>
                <w:color w:val="auto"/>
              </w:rPr>
            </w:pPr>
          </w:p>
        </w:tc>
        <w:tc>
          <w:tcPr>
            <w:tcW w:w="1060" w:type="dxa"/>
            <w:vAlign w:val="bottom"/>
            <w:tcBorders>
              <w:top w:val="single" w:sz="8" w:color="auto"/>
            </w:tcBorders>
          </w:tcPr>
          <w:p>
            <w:pPr>
              <w:jc w:val="right"/>
              <w:ind w:right="865"/>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top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654</w:t>
            </w:r>
          </w:p>
        </w:tc>
        <w:tc>
          <w:tcPr>
            <w:tcW w:w="180" w:type="dxa"/>
            <w:vAlign w:val="bottom"/>
          </w:tcPr>
          <w:p>
            <w:pPr>
              <w:spacing w:after="0"/>
              <w:rPr>
                <w:sz w:val="19"/>
                <w:szCs w:val="19"/>
                <w:color w:val="auto"/>
              </w:rPr>
            </w:pPr>
          </w:p>
        </w:tc>
        <w:tc>
          <w:tcPr>
            <w:tcW w:w="320" w:type="dxa"/>
            <w:vAlign w:val="bottom"/>
            <w:tcBorders>
              <w:top w:val="single" w:sz="8" w:color="auto"/>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tcPr>
          <w:p>
            <w:pPr>
              <w:jc w:val="right"/>
              <w:ind w:right="2"/>
              <w:spacing w:after="0" w:line="219" w:lineRule="exact"/>
              <w:rPr>
                <w:sz w:val="20"/>
                <w:szCs w:val="20"/>
                <w:color w:val="auto"/>
              </w:rPr>
            </w:pPr>
            <w:r>
              <w:rPr>
                <w:rFonts w:ascii="Times New Roman" w:cs="Times New Roman" w:eastAsia="Times New Roman" w:hAnsi="Times New Roman"/>
                <w:sz w:val="20"/>
                <w:szCs w:val="20"/>
                <w:color w:val="auto"/>
              </w:rPr>
              <w:t>847</w:t>
            </w:r>
          </w:p>
        </w:tc>
      </w:tr>
      <w:tr>
        <w:trPr>
          <w:trHeight w:val="244"/>
        </w:trPr>
        <w:tc>
          <w:tcPr>
            <w:tcW w:w="55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Additions</w:t>
            </w:r>
          </w:p>
        </w:tc>
        <w:tc>
          <w:tcPr>
            <w:tcW w:w="1860" w:type="dxa"/>
            <w:vAlign w:val="bottom"/>
            <w:shd w:val="clear" w:color="auto" w:fill="E2E2E2"/>
          </w:tcPr>
          <w:p>
            <w:pPr>
              <w:spacing w:after="0"/>
              <w:rPr>
                <w:sz w:val="21"/>
                <w:szCs w:val="21"/>
                <w:color w:val="auto"/>
              </w:rPr>
            </w:pPr>
          </w:p>
        </w:tc>
        <w:tc>
          <w:tcPr>
            <w:tcW w:w="1060" w:type="dxa"/>
            <w:vAlign w:val="bottom"/>
            <w:shd w:val="clear" w:color="auto" w:fill="E2E2E2"/>
          </w:tcPr>
          <w:p>
            <w:pPr>
              <w:spacing w:after="0"/>
              <w:rPr>
                <w:sz w:val="21"/>
                <w:szCs w:val="21"/>
                <w:color w:val="auto"/>
              </w:rPr>
            </w:pPr>
          </w:p>
        </w:tc>
        <w:tc>
          <w:tcPr>
            <w:tcW w:w="58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558</w:t>
            </w:r>
          </w:p>
        </w:tc>
        <w:tc>
          <w:tcPr>
            <w:tcW w:w="180" w:type="dxa"/>
            <w:vAlign w:val="bottom"/>
            <w:shd w:val="clear" w:color="auto" w:fill="E2E2E2"/>
          </w:tcPr>
          <w:p>
            <w:pPr>
              <w:spacing w:after="0"/>
              <w:rPr>
                <w:sz w:val="21"/>
                <w:szCs w:val="21"/>
                <w:color w:val="auto"/>
              </w:rPr>
            </w:pPr>
          </w:p>
        </w:tc>
        <w:tc>
          <w:tcPr>
            <w:tcW w:w="32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Redemptions</w:t>
            </w:r>
          </w:p>
        </w:tc>
        <w:tc>
          <w:tcPr>
            <w:tcW w:w="1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5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Revaluation of debt and equity securities</w:t>
            </w:r>
          </w:p>
        </w:tc>
        <w:tc>
          <w:tcPr>
            <w:tcW w:w="1860" w:type="dxa"/>
            <w:vAlign w:val="bottom"/>
            <w:shd w:val="clear" w:color="auto" w:fill="E2E2E2"/>
          </w:tcPr>
          <w:p>
            <w:pPr>
              <w:spacing w:after="0"/>
              <w:rPr>
                <w:sz w:val="21"/>
                <w:szCs w:val="21"/>
                <w:color w:val="auto"/>
              </w:rPr>
            </w:pPr>
          </w:p>
        </w:tc>
        <w:tc>
          <w:tcPr>
            <w:tcW w:w="1060" w:type="dxa"/>
            <w:vAlign w:val="bottom"/>
            <w:shd w:val="clear" w:color="auto" w:fill="E2E2E2"/>
          </w:tcPr>
          <w:p>
            <w:pPr>
              <w:spacing w:after="0"/>
              <w:rPr>
                <w:sz w:val="21"/>
                <w:szCs w:val="21"/>
                <w:color w:val="auto"/>
              </w:rPr>
            </w:pPr>
          </w:p>
        </w:tc>
        <w:tc>
          <w:tcPr>
            <w:tcW w:w="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shd w:val="clear" w:color="auto" w:fill="E2E2E2"/>
          </w:tcPr>
          <w:p>
            <w:pPr>
              <w:spacing w:after="0"/>
              <w:rPr>
                <w:sz w:val="21"/>
                <w:szCs w:val="21"/>
                <w:color w:val="auto"/>
              </w:rPr>
            </w:pPr>
          </w:p>
        </w:tc>
        <w:tc>
          <w:tcPr>
            <w:tcW w:w="32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126</w:t>
            </w:r>
          </w:p>
        </w:tc>
      </w:tr>
      <w:tr>
        <w:trPr>
          <w:trHeight w:val="244"/>
        </w:trPr>
        <w:tc>
          <w:tcPr>
            <w:tcW w:w="550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Change in foreign currency exchange rates</w:t>
            </w:r>
          </w:p>
        </w:tc>
        <w:tc>
          <w:tcPr>
            <w:tcW w:w="1860" w:type="dxa"/>
            <w:vAlign w:val="bottom"/>
            <w:tcBorders>
              <w:bottom w:val="single" w:sz="8" w:color="E2E2E2"/>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80" w:type="dxa"/>
            <w:vAlign w:val="bottom"/>
            <w:tcBorders>
              <w:bottom w:val="single" w:sz="8" w:color="E2E2E2"/>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59"/>
        </w:trPr>
        <w:tc>
          <w:tcPr>
            <w:tcW w:w="550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Balance at March 27, 2026</w:t>
            </w:r>
          </w:p>
        </w:tc>
        <w:tc>
          <w:tcPr>
            <w:tcW w:w="1860" w:type="dxa"/>
            <w:vAlign w:val="bottom"/>
            <w:tcBorders>
              <w:bottom w:val="single" w:sz="8" w:color="E2E2E2"/>
            </w:tcBorders>
            <w:shd w:val="clear" w:color="auto" w:fill="E2E2E2"/>
          </w:tcPr>
          <w:p>
            <w:pPr>
              <w:spacing w:after="0"/>
              <w:rPr>
                <w:sz w:val="22"/>
                <w:szCs w:val="22"/>
                <w:color w:val="auto"/>
              </w:rPr>
            </w:pPr>
          </w:p>
        </w:tc>
        <w:tc>
          <w:tcPr>
            <w:tcW w:w="1060" w:type="dxa"/>
            <w:vAlign w:val="bottom"/>
            <w:tcBorders>
              <w:bottom w:val="single" w:sz="8" w:color="auto"/>
            </w:tcBorders>
            <w:shd w:val="clear" w:color="auto" w:fill="E2E2E2"/>
          </w:tcPr>
          <w:p>
            <w:pPr>
              <w:jc w:val="right"/>
              <w:ind w:right="865"/>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bottom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760</w:t>
            </w:r>
          </w:p>
        </w:tc>
        <w:tc>
          <w:tcPr>
            <w:tcW w:w="180" w:type="dxa"/>
            <w:vAlign w:val="bottom"/>
            <w:tcBorders>
              <w:bottom w:val="single" w:sz="8" w:color="E2E2E2"/>
            </w:tcBorders>
            <w:shd w:val="clear" w:color="auto" w:fill="E2E2E2"/>
          </w:tcPr>
          <w:p>
            <w:pPr>
              <w:spacing w:after="0"/>
              <w:rPr>
                <w:sz w:val="22"/>
                <w:szCs w:val="22"/>
                <w:color w:val="auto"/>
              </w:rPr>
            </w:pPr>
          </w:p>
        </w:tc>
        <w:tc>
          <w:tcPr>
            <w:tcW w:w="320" w:type="dxa"/>
            <w:vAlign w:val="bottom"/>
            <w:tcBorders>
              <w:bottom w:val="single" w:sz="8" w:color="auto"/>
            </w:tcBorders>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940</w:t>
            </w:r>
          </w:p>
        </w:tc>
      </w:tr>
      <w:tr>
        <w:trPr>
          <w:trHeight w:val="20"/>
        </w:trPr>
        <w:tc>
          <w:tcPr>
            <w:tcW w:w="5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both"/>
        <w:ind w:firstLine="540"/>
        <w:spacing w:after="0" w:line="247" w:lineRule="auto"/>
        <w:rPr>
          <w:sz w:val="20"/>
          <w:szCs w:val="20"/>
          <w:color w:val="auto"/>
        </w:rPr>
      </w:pPr>
      <w:r>
        <w:rPr>
          <w:rFonts w:ascii="Times New Roman" w:cs="Times New Roman" w:eastAsia="Times New Roman" w:hAnsi="Times New Roman"/>
          <w:sz w:val="20"/>
          <w:szCs w:val="20"/>
          <w:color w:val="auto"/>
        </w:rPr>
        <w:t>The investments in the Company’s major benefit plans largely consist of low-cost, broad-market index funds to mitigate risks of concentration within the market sectors. The appropriate mix of equity and bond investments is determined primarily through the use of detailed asset-liability modeling studies that look to balance the impact of changes in the discount rate against the need to provide asset growth to cover future service cost. The Company has added a greater proportion of fixed income securities to the non-U.S. defined benefit plan with return characteristics that are more closely aligned with changes in liabilities caused by discount rate volatility. There are no significant restrictions on the amount or nature of the investments that may be acquired or held by the plans.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12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During the fiscal years ended March 27, 2026, March 28, 2025 and March 29, 2024, the Company contributed approximately $1,532, $ 1,122 and $ 1,230 to its non-U.S. defined benefit plan, respectively. The Company expects to contribute approximately $2,790 to its non-U.S. defined benefit plan in fiscal year 2027.</w:t>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Estimated Future Benefit Payments</w:t>
      </w:r>
    </w:p>
    <w:p>
      <w:pPr>
        <w:spacing w:after="0" w:line="1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projects the benefits expected to be paid to participants from the plans in each of the following fiscal years.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majority of the payments will be paid from Company assets.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0" w:type="dxa"/>
            <w:vAlign w:val="bottom"/>
          </w:tcPr>
          <w:p>
            <w:pPr>
              <w:spacing w:after="0"/>
              <w:rPr>
                <w:sz w:val="1"/>
                <w:szCs w:val="1"/>
                <w:color w:val="auto"/>
              </w:rPr>
            </w:pPr>
          </w:p>
        </w:tc>
      </w:tr>
      <w:tr>
        <w:trPr>
          <w:trHeight w:val="203"/>
        </w:trPr>
        <w:tc>
          <w:tcPr>
            <w:tcW w:w="8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2027</w:t>
            </w: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0" w:type="dxa"/>
            <w:vAlign w:val="bottom"/>
          </w:tcPr>
          <w:p>
            <w:pPr>
              <w:spacing w:after="0"/>
              <w:rPr>
                <w:sz w:val="1"/>
                <w:szCs w:val="1"/>
                <w:color w:val="auto"/>
              </w:rPr>
            </w:pPr>
          </w:p>
        </w:tc>
      </w:tr>
      <w:tr>
        <w:trPr>
          <w:trHeight w:val="225"/>
        </w:trPr>
        <w:tc>
          <w:tcPr>
            <w:tcW w:w="8860" w:type="dxa"/>
            <w:vAlign w:val="bottom"/>
            <w:vMerge w:val="continue"/>
          </w:tcPr>
          <w:p>
            <w:pPr>
              <w:spacing w:after="0"/>
              <w:rPr>
                <w:sz w:val="19"/>
                <w:szCs w:val="19"/>
                <w:color w:val="auto"/>
              </w:rPr>
            </w:pPr>
          </w:p>
        </w:tc>
        <w:tc>
          <w:tcPr>
            <w:tcW w:w="380" w:type="dxa"/>
            <w:vAlign w:val="bottom"/>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1,932</w:t>
            </w:r>
          </w:p>
        </w:tc>
        <w:tc>
          <w:tcPr>
            <w:tcW w:w="0" w:type="dxa"/>
            <w:vAlign w:val="bottom"/>
          </w:tcPr>
          <w:p>
            <w:pPr>
              <w:spacing w:after="0"/>
              <w:rPr>
                <w:sz w:val="1"/>
                <w:szCs w:val="1"/>
                <w:color w:val="auto"/>
              </w:rPr>
            </w:pPr>
          </w:p>
        </w:tc>
      </w:tr>
      <w:tr>
        <w:trPr>
          <w:trHeight w:val="230"/>
        </w:trPr>
        <w:tc>
          <w:tcPr>
            <w:tcW w:w="88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2028</w:t>
            </w:r>
          </w:p>
        </w:tc>
        <w:tc>
          <w:tcPr>
            <w:tcW w:w="380" w:type="dxa"/>
            <w:vAlign w:val="bottom"/>
            <w:shd w:val="clear" w:color="auto" w:fill="E2E2E2"/>
          </w:tcPr>
          <w:p>
            <w:pPr>
              <w:spacing w:after="0"/>
              <w:rPr>
                <w:sz w:val="20"/>
                <w:szCs w:val="20"/>
                <w:color w:val="auto"/>
              </w:rPr>
            </w:pP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1,585</w:t>
            </w:r>
          </w:p>
        </w:tc>
        <w:tc>
          <w:tcPr>
            <w:tcW w:w="0" w:type="dxa"/>
            <w:vAlign w:val="bottom"/>
          </w:tcPr>
          <w:p>
            <w:pPr>
              <w:spacing w:after="0"/>
              <w:rPr>
                <w:sz w:val="1"/>
                <w:szCs w:val="1"/>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1,373</w:t>
            </w:r>
          </w:p>
        </w:tc>
        <w:tc>
          <w:tcPr>
            <w:tcW w:w="0" w:type="dxa"/>
            <w:vAlign w:val="bottom"/>
          </w:tcPr>
          <w:p>
            <w:pPr>
              <w:spacing w:after="0"/>
              <w:rPr>
                <w:sz w:val="1"/>
                <w:szCs w:val="1"/>
                <w:color w:val="auto"/>
              </w:rPr>
            </w:pPr>
          </w:p>
        </w:tc>
      </w:tr>
      <w:tr>
        <w:trPr>
          <w:trHeight w:val="230"/>
        </w:trPr>
        <w:tc>
          <w:tcPr>
            <w:tcW w:w="88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2030</w:t>
            </w:r>
          </w:p>
        </w:tc>
        <w:tc>
          <w:tcPr>
            <w:tcW w:w="380" w:type="dxa"/>
            <w:vAlign w:val="bottom"/>
            <w:shd w:val="clear" w:color="auto" w:fill="E2E2E2"/>
          </w:tcPr>
          <w:p>
            <w:pPr>
              <w:spacing w:after="0"/>
              <w:rPr>
                <w:sz w:val="20"/>
                <w:szCs w:val="20"/>
                <w:color w:val="auto"/>
              </w:rPr>
            </w:pP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1,350</w:t>
            </w:r>
          </w:p>
        </w:tc>
        <w:tc>
          <w:tcPr>
            <w:tcW w:w="0" w:type="dxa"/>
            <w:vAlign w:val="bottom"/>
          </w:tcPr>
          <w:p>
            <w:pPr>
              <w:spacing w:after="0"/>
              <w:rPr>
                <w:sz w:val="1"/>
                <w:szCs w:val="1"/>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2031</w:t>
            </w:r>
          </w:p>
        </w:tc>
        <w:tc>
          <w:tcPr>
            <w:tcW w:w="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1,836</w:t>
            </w:r>
          </w:p>
        </w:tc>
        <w:tc>
          <w:tcPr>
            <w:tcW w:w="0" w:type="dxa"/>
            <w:vAlign w:val="bottom"/>
          </w:tcPr>
          <w:p>
            <w:pPr>
              <w:spacing w:after="0"/>
              <w:rPr>
                <w:sz w:val="1"/>
                <w:szCs w:val="1"/>
                <w:color w:val="auto"/>
              </w:rPr>
            </w:pPr>
          </w:p>
        </w:tc>
      </w:tr>
      <w:tr>
        <w:trPr>
          <w:trHeight w:val="250"/>
        </w:trPr>
        <w:tc>
          <w:tcPr>
            <w:tcW w:w="886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 5 years thereafter</w:t>
            </w:r>
          </w:p>
        </w:tc>
        <w:tc>
          <w:tcPr>
            <w:tcW w:w="380" w:type="dxa"/>
            <w:vAlign w:val="bottom"/>
            <w:tcBorders>
              <w:bottom w:val="single" w:sz="8" w:color="auto"/>
            </w:tcBorders>
            <w:shd w:val="clear" w:color="auto" w:fill="E2E2E2"/>
          </w:tcPr>
          <w:p>
            <w:pPr>
              <w:spacing w:after="0"/>
              <w:rPr>
                <w:sz w:val="21"/>
                <w:szCs w:val="21"/>
                <w:color w:val="auto"/>
              </w:rPr>
            </w:pPr>
          </w:p>
        </w:tc>
        <w:tc>
          <w:tcPr>
            <w:tcW w:w="15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10,961</w:t>
            </w:r>
          </w:p>
        </w:tc>
        <w:tc>
          <w:tcPr>
            <w:tcW w:w="0" w:type="dxa"/>
            <w:vAlign w:val="bottom"/>
          </w:tcPr>
          <w:p>
            <w:pPr>
              <w:spacing w:after="0"/>
              <w:rPr>
                <w:sz w:val="1"/>
                <w:szCs w:val="1"/>
                <w:color w:val="auto"/>
              </w:rPr>
            </w:pPr>
          </w:p>
        </w:tc>
      </w:tr>
      <w:tr>
        <w:trPr>
          <w:trHeight w:val="205"/>
        </w:trPr>
        <w:tc>
          <w:tcPr>
            <w:tcW w:w="886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b w:val="1"/>
                <w:bCs w:val="1"/>
                <w:color w:val="auto"/>
              </w:rPr>
              <w:t>Total</w:t>
            </w:r>
          </w:p>
        </w:tc>
        <w:tc>
          <w:tcPr>
            <w:tcW w:w="380" w:type="dxa"/>
            <w:vAlign w:val="bottom"/>
            <w:tcBorders>
              <w:bottom w:val="single" w:sz="8" w:color="auto"/>
            </w:tcBorders>
          </w:tcPr>
          <w:p>
            <w:pPr>
              <w:jc w:val="right"/>
              <w:ind w:right="18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19,037</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Defined Contribution Plan</w:t>
      </w:r>
    </w:p>
    <w:p>
      <w:pPr>
        <w:spacing w:after="0" w:line="124" w:lineRule="exact"/>
        <w:rPr>
          <w:sz w:val="20"/>
          <w:szCs w:val="20"/>
          <w:color w:val="auto"/>
        </w:rPr>
      </w:pPr>
    </w:p>
    <w:p>
      <w:pPr>
        <w:jc w:val="both"/>
        <w:ind w:firstLine="540"/>
        <w:spacing w:after="0" w:line="247" w:lineRule="auto"/>
        <w:rPr>
          <w:sz w:val="20"/>
          <w:szCs w:val="20"/>
          <w:color w:val="auto"/>
        </w:rPr>
      </w:pPr>
      <w:r>
        <w:rPr>
          <w:rFonts w:ascii="Times New Roman" w:cs="Times New Roman" w:eastAsia="Times New Roman" w:hAnsi="Times New Roman"/>
          <w:sz w:val="20"/>
          <w:szCs w:val="20"/>
          <w:color w:val="auto"/>
        </w:rPr>
        <w:t>The Company maintains a 401(k) retirement savings plan (the “401(k) Plan”) for U.S.-based employees who satisfy certain eligibility requirements. Eligible employees may defer a portion of their eligible compensation, within prescribed limits, through contributions to the 401(k) Plan. The Company matches participants’ contributions, up to a maximum of 5% of a participant’s eligible compensation, up to the statutory compensation limit, and these matching contributions are fully vested as of the date they are made. Matching contributions totaled $3,795, $5,910 and $5,956 for the fiscal years ended March 27, 2026, March 28, 2025 and March 29, 2024, respectively.</w:t>
      </w:r>
    </w:p>
    <w:p>
      <w:pPr>
        <w:spacing w:after="0" w:line="80"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Company also has a defined contribution plan covering substantially all of its European employees. Contributions to this plan totaled approximately $1,833, $1,957 and $1,549 for the fiscal years ended March 27, 2026, March 28, 2025 and March 29, 2024, respectively.</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10800"/>
          </w:cols>
          <w:pgMar w:left="720" w:top="696" w:right="720" w:bottom="187" w:gutter="0" w:footer="0" w:header="0"/>
          <w:type w:val="continuous"/>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4" w:lineRule="exact"/>
        <w:rPr>
          <w:sz w:val="20"/>
          <w:szCs w:val="20"/>
          <w:color w:val="auto"/>
        </w:rPr>
      </w:pPr>
    </w:p>
    <w:p>
      <w:pPr>
        <w:ind w:right="7420"/>
        <w:spacing w:after="0" w:line="367" w:lineRule="auto"/>
        <w:tabs>
          <w:tab w:leader="none" w:pos="547"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Commitments and Contingencies </w:t>
      </w:r>
      <w:r>
        <w:rPr>
          <w:rFonts w:ascii="Times New Roman" w:cs="Times New Roman" w:eastAsia="Times New Roman" w:hAnsi="Times New Roman"/>
          <w:sz w:val="20"/>
          <w:szCs w:val="20"/>
          <w:b w:val="1"/>
          <w:bCs w:val="1"/>
          <w:i w:val="1"/>
          <w:iCs w:val="1"/>
          <w:color w:val="auto"/>
        </w:rPr>
        <w:t>Insurance</w:t>
      </w:r>
    </w:p>
    <w:p>
      <w:pPr>
        <w:spacing w:after="0" w:line="1"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The Company, through its subsidiaries, utilizes self-insured employee health programs for employees in the U.S. The Company records estimated liabilities for its self-insured health programs based on information provided by the third-party plan administrators, historical claims experience and expected costs of claims incurred but not reported. The Company monitors its estimated liabilities on a quarterly basis. As facts change, it may become necessary to make adjustments that could be material to the Company’s consolidated financial position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120" w:lineRule="exact"/>
        <w:rPr>
          <w:sz w:val="20"/>
          <w:szCs w:val="20"/>
          <w:color w:val="auto"/>
        </w:rPr>
      </w:pPr>
    </w:p>
    <w:p>
      <w:pPr>
        <w:jc w:val="both"/>
        <w:ind w:firstLine="540"/>
        <w:spacing w:after="0" w:line="244" w:lineRule="auto"/>
        <w:rPr>
          <w:sz w:val="20"/>
          <w:szCs w:val="20"/>
          <w:color w:val="auto"/>
        </w:rPr>
      </w:pPr>
      <w:r>
        <w:rPr>
          <w:rFonts w:ascii="Times New Roman" w:cs="Times New Roman" w:eastAsia="Times New Roman" w:hAnsi="Times New Roman"/>
          <w:sz w:val="20"/>
          <w:szCs w:val="20"/>
          <w:color w:val="auto"/>
        </w:rPr>
        <w:t>The Company is subject to various legal proceedings and claims, and regulatory examinations or investigations arising in the normal course of business, the outcomes of which are subject to significant uncertainty, and the Company’s ultimate liability, if any, is difficult to predict. The Company records an accrual for legal contingencies when it is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the ability to make a reasonable estimate of the loss. If the occurrence of liability is probable and estimable, the Company will disclose the nature of the contingency and the likely amount of such loss or range of loss. The Company is not aware of any pending or threatened legal proceeding against the Company that it believes could have a material adverse effect on the Company’s business, operating results, cash flows or financial position.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w:t>
      </w:r>
    </w:p>
    <w:p>
      <w:pPr>
        <w:spacing w:after="0" w:line="120"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From time to time, the Company has agreed to indemnify and hold harmless certain customers for potential allegations of infringement of intellectual property rights and patents arising from the use of its products. To date, the Company has not recognized or incurred any costs in connection with such indemnification arrangements.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Matters</w:t>
      </w:r>
    </w:p>
    <w:p>
      <w:pPr>
        <w:spacing w:after="0" w:line="120"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The Company establishes accrued liabilities for environmental matters when it is probable that a liability has been incurred and the amount of the liability can be reasonably estimated. If the contingency is resolved for an amount greater or less than the accrual, or the Company’s share of the contingency increases or decreases or other assumptions relevant to the development of the estimate were to change, the Company would recognize an additional expense or benefit in the consolidated statements of operations during the period such determination was made. No significant environmental contingencies have been recorded.</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10800"/>
          </w:cols>
          <w:pgMar w:left="720" w:top="696" w:right="720" w:bottom="187" w:gutter="0" w:footer="0" w:header="0"/>
          <w:type w:val="continuous"/>
        </w:sectPr>
      </w:pPr>
    </w:p>
    <w:bookmarkStart w:id="99" w:name="page100"/>
    <w:bookmarkEnd w:id="9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4" w:lineRule="exact"/>
        <w:rPr>
          <w:sz w:val="20"/>
          <w:szCs w:val="20"/>
          <w:color w:val="auto"/>
        </w:rPr>
      </w:pPr>
    </w:p>
    <w:p>
      <w:pPr>
        <w:ind w:left="540" w:hanging="540"/>
        <w:spacing w:after="0"/>
        <w:tabs>
          <w:tab w:leader="none" w:pos="54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 (Loss) Income per Share</w:t>
      </w:r>
    </w:p>
    <w:p>
      <w:pPr>
        <w:spacing w:after="0" w:line="124" w:lineRule="exact"/>
        <w:rPr>
          <w:rFonts w:ascii="Times New Roman" w:cs="Times New Roman" w:eastAsia="Times New Roman" w:hAnsi="Times New Roman"/>
          <w:sz w:val="20"/>
          <w:szCs w:val="20"/>
          <w:b w:val="1"/>
          <w:bCs w:val="1"/>
          <w:color w:val="auto"/>
        </w:rPr>
      </w:pPr>
    </w:p>
    <w:p>
      <w:pPr>
        <w:ind w:left="5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following table sets forth the basic and diluted net (loss) income attributable to Allegro MicroSystems, Inc. per share.</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Net (loss) income attributable to Allegro MicroSystems,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3995420" cy="16383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95420" cy="163830"/>
                        </a:xfrm>
                        <a:prstGeom prst="rect">
                          <a:avLst/>
                        </a:prstGeom>
                        <a:solidFill>
                          <a:srgbClr val="E2E2E2"/>
                        </a:solidFill>
                      </wps:spPr>
                      <wps:bodyPr/>
                    </wps:wsp>
                  </a:graphicData>
                </a:graphic>
              </wp:anchor>
            </w:drawing>
          </mc:Choice>
          <mc:Fallback>
            <w:pict>
              <v:rect id="Shape 55" o:spid="_x0000_s1080" style="position:absolute;margin-left:0pt;margin-top:-11.3499pt;width:314.6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309" w:lineRule="exact"/>
        <w:rPr>
          <w:sz w:val="20"/>
          <w:szCs w:val="20"/>
          <w:color w:val="auto"/>
        </w:rPr>
      </w:pPr>
    </w:p>
    <w:p>
      <w:pPr>
        <w:ind w:left="200" w:right="1820" w:hanging="199"/>
        <w:spacing w:after="0" w:line="291" w:lineRule="auto"/>
        <w:rPr>
          <w:sz w:val="20"/>
          <w:szCs w:val="20"/>
          <w:color w:val="auto"/>
        </w:rPr>
      </w:pPr>
      <w:r>
        <w:rPr>
          <w:rFonts w:ascii="Times New Roman" w:cs="Times New Roman" w:eastAsia="Times New Roman" w:hAnsi="Times New Roman"/>
          <w:sz w:val="19"/>
          <w:szCs w:val="19"/>
          <w:color w:val="auto"/>
        </w:rPr>
        <w:t>Basic weighted average common shares Dilutive effect of common stock equivalents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-168275</wp:posOffset>
                </wp:positionV>
                <wp:extent cx="6858000" cy="16383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63830"/>
                        </a:xfrm>
                        <a:prstGeom prst="rect">
                          <a:avLst/>
                        </a:prstGeom>
                        <a:solidFill>
                          <a:srgbClr val="E2E2E2"/>
                        </a:solidFill>
                      </wps:spPr>
                      <wps:bodyPr/>
                    </wps:wsp>
                  </a:graphicData>
                </a:graphic>
              </wp:anchor>
            </w:drawing>
          </mc:Choice>
          <mc:Fallback>
            <w:pict>
              <v:rect id="Shape 56" o:spid="_x0000_s1081" style="position:absolute;margin-left:0pt;margin-top:-13.2499pt;width:540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Diluted weighted average common shares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74"/>
        </w:trPr>
        <w:tc>
          <w:tcPr>
            <w:tcW w:w="180" w:type="dxa"/>
            <w:vAlign w:val="bottom"/>
          </w:tcPr>
          <w:p>
            <w:pPr>
              <w:spacing w:after="0"/>
              <w:rPr>
                <w:sz w:val="15"/>
                <w:szCs w:val="15"/>
                <w:color w:val="auto"/>
              </w:rPr>
            </w:pPr>
          </w:p>
        </w:tc>
        <w:tc>
          <w:tcPr>
            <w:tcW w:w="1220" w:type="dxa"/>
            <w:vAlign w:val="bottom"/>
          </w:tcPr>
          <w:p>
            <w:pPr>
              <w:jc w:val="right"/>
              <w:ind w:right="327"/>
              <w:spacing w:after="0" w:line="174"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227"/>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27"/>
              <w:spacing w:after="0" w:line="174"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60" w:type="dxa"/>
            <w:vAlign w:val="bottom"/>
          </w:tcPr>
          <w:p>
            <w:pPr>
              <w:spacing w:after="0"/>
              <w:rPr>
                <w:sz w:val="15"/>
                <w:szCs w:val="15"/>
                <w:color w:val="auto"/>
              </w:rPr>
            </w:pPr>
          </w:p>
        </w:tc>
      </w:tr>
      <w:tr>
        <w:trPr>
          <w:trHeight w:val="203"/>
        </w:trPr>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0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r>
      <w:tr>
        <w:trPr>
          <w:trHeight w:val="259"/>
        </w:trPr>
        <w:tc>
          <w:tcPr>
            <w:tcW w:w="1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(14,897)</w:t>
            </w:r>
          </w:p>
        </w:tc>
        <w:tc>
          <w:tcPr>
            <w:tcW w:w="16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(73,010)</w:t>
            </w:r>
          </w:p>
        </w:tc>
        <w:tc>
          <w:tcPr>
            <w:tcW w:w="160" w:type="dxa"/>
            <w:vAlign w:val="bottom"/>
            <w:tcBorders>
              <w:bottom w:val="single" w:sz="8" w:color="E2E2E2"/>
            </w:tcBorders>
            <w:shd w:val="clear" w:color="auto" w:fill="E2E2E2"/>
          </w:tcPr>
          <w:p>
            <w:pPr>
              <w:spacing w:after="0"/>
              <w:rPr>
                <w:sz w:val="22"/>
                <w:szCs w:val="22"/>
                <w:color w:val="auto"/>
              </w:rPr>
            </w:pPr>
          </w:p>
        </w:tc>
        <w:tc>
          <w:tcPr>
            <w:tcW w:w="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152,697</w:t>
            </w:r>
          </w:p>
        </w:tc>
        <w:tc>
          <w:tcPr>
            <w:tcW w:w="60" w:type="dxa"/>
            <w:vAlign w:val="bottom"/>
            <w:tcBorders>
              <w:bottom w:val="single" w:sz="8" w:color="auto"/>
            </w:tcBorders>
            <w:shd w:val="clear" w:color="auto" w:fill="E2E2E2"/>
          </w:tcPr>
          <w:p>
            <w:pPr>
              <w:spacing w:after="0"/>
              <w:rPr>
                <w:sz w:val="22"/>
                <w:szCs w:val="2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490"/>
        </w:trPr>
        <w:tc>
          <w:tcPr>
            <w:tcW w:w="180" w:type="dxa"/>
            <w:vAlign w:val="bottom"/>
          </w:tcPr>
          <w:p>
            <w:pPr>
              <w:spacing w:after="0"/>
              <w:rPr>
                <w:sz w:val="24"/>
                <w:szCs w:val="24"/>
                <w:color w:val="auto"/>
              </w:rPr>
            </w:pPr>
          </w:p>
        </w:tc>
        <w:tc>
          <w:tcPr>
            <w:tcW w:w="122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185,035,670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187,707,391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192,573,169</w:t>
            </w:r>
          </w:p>
        </w:tc>
        <w:tc>
          <w:tcPr>
            <w:tcW w:w="60" w:type="dxa"/>
            <w:vAlign w:val="bottom"/>
          </w:tcPr>
          <w:p>
            <w:pPr>
              <w:spacing w:after="0"/>
              <w:rPr>
                <w:sz w:val="24"/>
                <w:szCs w:val="24"/>
                <w:color w:val="auto"/>
              </w:rPr>
            </w:pPr>
          </w:p>
        </w:tc>
      </w:tr>
      <w:tr>
        <w:trPr>
          <w:trHeight w:val="249"/>
        </w:trPr>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2,101,183</w:t>
            </w:r>
          </w:p>
        </w:tc>
        <w:tc>
          <w:tcPr>
            <w:tcW w:w="60" w:type="dxa"/>
            <w:vAlign w:val="bottom"/>
            <w:tcBorders>
              <w:bottom w:val="single" w:sz="8" w:color="auto"/>
            </w:tcBorders>
          </w:tcPr>
          <w:p>
            <w:pPr>
              <w:spacing w:after="0"/>
              <w:rPr>
                <w:sz w:val="21"/>
                <w:szCs w:val="21"/>
                <w:color w:val="auto"/>
              </w:rPr>
            </w:pPr>
          </w:p>
        </w:tc>
      </w:tr>
      <w:tr>
        <w:trPr>
          <w:trHeight w:val="253"/>
        </w:trPr>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color w:val="auto"/>
              </w:rPr>
              <w:t>185,035,670</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color w:val="auto"/>
              </w:rPr>
              <w:t>187,707,391</w:t>
            </w: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194,674,352</w:t>
            </w:r>
          </w:p>
        </w:tc>
        <w:tc>
          <w:tcPr>
            <w:tcW w:w="60" w:type="dxa"/>
            <w:vAlign w:val="bottom"/>
            <w:tcBorders>
              <w:bottom w:val="single" w:sz="8" w:color="auto"/>
            </w:tcBorders>
          </w:tcPr>
          <w:p>
            <w:pPr>
              <w:spacing w:after="0"/>
              <w:rPr>
                <w:sz w:val="22"/>
                <w:szCs w:val="2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-1152525</wp:posOffset>
            </wp:positionV>
            <wp:extent cx="286004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3">
                      <a:extLst>
                        <a:ext uri="{28A0092B-C50C-407E-A947-70E740481C1C}"/>
                      </a:extLst>
                    </a:blip>
                    <a:srcRect/>
                    <a:stretch>
                      <a:fillRect/>
                    </a:stretch>
                  </pic:blipFill>
                  <pic:spPr bwMode="auto">
                    <a:xfrm>
                      <a:off x="0" y="0"/>
                      <a:ext cx="2860040" cy="3810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5580" w:space="720"/>
            <w:col w:w="4500"/>
          </w:cols>
          <w:pgMar w:left="720" w:top="696" w:right="720" w:bottom="187"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Basic net (loss) income per common share attributable to Allegro</w:t>
            </w:r>
          </w:p>
        </w:tc>
        <w:tc>
          <w:tcPr>
            <w:tcW w:w="480" w:type="dxa"/>
            <w:vAlign w:val="bottom"/>
            <w:shd w:val="clear" w:color="auto" w:fill="E2E2E2"/>
          </w:tcPr>
          <w:p>
            <w:pPr>
              <w:spacing w:after="0"/>
              <w:rPr>
                <w:sz w:val="19"/>
                <w:szCs w:val="19"/>
                <w:color w:val="auto"/>
              </w:rPr>
            </w:pPr>
          </w:p>
        </w:tc>
        <w:tc>
          <w:tcPr>
            <w:tcW w:w="92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480" w:type="dxa"/>
            <w:vAlign w:val="bottom"/>
            <w:shd w:val="clear" w:color="auto" w:fill="E2E2E2"/>
          </w:tcPr>
          <w:p>
            <w:pPr>
              <w:spacing w:after="0"/>
              <w:rPr>
                <w:sz w:val="19"/>
                <w:szCs w:val="19"/>
                <w:color w:val="auto"/>
              </w:rPr>
            </w:pPr>
          </w:p>
        </w:tc>
        <w:tc>
          <w:tcPr>
            <w:tcW w:w="92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520" w:type="dxa"/>
            <w:vAlign w:val="bottom"/>
            <w:shd w:val="clear" w:color="auto" w:fill="E2E2E2"/>
          </w:tcPr>
          <w:p>
            <w:pPr>
              <w:spacing w:after="0"/>
              <w:rPr>
                <w:sz w:val="19"/>
                <w:szCs w:val="19"/>
                <w:color w:val="auto"/>
              </w:rPr>
            </w:pPr>
          </w:p>
        </w:tc>
        <w:tc>
          <w:tcPr>
            <w:tcW w:w="86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3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MicroSystems, Inc. stockholders</w:t>
            </w:r>
          </w:p>
        </w:tc>
        <w:tc>
          <w:tcPr>
            <w:tcW w:w="480" w:type="dxa"/>
            <w:vAlign w:val="bottom"/>
            <w:shd w:val="clear" w:color="auto" w:fill="E2E2E2"/>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640" w:type="dxa"/>
            <w:vAlign w:val="bottom"/>
            <w:gridSpan w:val="2"/>
            <w:shd w:val="clear" w:color="auto" w:fill="E2E2E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680" w:type="dxa"/>
            <w:vAlign w:val="bottom"/>
            <w:gridSpan w:val="2"/>
            <w:shd w:val="clear" w:color="auto" w:fill="E2E2E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0.79</w:t>
            </w:r>
          </w:p>
        </w:tc>
        <w:tc>
          <w:tcPr>
            <w:tcW w:w="0" w:type="dxa"/>
            <w:vAlign w:val="bottom"/>
          </w:tcPr>
          <w:p>
            <w:pPr>
              <w:spacing w:after="0"/>
              <w:rPr>
                <w:sz w:val="1"/>
                <w:szCs w:val="1"/>
                <w:color w:val="auto"/>
              </w:rPr>
            </w:pPr>
          </w:p>
        </w:tc>
      </w:tr>
      <w:tr>
        <w:trPr>
          <w:trHeight w:val="20"/>
        </w:trPr>
        <w:tc>
          <w:tcPr>
            <w:tcW w:w="6300" w:type="dxa"/>
            <w:vAlign w:val="bottom"/>
            <w:tcBorders>
              <w:top w:val="single" w:sz="8" w:color="E2E2E2"/>
              <w:bottom w:val="single" w:sz="8" w:color="E2E2E2"/>
            </w:tcBorders>
            <w:vMerge w:val="restart"/>
          </w:tcPr>
          <w:p>
            <w:pPr>
              <w:spacing w:after="0"/>
              <w:rPr>
                <w:sz w:val="20"/>
                <w:szCs w:val="20"/>
                <w:color w:val="auto"/>
              </w:rPr>
            </w:pPr>
            <w:r>
              <w:rPr>
                <w:rFonts w:ascii="Times New Roman" w:cs="Times New Roman" w:eastAsia="Times New Roman" w:hAnsi="Times New Roman"/>
                <w:sz w:val="20"/>
                <w:szCs w:val="20"/>
                <w:color w:val="auto"/>
              </w:rPr>
              <w:t>Diluted net (loss) income per common share attributable to Allegro</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2E2E2"/>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2E2E2"/>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3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MicroSystems, Inc. stockholders</w:t>
            </w:r>
          </w:p>
        </w:tc>
        <w:tc>
          <w:tcPr>
            <w:tcW w:w="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The computed net (loss) income per share for the fiscal years ended March 27, 2026, March 28, 2025 and March 29, 2024 does not assume conversion of securities that would have an antidilutive effect on net (loss) income per share. The following represents contingently issuable shares under the restricted stock units (“RSUs”) and performance-based restricted stock units (“PSUs”) excluded from the computation of net (loss) income per share, as such securities would have an antidilutive effect on net (loss) income per share if the Company had reported net income for the respective periods: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74"/>
        </w:trPr>
        <w:tc>
          <w:tcPr>
            <w:tcW w:w="6200" w:type="dxa"/>
            <w:vAlign w:val="bottom"/>
          </w:tcPr>
          <w:p>
            <w:pPr>
              <w:spacing w:after="0"/>
              <w:rPr>
                <w:sz w:val="15"/>
                <w:szCs w:val="15"/>
                <w:color w:val="auto"/>
              </w:rPr>
            </w:pPr>
          </w:p>
        </w:tc>
        <w:tc>
          <w:tcPr>
            <w:tcW w:w="1460" w:type="dxa"/>
            <w:vAlign w:val="bottom"/>
          </w:tcPr>
          <w:p>
            <w:pPr>
              <w:jc w:val="right"/>
              <w:ind w:right="350"/>
              <w:spacing w:after="0" w:line="174"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40" w:type="dxa"/>
            <w:vAlign w:val="bottom"/>
          </w:tcPr>
          <w:p>
            <w:pPr>
              <w:spacing w:after="0"/>
              <w:rPr>
                <w:sz w:val="15"/>
                <w:szCs w:val="15"/>
                <w:color w:val="auto"/>
              </w:rPr>
            </w:pPr>
          </w:p>
        </w:tc>
        <w:tc>
          <w:tcPr>
            <w:tcW w:w="1440" w:type="dxa"/>
            <w:vAlign w:val="bottom"/>
          </w:tcPr>
          <w:p>
            <w:pPr>
              <w:jc w:val="center"/>
              <w:ind w:right="10"/>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60" w:type="dxa"/>
            <w:vAlign w:val="bottom"/>
          </w:tcPr>
          <w:p>
            <w:pPr>
              <w:spacing w:after="0"/>
              <w:rPr>
                <w:sz w:val="15"/>
                <w:szCs w:val="15"/>
                <w:color w:val="auto"/>
              </w:rPr>
            </w:pPr>
          </w:p>
        </w:tc>
        <w:tc>
          <w:tcPr>
            <w:tcW w:w="1340" w:type="dxa"/>
            <w:vAlign w:val="bottom"/>
          </w:tcPr>
          <w:p>
            <w:pPr>
              <w:jc w:val="right"/>
              <w:ind w:right="247"/>
              <w:spacing w:after="0" w:line="174"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60" w:type="dxa"/>
            <w:vAlign w:val="bottom"/>
          </w:tcPr>
          <w:p>
            <w:pPr>
              <w:spacing w:after="0"/>
              <w:rPr>
                <w:sz w:val="15"/>
                <w:szCs w:val="15"/>
                <w:color w:val="auto"/>
              </w:rPr>
            </w:pPr>
          </w:p>
        </w:tc>
      </w:tr>
      <w:tr>
        <w:trPr>
          <w:trHeight w:val="203"/>
        </w:trPr>
        <w:tc>
          <w:tcPr>
            <w:tcW w:w="6200" w:type="dxa"/>
            <w:vAlign w:val="bottom"/>
          </w:tcPr>
          <w:p>
            <w:pPr>
              <w:spacing w:after="0"/>
              <w:rPr>
                <w:sz w:val="17"/>
                <w:szCs w:val="17"/>
                <w:color w:val="auto"/>
              </w:rPr>
            </w:pP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500" w:type="dxa"/>
            <w:vAlign w:val="bottom"/>
            <w:gridSpan w:val="2"/>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r>
      <w:tr>
        <w:trPr>
          <w:trHeight w:val="239"/>
        </w:trPr>
        <w:tc>
          <w:tcPr>
            <w:tcW w:w="620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RSUs</w:t>
            </w:r>
          </w:p>
        </w:tc>
        <w:tc>
          <w:tcPr>
            <w:tcW w:w="1460" w:type="dxa"/>
            <w:vAlign w:val="bottom"/>
            <w:tcBorders>
              <w:top w:val="single" w:sz="8" w:color="auto"/>
            </w:tcBorders>
            <w:shd w:val="clear" w:color="auto" w:fill="E2E2E2"/>
          </w:tcPr>
          <w:p>
            <w:pPr>
              <w:jc w:val="right"/>
              <w:ind w:right="30"/>
              <w:spacing w:after="0"/>
              <w:rPr>
                <w:sz w:val="20"/>
                <w:szCs w:val="20"/>
                <w:color w:val="auto"/>
              </w:rPr>
            </w:pPr>
            <w:r>
              <w:rPr>
                <w:rFonts w:ascii="Times New Roman" w:cs="Times New Roman" w:eastAsia="Times New Roman" w:hAnsi="Times New Roman"/>
                <w:sz w:val="20"/>
                <w:szCs w:val="20"/>
                <w:color w:val="auto"/>
              </w:rPr>
              <w:t>11,940</w:t>
            </w:r>
          </w:p>
        </w:tc>
        <w:tc>
          <w:tcPr>
            <w:tcW w:w="140" w:type="dxa"/>
            <w:vAlign w:val="bottom"/>
            <w:tcBorders>
              <w:top w:val="single" w:sz="8" w:color="E2E2E2"/>
            </w:tcBorders>
            <w:shd w:val="clear" w:color="auto" w:fill="E2E2E2"/>
          </w:tcPr>
          <w:p>
            <w:pPr>
              <w:spacing w:after="0"/>
              <w:rPr>
                <w:sz w:val="20"/>
                <w:szCs w:val="20"/>
                <w:color w:val="auto"/>
              </w:rPr>
            </w:pPr>
          </w:p>
        </w:tc>
        <w:tc>
          <w:tcPr>
            <w:tcW w:w="1440" w:type="dxa"/>
            <w:vAlign w:val="bottom"/>
            <w:tcBorders>
              <w:top w:val="single" w:sz="8" w:color="auto"/>
            </w:tcBorders>
            <w:shd w:val="clear" w:color="auto" w:fill="E2E2E2"/>
          </w:tcPr>
          <w:p>
            <w:pPr>
              <w:jc w:val="right"/>
              <w:ind w:right="30"/>
              <w:spacing w:after="0"/>
              <w:rPr>
                <w:sz w:val="20"/>
                <w:szCs w:val="20"/>
                <w:color w:val="auto"/>
              </w:rPr>
            </w:pPr>
            <w:r>
              <w:rPr>
                <w:rFonts w:ascii="Times New Roman" w:cs="Times New Roman" w:eastAsia="Times New Roman" w:hAnsi="Times New Roman"/>
                <w:sz w:val="20"/>
                <w:szCs w:val="20"/>
                <w:color w:val="auto"/>
              </w:rPr>
              <w:t>451,087</w:t>
            </w:r>
          </w:p>
        </w:tc>
        <w:tc>
          <w:tcPr>
            <w:tcW w:w="160" w:type="dxa"/>
            <w:vAlign w:val="bottom"/>
            <w:tcBorders>
              <w:top w:val="single" w:sz="8" w:color="E2E2E2"/>
            </w:tcBorders>
            <w:shd w:val="clear" w:color="auto" w:fill="E2E2E2"/>
          </w:tcPr>
          <w:p>
            <w:pPr>
              <w:spacing w:after="0"/>
              <w:rPr>
                <w:sz w:val="20"/>
                <w:szCs w:val="20"/>
                <w:color w:val="auto"/>
              </w:rPr>
            </w:pPr>
          </w:p>
        </w:tc>
        <w:tc>
          <w:tcPr>
            <w:tcW w:w="134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40,257</w:t>
            </w:r>
          </w:p>
        </w:tc>
        <w:tc>
          <w:tcPr>
            <w:tcW w:w="60" w:type="dxa"/>
            <w:vAlign w:val="bottom"/>
            <w:tcBorders>
              <w:top w:val="single" w:sz="8" w:color="auto"/>
            </w:tcBorders>
            <w:shd w:val="clear" w:color="auto" w:fill="E2E2E2"/>
          </w:tcPr>
          <w:p>
            <w:pPr>
              <w:spacing w:after="0"/>
              <w:rPr>
                <w:sz w:val="20"/>
                <w:szCs w:val="20"/>
                <w:color w:val="auto"/>
              </w:rPr>
            </w:pPr>
          </w:p>
        </w:tc>
      </w:tr>
      <w:tr>
        <w:trPr>
          <w:trHeight w:val="266"/>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PSUs</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rPr>
              <w:t>21,248</w:t>
            </w:r>
          </w:p>
        </w:tc>
        <w:tc>
          <w:tcPr>
            <w:tcW w:w="14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rPr>
              <w:t>91,210</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129,837</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-599440</wp:posOffset>
            </wp:positionV>
            <wp:extent cx="291211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4">
                      <a:extLst>
                        <a:ext uri="{28A0092B-C50C-407E-A947-70E740481C1C}"/>
                      </a:extLst>
                    </a:blip>
                    <a:srcRect/>
                    <a:stretch>
                      <a:fillRect/>
                    </a:stretch>
                  </pic:blipFill>
                  <pic:spPr bwMode="auto">
                    <a:xfrm>
                      <a:off x="0" y="0"/>
                      <a:ext cx="2912110" cy="38100"/>
                    </a:xfrm>
                    <a:prstGeom prst="rect">
                      <a:avLst/>
                    </a:prstGeom>
                    <a:noFill/>
                  </pic:spPr>
                </pic:pic>
              </a:graphicData>
            </a:graphic>
          </wp:anchor>
        </w:drawing>
      </w:r>
    </w:p>
    <w:p>
      <w:pPr>
        <w:spacing w:after="0" w:line="76" w:lineRule="exact"/>
        <w:rPr>
          <w:sz w:val="20"/>
          <w:szCs w:val="20"/>
          <w:color w:val="auto"/>
        </w:rPr>
      </w:pPr>
    </w:p>
    <w:p>
      <w:pPr>
        <w:jc w:val="both"/>
        <w:ind w:firstLine="540"/>
        <w:spacing w:after="0" w:line="277" w:lineRule="auto"/>
        <w:rPr>
          <w:sz w:val="20"/>
          <w:szCs w:val="20"/>
          <w:color w:val="auto"/>
        </w:rPr>
      </w:pPr>
      <w:r>
        <w:rPr>
          <w:rFonts w:ascii="Times New Roman" w:cs="Times New Roman" w:eastAsia="Times New Roman" w:hAnsi="Times New Roman"/>
          <w:sz w:val="20"/>
          <w:szCs w:val="20"/>
          <w:color w:val="auto"/>
        </w:rPr>
        <w:t>The following table represents issued and issuable weighted average share information underlying our outstanding RSUs, PSUs and participation in our employee stock purchase plan (“ESPP”) for the respective period: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74"/>
        </w:trPr>
        <w:tc>
          <w:tcPr>
            <w:tcW w:w="6200" w:type="dxa"/>
            <w:vAlign w:val="bottom"/>
          </w:tcPr>
          <w:p>
            <w:pPr>
              <w:spacing w:after="0"/>
              <w:rPr>
                <w:sz w:val="15"/>
                <w:szCs w:val="15"/>
                <w:color w:val="auto"/>
              </w:rPr>
            </w:pPr>
          </w:p>
        </w:tc>
        <w:tc>
          <w:tcPr>
            <w:tcW w:w="1080" w:type="dxa"/>
            <w:vAlign w:val="bottom"/>
          </w:tcPr>
          <w:p>
            <w:pPr>
              <w:jc w:val="center"/>
              <w:ind w:left="180"/>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27,</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ind w:right="7"/>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60" w:type="dxa"/>
            <w:vAlign w:val="bottom"/>
          </w:tcPr>
          <w:p>
            <w:pPr>
              <w:spacing w:after="0"/>
              <w:rPr>
                <w:sz w:val="15"/>
                <w:szCs w:val="15"/>
                <w:color w:val="auto"/>
              </w:rPr>
            </w:pPr>
          </w:p>
        </w:tc>
        <w:tc>
          <w:tcPr>
            <w:tcW w:w="1340" w:type="dxa"/>
            <w:vAlign w:val="bottom"/>
          </w:tcPr>
          <w:p>
            <w:pPr>
              <w:jc w:val="right"/>
              <w:ind w:right="245"/>
              <w:spacing w:after="0" w:line="174"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60" w:type="dxa"/>
            <w:vAlign w:val="bottom"/>
          </w:tcPr>
          <w:p>
            <w:pPr>
              <w:spacing w:after="0"/>
              <w:rPr>
                <w:sz w:val="15"/>
                <w:szCs w:val="15"/>
                <w:color w:val="auto"/>
              </w:rPr>
            </w:pPr>
          </w:p>
        </w:tc>
      </w:tr>
      <w:tr>
        <w:trPr>
          <w:trHeight w:val="203"/>
        </w:trPr>
        <w:tc>
          <w:tcPr>
            <w:tcW w:w="7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500" w:type="dxa"/>
            <w:vAlign w:val="bottom"/>
            <w:gridSpan w:val="2"/>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r>
      <w:tr>
        <w:trPr>
          <w:trHeight w:val="239"/>
        </w:trPr>
        <w:tc>
          <w:tcPr>
            <w:tcW w:w="620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RSUs</w:t>
            </w:r>
          </w:p>
        </w:tc>
        <w:tc>
          <w:tcPr>
            <w:tcW w:w="1080" w:type="dxa"/>
            <w:vAlign w:val="bottom"/>
            <w:tcBorders>
              <w:top w:val="single" w:sz="8" w:color="auto"/>
            </w:tcBorders>
            <w:shd w:val="clear" w:color="auto" w:fill="E2E2E2"/>
          </w:tcPr>
          <w:p>
            <w:pPr>
              <w:spacing w:after="0"/>
              <w:rPr>
                <w:sz w:val="20"/>
                <w:szCs w:val="20"/>
                <w:color w:val="auto"/>
              </w:rPr>
            </w:pPr>
          </w:p>
        </w:tc>
        <w:tc>
          <w:tcPr>
            <w:tcW w:w="380" w:type="dxa"/>
            <w:vAlign w:val="bottom"/>
            <w:tcBorders>
              <w:top w:val="single" w:sz="8" w:color="auto"/>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top w:val="single" w:sz="8" w:color="E2E2E2"/>
            </w:tcBorders>
            <w:shd w:val="clear" w:color="auto" w:fill="E2E2E2"/>
          </w:tcPr>
          <w:p>
            <w:pPr>
              <w:spacing w:after="0"/>
              <w:rPr>
                <w:sz w:val="20"/>
                <w:szCs w:val="20"/>
                <w:color w:val="auto"/>
              </w:rPr>
            </w:pPr>
          </w:p>
        </w:tc>
        <w:tc>
          <w:tcPr>
            <w:tcW w:w="1440" w:type="dxa"/>
            <w:vAlign w:val="bottom"/>
            <w:tcBorders>
              <w:top w:val="single" w:sz="8" w:color="auto"/>
            </w:tcBorders>
            <w:shd w:val="clear" w:color="auto" w:fill="E2E2E2"/>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E2E2E2"/>
            </w:tcBorders>
            <w:shd w:val="clear" w:color="auto" w:fill="E2E2E2"/>
          </w:tcPr>
          <w:p>
            <w:pPr>
              <w:spacing w:after="0"/>
              <w:rPr>
                <w:sz w:val="20"/>
                <w:szCs w:val="20"/>
                <w:color w:val="auto"/>
              </w:rPr>
            </w:pPr>
          </w:p>
        </w:tc>
        <w:tc>
          <w:tcPr>
            <w:tcW w:w="134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888,811</w:t>
            </w:r>
          </w:p>
        </w:tc>
        <w:tc>
          <w:tcPr>
            <w:tcW w:w="60" w:type="dxa"/>
            <w:vAlign w:val="bottom"/>
            <w:tcBorders>
              <w:top w:val="single" w:sz="8" w:color="auto"/>
            </w:tcBorders>
            <w:shd w:val="clear" w:color="auto" w:fill="E2E2E2"/>
          </w:tcPr>
          <w:p>
            <w:pPr>
              <w:spacing w:after="0"/>
              <w:rPr>
                <w:sz w:val="20"/>
                <w:szCs w:val="20"/>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PSUs</w:t>
            </w:r>
          </w:p>
        </w:tc>
        <w:tc>
          <w:tcPr>
            <w:tcW w:w="108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44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1,210,124</w:t>
            </w:r>
          </w:p>
        </w:tc>
        <w:tc>
          <w:tcPr>
            <w:tcW w:w="60" w:type="dxa"/>
            <w:vAlign w:val="bottom"/>
          </w:tcPr>
          <w:p>
            <w:pPr>
              <w:spacing w:after="0"/>
              <w:rPr>
                <w:sz w:val="21"/>
                <w:szCs w:val="21"/>
                <w:color w:val="auto"/>
              </w:rPr>
            </w:pPr>
          </w:p>
        </w:tc>
      </w:tr>
      <w:tr>
        <w:trPr>
          <w:trHeight w:val="264"/>
        </w:trPr>
        <w:tc>
          <w:tcPr>
            <w:tcW w:w="72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ESPP</w:t>
            </w:r>
          </w:p>
        </w:tc>
        <w:tc>
          <w:tcPr>
            <w:tcW w:w="3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2E2E2"/>
          </w:tcPr>
          <w:p>
            <w:pPr>
              <w:spacing w:after="0"/>
              <w:rPr>
                <w:sz w:val="22"/>
                <w:szCs w:val="22"/>
                <w:color w:val="auto"/>
              </w:rPr>
            </w:pPr>
          </w:p>
        </w:tc>
        <w:tc>
          <w:tcPr>
            <w:tcW w:w="1440" w:type="dxa"/>
            <w:vAlign w:val="bottom"/>
            <w:shd w:val="clear" w:color="auto" w:fill="E2E2E2"/>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2,248</w:t>
            </w:r>
          </w:p>
        </w:tc>
        <w:tc>
          <w:tcPr>
            <w:tcW w:w="60" w:type="dxa"/>
            <w:vAlign w:val="bottom"/>
            <w:shd w:val="clear" w:color="auto" w:fill="E2E2E2"/>
          </w:tcPr>
          <w:p>
            <w:pPr>
              <w:spacing w:after="0"/>
              <w:rPr>
                <w:sz w:val="22"/>
                <w:szCs w:val="22"/>
                <w:color w:val="auto"/>
              </w:rPr>
            </w:pPr>
          </w:p>
        </w:tc>
      </w:tr>
      <w:tr>
        <w:trPr>
          <w:trHeight w:val="219"/>
        </w:trPr>
        <w:tc>
          <w:tcPr>
            <w:tcW w:w="6200" w:type="dxa"/>
            <w:vAlign w:val="bottom"/>
            <w:tcBorders>
              <w:top w:val="single" w:sz="8" w:color="E2E2E2"/>
            </w:tcBorders>
          </w:tcPr>
          <w:p>
            <w:pPr>
              <w:ind w:left="200"/>
              <w:spacing w:after="0" w:line="219" w:lineRule="exact"/>
              <w:rPr>
                <w:sz w:val="20"/>
                <w:szCs w:val="20"/>
                <w:color w:val="auto"/>
              </w:rPr>
            </w:pPr>
            <w:r>
              <w:rPr>
                <w:rFonts w:ascii="Times New Roman" w:cs="Times New Roman" w:eastAsia="Times New Roman" w:hAnsi="Times New Roman"/>
                <w:sz w:val="20"/>
                <w:szCs w:val="20"/>
                <w:b w:val="1"/>
                <w:bCs w:val="1"/>
                <w:color w:val="auto"/>
              </w:rPr>
              <w:t>Total</w:t>
            </w:r>
          </w:p>
        </w:tc>
        <w:tc>
          <w:tcPr>
            <w:tcW w:w="10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6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top w:val="single" w:sz="8" w:color="E2E2E2"/>
            </w:tcBorders>
          </w:tcPr>
          <w:p>
            <w:pPr>
              <w:spacing w:after="0"/>
              <w:rPr>
                <w:sz w:val="19"/>
                <w:szCs w:val="19"/>
                <w:color w:val="auto"/>
              </w:rPr>
            </w:pPr>
          </w:p>
        </w:tc>
        <w:tc>
          <w:tcPr>
            <w:tcW w:w="1440" w:type="dxa"/>
            <w:vAlign w:val="bottom"/>
            <w:tcBorders>
              <w:top w:val="single" w:sz="8" w:color="auto"/>
              <w:bottom w:val="single" w:sz="8" w:color="auto"/>
            </w:tcBorders>
          </w:tcPr>
          <w:p>
            <w:pPr>
              <w:ind w:left="112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E2E2E2"/>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2,101,183</w:t>
            </w:r>
          </w:p>
        </w:tc>
        <w:tc>
          <w:tcPr>
            <w:tcW w:w="60" w:type="dxa"/>
            <w:vAlign w:val="bottom"/>
            <w:tcBorders>
              <w:top w:val="single" w:sz="8" w:color="auto"/>
              <w:bottom w:val="single" w:sz="8" w:color="auto"/>
            </w:tcBorders>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-932815</wp:posOffset>
            </wp:positionV>
            <wp:extent cx="291211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5">
                      <a:extLst>
                        <a:ext uri="{28A0092B-C50C-407E-A947-70E740481C1C}"/>
                      </a:extLst>
                    </a:blip>
                    <a:srcRect/>
                    <a:stretch>
                      <a:fillRect/>
                    </a:stretch>
                  </pic:blipFill>
                  <pic:spPr bwMode="auto">
                    <a:xfrm>
                      <a:off x="0" y="0"/>
                      <a:ext cx="2912110" cy="38100"/>
                    </a:xfrm>
                    <a:prstGeom prst="rect">
                      <a:avLst/>
                    </a:prstGeom>
                    <a:noFill/>
                  </pic:spPr>
                </pic:pic>
              </a:graphicData>
            </a:graphic>
          </wp:anchor>
        </w:drawing>
      </w:r>
    </w:p>
    <w:p>
      <w:pPr>
        <w:sectPr>
          <w:pgSz w:w="12240" w:h="15840" w:orient="portrait"/>
          <w:cols w:equalWidth="0" w:num="1">
            <w:col w:w="10800"/>
          </w:cols>
          <w:pgMar w:left="720" w:top="696" w:right="720" w:bottom="1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10800"/>
          </w:cols>
          <w:pgMar w:left="720" w:top="696" w:right="720" w:bottom="187" w:gutter="0" w:footer="0" w:header="0"/>
          <w:type w:val="continuous"/>
        </w:sectPr>
      </w:pPr>
    </w:p>
    <w:bookmarkStart w:id="100" w:name="page101"/>
    <w:bookmarkEnd w:id="10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4" w:lineRule="exact"/>
        <w:rPr>
          <w:sz w:val="20"/>
          <w:szCs w:val="20"/>
          <w:color w:val="auto"/>
        </w:rPr>
      </w:pPr>
    </w:p>
    <w:p>
      <w:pPr>
        <w:ind w:left="540" w:hanging="540"/>
        <w:spacing w:after="0"/>
        <w:tabs>
          <w:tab w:leader="none" w:pos="54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w:t>
      </w:r>
    </w:p>
    <w:p>
      <w:pPr>
        <w:spacing w:after="0" w:line="124"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The Company accounts for stock-based compensation through the measurement and recognition of compensation expense for share -based payment awards made to employees over the related requisite service period, including PSUs and RSUs (all part of our 2020 Omnibus Incentive Compensation Plan). Upon meeting the time-based vesting and, if applicable, any performance conditions, common shares of the Company (net of applicable tax withholding) are issued to the employee in exchange for each share-based unit.</w:t>
      </w:r>
    </w:p>
    <w:p>
      <w:pPr>
        <w:spacing w:after="0" w:line="74" w:lineRule="exact"/>
        <w:rPr>
          <w:sz w:val="20"/>
          <w:szCs w:val="20"/>
          <w:color w:val="auto"/>
        </w:rPr>
      </w:pPr>
    </w:p>
    <w:p>
      <w:pPr>
        <w:jc w:val="both"/>
        <w:ind w:firstLine="540"/>
        <w:spacing w:after="0" w:line="247" w:lineRule="auto"/>
        <w:rPr>
          <w:sz w:val="20"/>
          <w:szCs w:val="20"/>
          <w:color w:val="auto"/>
        </w:rPr>
      </w:pPr>
      <w:r>
        <w:rPr>
          <w:rFonts w:ascii="Times New Roman" w:cs="Times New Roman" w:eastAsia="Times New Roman" w:hAnsi="Times New Roman"/>
          <w:sz w:val="20"/>
          <w:szCs w:val="20"/>
          <w:color w:val="auto"/>
        </w:rPr>
        <w:t>RSUs generally have time-based vesting requirements with equal and annual graded vesting over approximately three years subsequent to the grant date. Upon voluntary termination of employment by any employee who is “retirement eligible” as of his or her termination date, the next vesting after the termination of employment will continue to vest. In order to be retirement eligible, an employee must be at least 62 years old, have completed a minimum of five years of service with the Company, and have provided at least three months’ prior written notice of termination of employment. All outstanding employee and director RSU awards are eligible for dividend equivalents regardless of vesting status.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summarizes RSU activity for the fiscal year ended March 27, 2026: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4"/>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4"/>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84"/>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Contractual Life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03"/>
        </w:trPr>
        <w:tc>
          <w:tcPr>
            <w:tcW w:w="542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26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14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2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2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39"/>
        </w:trPr>
        <w:tc>
          <w:tcPr>
            <w:tcW w:w="544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Outstanding - March 28, 2025</w:t>
            </w:r>
          </w:p>
        </w:tc>
        <w:tc>
          <w:tcPr>
            <w:tcW w:w="1260" w:type="dxa"/>
            <w:vAlign w:val="bottom"/>
            <w:shd w:val="clear" w:color="auto" w:fill="E2E2E2"/>
          </w:tcPr>
          <w:p>
            <w:pPr>
              <w:jc w:val="right"/>
              <w:ind w:right="6"/>
              <w:spacing w:after="0"/>
              <w:rPr>
                <w:sz w:val="20"/>
                <w:szCs w:val="20"/>
                <w:color w:val="auto"/>
              </w:rPr>
            </w:pPr>
            <w:r>
              <w:rPr>
                <w:rFonts w:ascii="Times New Roman" w:cs="Times New Roman" w:eastAsia="Times New Roman" w:hAnsi="Times New Roman"/>
                <w:sz w:val="20"/>
                <w:szCs w:val="20"/>
                <w:color w:val="auto"/>
              </w:rPr>
              <w:t>2,330,344</w:t>
            </w:r>
          </w:p>
        </w:tc>
        <w:tc>
          <w:tcPr>
            <w:tcW w:w="12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28.88</w:t>
            </w: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260" w:type="dxa"/>
            <w:vAlign w:val="bottom"/>
            <w:shd w:val="clear" w:color="auto" w:fill="E2E2E2"/>
          </w:tcPr>
          <w:p>
            <w:pPr>
              <w:jc w:val="right"/>
              <w:ind w:right="34"/>
              <w:spacing w:after="0"/>
              <w:rPr>
                <w:sz w:val="20"/>
                <w:szCs w:val="20"/>
                <w:color w:val="auto"/>
              </w:rPr>
            </w:pPr>
            <w:r>
              <w:rPr>
                <w:rFonts w:ascii="Times New Roman" w:cs="Times New Roman" w:eastAsia="Times New Roman" w:hAnsi="Times New Roman"/>
                <w:sz w:val="20"/>
                <w:szCs w:val="20"/>
                <w:color w:val="auto"/>
              </w:rPr>
              <w:t>0.95</w:t>
            </w:r>
          </w:p>
        </w:tc>
        <w:tc>
          <w:tcPr>
            <w:tcW w:w="12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57,932</w:t>
            </w:r>
          </w:p>
        </w:tc>
      </w:tr>
      <w:tr>
        <w:trPr>
          <w:trHeight w:val="230"/>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2,080,783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27.29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544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Issued</w:t>
            </w:r>
          </w:p>
        </w:tc>
        <w:tc>
          <w:tcPr>
            <w:tcW w:w="1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(1,109,483)</w:t>
            </w:r>
          </w:p>
        </w:tc>
        <w:tc>
          <w:tcPr>
            <w:tcW w:w="12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10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28.98</w:t>
            </w: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26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1040" w:type="dxa"/>
            <w:vAlign w:val="bottom"/>
            <w:shd w:val="clear" w:color="auto" w:fill="E2E2E2"/>
          </w:tcPr>
          <w:p>
            <w:pPr>
              <w:spacing w:after="0"/>
              <w:rPr>
                <w:sz w:val="20"/>
                <w:szCs w:val="20"/>
                <w:color w:val="auto"/>
              </w:rPr>
            </w:pPr>
          </w:p>
        </w:tc>
      </w:tr>
      <w:tr>
        <w:trPr>
          <w:trHeight w:val="230"/>
        </w:trPr>
        <w:tc>
          <w:tcPr>
            <w:tcW w:w="5440" w:type="dxa"/>
            <w:vAlign w:val="bottom"/>
            <w:tcBorders>
              <w:bottom w:val="single" w:sz="8" w:color="E2E2E2"/>
            </w:tcBorders>
            <w:gridSpan w:val="2"/>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(209,201)</w:t>
            </w:r>
          </w:p>
        </w:tc>
        <w:tc>
          <w:tcPr>
            <w:tcW w:w="12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28.09</w:t>
            </w:r>
          </w:p>
        </w:tc>
        <w:tc>
          <w:tcPr>
            <w:tcW w:w="14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5"/>
        </w:trPr>
        <w:tc>
          <w:tcPr>
            <w:tcW w:w="5440" w:type="dxa"/>
            <w:vAlign w:val="bottom"/>
            <w:gridSpan w:val="2"/>
            <w:shd w:val="clear" w:color="auto" w:fill="E2E2E2"/>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Outstanding - March 27, 2026</w:t>
            </w:r>
          </w:p>
        </w:tc>
        <w:tc>
          <w:tcPr>
            <w:tcW w:w="1260" w:type="dxa"/>
            <w:vAlign w:val="bottom"/>
            <w:shd w:val="clear" w:color="auto" w:fill="E2E2E2"/>
          </w:tcPr>
          <w:p>
            <w:pPr>
              <w:jc w:val="right"/>
              <w:ind w:right="6"/>
              <w:spacing w:after="0" w:line="225" w:lineRule="exact"/>
              <w:rPr>
                <w:sz w:val="20"/>
                <w:szCs w:val="20"/>
                <w:color w:val="auto"/>
              </w:rPr>
            </w:pPr>
            <w:r>
              <w:rPr>
                <w:rFonts w:ascii="Times New Roman" w:cs="Times New Roman" w:eastAsia="Times New Roman" w:hAnsi="Times New Roman"/>
                <w:sz w:val="20"/>
                <w:szCs w:val="20"/>
                <w:color w:val="auto"/>
              </w:rPr>
              <w:t>3,092,443</w:t>
            </w:r>
          </w:p>
        </w:tc>
        <w:tc>
          <w:tcPr>
            <w:tcW w:w="1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2E2E2"/>
          </w:tcPr>
          <w:p>
            <w:pPr>
              <w:jc w:val="right"/>
              <w:ind w:right="3"/>
              <w:spacing w:after="0" w:line="225" w:lineRule="exact"/>
              <w:rPr>
                <w:sz w:val="20"/>
                <w:szCs w:val="20"/>
                <w:color w:val="auto"/>
              </w:rPr>
            </w:pPr>
            <w:r>
              <w:rPr>
                <w:rFonts w:ascii="Times New Roman" w:cs="Times New Roman" w:eastAsia="Times New Roman" w:hAnsi="Times New Roman"/>
                <w:sz w:val="20"/>
                <w:szCs w:val="20"/>
                <w:color w:val="auto"/>
              </w:rPr>
              <w:t>27.83</w:t>
            </w:r>
          </w:p>
        </w:tc>
        <w:tc>
          <w:tcPr>
            <w:tcW w:w="1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260" w:type="dxa"/>
            <w:vAlign w:val="bottom"/>
            <w:shd w:val="clear" w:color="auto" w:fill="E2E2E2"/>
          </w:tcPr>
          <w:p>
            <w:pPr>
              <w:jc w:val="right"/>
              <w:ind w:right="34"/>
              <w:spacing w:after="0" w:line="225" w:lineRule="exact"/>
              <w:rPr>
                <w:sz w:val="20"/>
                <w:szCs w:val="20"/>
                <w:color w:val="auto"/>
              </w:rPr>
            </w:pPr>
            <w:r>
              <w:rPr>
                <w:rFonts w:ascii="Times New Roman" w:cs="Times New Roman" w:eastAsia="Times New Roman" w:hAnsi="Times New Roman"/>
                <w:sz w:val="20"/>
                <w:szCs w:val="20"/>
                <w:color w:val="auto"/>
              </w:rPr>
              <w:t>0.92</w:t>
            </w:r>
          </w:p>
        </w:tc>
        <w:tc>
          <w:tcPr>
            <w:tcW w:w="1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93,144</w:t>
            </w:r>
          </w:p>
        </w:tc>
      </w:tr>
      <w:tr>
        <w:trPr>
          <w:trHeight w:val="20"/>
        </w:trPr>
        <w:tc>
          <w:tcPr>
            <w:tcW w:w="5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The weighted-average grant fair value per share for RSUs granted during the fiscal years ended March 27, 2026, March 28, 2025 and March 29, 2024 was $27.29, $27.54, $36.14, respectively. The stock-based compensation expense related to non-vested awards not yet recorded at March 27, 2026 was $52,736, which is expected to be recognized over a weighted-average of 1.9 years.</w:t>
      </w:r>
    </w:p>
    <w:p>
      <w:pPr>
        <w:spacing w:after="0" w:line="310" w:lineRule="exact"/>
        <w:rPr>
          <w:sz w:val="20"/>
          <w:szCs w:val="20"/>
          <w:color w:val="auto"/>
        </w:rPr>
      </w:pPr>
    </w:p>
    <w:p>
      <w:pPr>
        <w:jc w:val="both"/>
        <w:ind w:firstLine="540"/>
        <w:spacing w:after="0" w:line="277" w:lineRule="auto"/>
        <w:rPr>
          <w:sz w:val="20"/>
          <w:szCs w:val="20"/>
          <w:color w:val="auto"/>
        </w:rPr>
      </w:pPr>
      <w:r>
        <w:rPr>
          <w:rFonts w:ascii="Times New Roman" w:cs="Times New Roman" w:eastAsia="Times New Roman" w:hAnsi="Times New Roman"/>
          <w:sz w:val="20"/>
          <w:szCs w:val="20"/>
          <w:color w:val="auto"/>
        </w:rPr>
        <w:t>The total fair value of vested RSUs was $32,156, $30,072 and $23,032 during the fiscal years ended March 27, 2026, March 28, 2025 and March 29, 2024,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Stock Units</w:t>
      </w:r>
    </w:p>
    <w:p>
      <w:pPr>
        <w:spacing w:after="0" w:line="120" w:lineRule="exact"/>
        <w:rPr>
          <w:sz w:val="20"/>
          <w:szCs w:val="20"/>
          <w:color w:val="auto"/>
        </w:rPr>
      </w:pPr>
    </w:p>
    <w:p>
      <w:pPr>
        <w:jc w:val="both"/>
        <w:ind w:firstLine="540"/>
        <w:spacing w:after="0" w:line="245" w:lineRule="auto"/>
        <w:rPr>
          <w:sz w:val="20"/>
          <w:szCs w:val="20"/>
          <w:color w:val="auto"/>
        </w:rPr>
      </w:pPr>
      <w:r>
        <w:rPr>
          <w:rFonts w:ascii="Times New Roman" w:cs="Times New Roman" w:eastAsia="Times New Roman" w:hAnsi="Times New Roman"/>
          <w:sz w:val="20"/>
          <w:szCs w:val="20"/>
          <w:color w:val="auto"/>
        </w:rPr>
        <w:t>The Company also awards PSUs to its senior personnel based on achievement of metrics tied to financial plans and strategic objectives approved by its Board of Directors for establishing target performances. Each award reflects a target number of shares (“Target Shares”) that may be issued to the award recipient. PSU awards are generally earned upon the completion of a multi-year performance period. Whether units are earned at the end of the performance period is determined based on the achievement of certain performance objectives over the performance period. The performance objectives include achieving various metrics such as revenue targets and cumulative earnings before income taxes, depreciation and amortization levels for the performance period, and relative total stockholder return. Depending on the results achieved over the multi- year performance period, the actual number of shares that a grant recipient may receive during and at the end of the period ranges from 0% to 200% of the Target Shares granted.</w:t>
      </w:r>
    </w:p>
    <w:p>
      <w:pPr>
        <w:spacing w:after="0" w:line="82" w:lineRule="exact"/>
        <w:rPr>
          <w:sz w:val="20"/>
          <w:szCs w:val="20"/>
          <w:color w:val="auto"/>
        </w:rPr>
      </w:pPr>
    </w:p>
    <w:p>
      <w:pPr>
        <w:jc w:val="both"/>
        <w:ind w:firstLine="540"/>
        <w:spacing w:after="0" w:line="277" w:lineRule="auto"/>
        <w:rPr>
          <w:sz w:val="20"/>
          <w:szCs w:val="20"/>
          <w:color w:val="auto"/>
        </w:rPr>
      </w:pPr>
      <w:r>
        <w:rPr>
          <w:rFonts w:ascii="Times New Roman" w:cs="Times New Roman" w:eastAsia="Times New Roman" w:hAnsi="Times New Roman"/>
          <w:sz w:val="20"/>
          <w:szCs w:val="20"/>
          <w:color w:val="auto"/>
        </w:rPr>
        <w:t>The weighted-average fair value of the PSUs granted during the year was determined using the Monte Carlo simulation model incorporating the following weighted-average assumptions: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74"/>
        </w:trPr>
        <w:tc>
          <w:tcPr>
            <w:tcW w:w="6360" w:type="dxa"/>
            <w:vAlign w:val="bottom"/>
          </w:tcPr>
          <w:p>
            <w:pPr>
              <w:spacing w:after="0"/>
              <w:rPr>
                <w:sz w:val="15"/>
                <w:szCs w:val="15"/>
                <w:color w:val="auto"/>
              </w:rPr>
            </w:pPr>
          </w:p>
        </w:tc>
        <w:tc>
          <w:tcPr>
            <w:tcW w:w="13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27,</w:t>
            </w:r>
          </w:p>
        </w:tc>
        <w:tc>
          <w:tcPr>
            <w:tcW w:w="140" w:type="dxa"/>
            <w:vAlign w:val="bottom"/>
          </w:tcPr>
          <w:p>
            <w:pPr>
              <w:spacing w:after="0"/>
              <w:rPr>
                <w:sz w:val="15"/>
                <w:szCs w:val="15"/>
                <w:color w:val="auto"/>
              </w:rPr>
            </w:pPr>
          </w:p>
        </w:tc>
        <w:tc>
          <w:tcPr>
            <w:tcW w:w="13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60" w:type="dxa"/>
            <w:vAlign w:val="bottom"/>
          </w:tcPr>
          <w:p>
            <w:pPr>
              <w:spacing w:after="0"/>
              <w:rPr>
                <w:sz w:val="15"/>
                <w:szCs w:val="15"/>
                <w:color w:val="auto"/>
              </w:rPr>
            </w:pPr>
          </w:p>
        </w:tc>
        <w:tc>
          <w:tcPr>
            <w:tcW w:w="13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29,</w:t>
            </w:r>
          </w:p>
        </w:tc>
      </w:tr>
      <w:tr>
        <w:trPr>
          <w:trHeight w:val="203"/>
        </w:trPr>
        <w:tc>
          <w:tcPr>
            <w:tcW w:w="63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520" w:type="dxa"/>
            <w:vAlign w:val="bottom"/>
            <w:gridSpan w:val="2"/>
          </w:tcPr>
          <w:p>
            <w:pPr>
              <w:jc w:val="center"/>
              <w:ind w:left="6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540" w:type="dxa"/>
            <w:vAlign w:val="bottom"/>
            <w:gridSpan w:val="2"/>
          </w:tcPr>
          <w:p>
            <w:pPr>
              <w:jc w:val="center"/>
              <w:ind w:left="45"/>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78"/>
        </w:trPr>
        <w:tc>
          <w:tcPr>
            <w:tcW w:w="636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Performance term</w:t>
            </w:r>
          </w:p>
        </w:tc>
        <w:tc>
          <w:tcPr>
            <w:tcW w:w="1380" w:type="dxa"/>
            <w:vAlign w:val="bottom"/>
            <w:tcBorders>
              <w:top w:val="single" w:sz="8" w:color="auto"/>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9"/>
              </w:rPr>
              <w:t>2.88 years</w:t>
            </w:r>
          </w:p>
        </w:tc>
        <w:tc>
          <w:tcPr>
            <w:tcW w:w="140" w:type="dxa"/>
            <w:vAlign w:val="bottom"/>
            <w:tcBorders>
              <w:top w:val="single" w:sz="8" w:color="E2E2E2"/>
            </w:tcBorders>
            <w:shd w:val="clear" w:color="auto" w:fill="E2E2E2"/>
          </w:tcPr>
          <w:p>
            <w:pPr>
              <w:spacing w:after="0"/>
              <w:rPr>
                <w:sz w:val="24"/>
                <w:szCs w:val="24"/>
                <w:color w:val="auto"/>
              </w:rPr>
            </w:pPr>
          </w:p>
        </w:tc>
        <w:tc>
          <w:tcPr>
            <w:tcW w:w="1380" w:type="dxa"/>
            <w:vAlign w:val="bottom"/>
            <w:tcBorders>
              <w:top w:val="single" w:sz="8" w:color="auto"/>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9"/>
              </w:rPr>
              <w:t>2.79 years</w:t>
            </w:r>
          </w:p>
        </w:tc>
        <w:tc>
          <w:tcPr>
            <w:tcW w:w="160" w:type="dxa"/>
            <w:vAlign w:val="bottom"/>
            <w:tcBorders>
              <w:top w:val="single" w:sz="8" w:color="E2E2E2"/>
            </w:tcBorders>
            <w:shd w:val="clear" w:color="auto" w:fill="E2E2E2"/>
          </w:tcPr>
          <w:p>
            <w:pPr>
              <w:spacing w:after="0"/>
              <w:rPr>
                <w:sz w:val="24"/>
                <w:szCs w:val="24"/>
                <w:color w:val="auto"/>
              </w:rPr>
            </w:pPr>
          </w:p>
        </w:tc>
        <w:tc>
          <w:tcPr>
            <w:tcW w:w="1380" w:type="dxa"/>
            <w:vAlign w:val="bottom"/>
            <w:tcBorders>
              <w:top w:val="single" w:sz="8" w:color="auto"/>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9"/>
              </w:rPr>
              <w:t>2.87 years</w:t>
            </w:r>
          </w:p>
        </w:tc>
      </w:tr>
      <w:tr>
        <w:trPr>
          <w:trHeight w:val="283"/>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Volatility</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51.13%</w:t>
            </w:r>
          </w:p>
        </w:tc>
        <w:tc>
          <w:tcPr>
            <w:tcW w:w="1520" w:type="dxa"/>
            <w:vAlign w:val="bottom"/>
            <w:gridSpan w:val="2"/>
          </w:tcPr>
          <w:p>
            <w:pPr>
              <w:jc w:val="center"/>
              <w:ind w:left="45"/>
              <w:spacing w:after="0"/>
              <w:rPr>
                <w:sz w:val="20"/>
                <w:szCs w:val="20"/>
                <w:color w:val="auto"/>
              </w:rPr>
            </w:pPr>
            <w:r>
              <w:rPr>
                <w:rFonts w:ascii="Times New Roman" w:cs="Times New Roman" w:eastAsia="Times New Roman" w:hAnsi="Times New Roman"/>
                <w:sz w:val="20"/>
                <w:szCs w:val="20"/>
                <w:color w:val="auto"/>
              </w:rPr>
              <w:t>43.46%</w:t>
            </w:r>
          </w:p>
        </w:tc>
        <w:tc>
          <w:tcPr>
            <w:tcW w:w="1540" w:type="dxa"/>
            <w:vAlign w:val="bottom"/>
            <w:gridSpan w:val="2"/>
          </w:tcPr>
          <w:p>
            <w:pPr>
              <w:jc w:val="center"/>
              <w:ind w:left="65"/>
              <w:spacing w:after="0"/>
              <w:rPr>
                <w:sz w:val="20"/>
                <w:szCs w:val="20"/>
                <w:color w:val="auto"/>
              </w:rPr>
            </w:pPr>
            <w:r>
              <w:rPr>
                <w:rFonts w:ascii="Times New Roman" w:cs="Times New Roman" w:eastAsia="Times New Roman" w:hAnsi="Times New Roman"/>
                <w:sz w:val="20"/>
                <w:szCs w:val="20"/>
                <w:color w:val="auto"/>
              </w:rPr>
              <w:t>47.70%</w:t>
            </w:r>
          </w:p>
        </w:tc>
      </w:tr>
      <w:tr>
        <w:trPr>
          <w:trHeight w:val="283"/>
        </w:trPr>
        <w:tc>
          <w:tcPr>
            <w:tcW w:w="63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Risk-free rate of return</w:t>
            </w:r>
          </w:p>
        </w:tc>
        <w:tc>
          <w:tcPr>
            <w:tcW w:w="13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rPr>
              <w:t>3.91%</w:t>
            </w:r>
          </w:p>
        </w:tc>
        <w:tc>
          <w:tcPr>
            <w:tcW w:w="1520" w:type="dxa"/>
            <w:vAlign w:val="bottom"/>
            <w:gridSpan w:val="2"/>
            <w:shd w:val="clear" w:color="auto" w:fill="E2E2E2"/>
          </w:tcPr>
          <w:p>
            <w:pPr>
              <w:jc w:val="center"/>
              <w:ind w:left="65"/>
              <w:spacing w:after="0"/>
              <w:rPr>
                <w:sz w:val="20"/>
                <w:szCs w:val="20"/>
                <w:color w:val="auto"/>
              </w:rPr>
            </w:pPr>
            <w:r>
              <w:rPr>
                <w:rFonts w:ascii="Times New Roman" w:cs="Times New Roman" w:eastAsia="Times New Roman" w:hAnsi="Times New Roman"/>
                <w:sz w:val="20"/>
                <w:szCs w:val="20"/>
                <w:color w:val="auto"/>
              </w:rPr>
              <w:t>4.57%</w:t>
            </w:r>
          </w:p>
        </w:tc>
        <w:tc>
          <w:tcPr>
            <w:tcW w:w="1540" w:type="dxa"/>
            <w:vAlign w:val="bottom"/>
            <w:gridSpan w:val="2"/>
            <w:shd w:val="clear" w:color="auto" w:fill="E2E2E2"/>
          </w:tcPr>
          <w:p>
            <w:pPr>
              <w:jc w:val="center"/>
              <w:ind w:left="45"/>
              <w:spacing w:after="0"/>
              <w:rPr>
                <w:sz w:val="20"/>
                <w:szCs w:val="20"/>
                <w:color w:val="auto"/>
              </w:rPr>
            </w:pPr>
            <w:r>
              <w:rPr>
                <w:rFonts w:ascii="Times New Roman" w:cs="Times New Roman" w:eastAsia="Times New Roman" w:hAnsi="Times New Roman"/>
                <w:sz w:val="20"/>
                <w:szCs w:val="20"/>
                <w:color w:val="auto"/>
              </w:rPr>
              <w:t>3.68%</w:t>
            </w:r>
          </w:p>
        </w:tc>
      </w:tr>
      <w:tr>
        <w:trPr>
          <w:trHeight w:val="283"/>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1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r>
      <w:tr>
        <w:trPr>
          <w:trHeight w:val="283"/>
        </w:trPr>
        <w:tc>
          <w:tcPr>
            <w:tcW w:w="63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Weighted-average fair value per share</w:t>
            </w:r>
          </w:p>
        </w:tc>
        <w:tc>
          <w:tcPr>
            <w:tcW w:w="13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rPr>
              <w:t>$29.57</w:t>
            </w:r>
          </w:p>
        </w:tc>
        <w:tc>
          <w:tcPr>
            <w:tcW w:w="1520" w:type="dxa"/>
            <w:vAlign w:val="bottom"/>
            <w:gridSpan w:val="2"/>
            <w:shd w:val="clear" w:color="auto" w:fill="E2E2E2"/>
          </w:tcPr>
          <w:p>
            <w:pPr>
              <w:jc w:val="center"/>
              <w:ind w:left="45"/>
              <w:spacing w:after="0"/>
              <w:rPr>
                <w:sz w:val="20"/>
                <w:szCs w:val="20"/>
                <w:color w:val="auto"/>
              </w:rPr>
            </w:pPr>
            <w:r>
              <w:rPr>
                <w:rFonts w:ascii="Times New Roman" w:cs="Times New Roman" w:eastAsia="Times New Roman" w:hAnsi="Times New Roman"/>
                <w:sz w:val="20"/>
                <w:szCs w:val="20"/>
                <w:color w:val="auto"/>
                <w:w w:val="98"/>
              </w:rPr>
              <w:t>$31.83</w:t>
            </w:r>
          </w:p>
        </w:tc>
        <w:tc>
          <w:tcPr>
            <w:tcW w:w="1540" w:type="dxa"/>
            <w:vAlign w:val="bottom"/>
            <w:gridSpan w:val="2"/>
            <w:shd w:val="clear" w:color="auto" w:fill="E2E2E2"/>
          </w:tcPr>
          <w:p>
            <w:pPr>
              <w:jc w:val="center"/>
              <w:ind w:left="45"/>
              <w:spacing w:after="0"/>
              <w:rPr>
                <w:sz w:val="20"/>
                <w:szCs w:val="20"/>
                <w:color w:val="auto"/>
              </w:rPr>
            </w:pPr>
            <w:r>
              <w:rPr>
                <w:rFonts w:ascii="Times New Roman" w:cs="Times New Roman" w:eastAsia="Times New Roman" w:hAnsi="Times New Roman"/>
                <w:sz w:val="20"/>
                <w:szCs w:val="20"/>
                <w:color w:val="auto"/>
              </w:rPr>
              <w:t>$43.83</w:t>
            </w:r>
          </w:p>
        </w:tc>
      </w:tr>
    </w:tbl>
    <w:p>
      <w:pPr>
        <w:spacing w:after="0" w:line="200" w:lineRule="exact"/>
        <w:rPr>
          <w:sz w:val="20"/>
          <w:szCs w:val="20"/>
          <w:color w:val="auto"/>
        </w:rPr>
      </w:pPr>
    </w:p>
    <w:p>
      <w:pPr>
        <w:sectPr>
          <w:pgSz w:w="12240" w:h="15840" w:orient="portrait"/>
          <w:cols w:equalWidth="0" w:num="1">
            <w:col w:w="10800"/>
          </w:cols>
          <w:pgMar w:left="720" w:top="696" w:right="720" w:bottom="187"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F-36</w:t>
      </w:r>
    </w:p>
    <w:p>
      <w:pPr>
        <w:sectPr>
          <w:pgSz w:w="12240" w:h="15840" w:orient="portrait"/>
          <w:cols w:equalWidth="0" w:num="1">
            <w:col w:w="10800"/>
          </w:cols>
          <w:pgMar w:left="720" w:top="696" w:right="720" w:bottom="187" w:gutter="0" w:footer="0" w:header="0"/>
          <w:type w:val="continuous"/>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00" w:lineRule="exact"/>
        <w:rPr>
          <w:sz w:val="20"/>
          <w:szCs w:val="20"/>
          <w:color w:val="auto"/>
        </w:rPr>
      </w:pPr>
    </w:p>
    <w:p>
      <w:pPr>
        <w:spacing w:after="0" w:line="2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summarizes PSU activity for the fiscal year ended March 27, 2026: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4"/>
        </w:trPr>
        <w:tc>
          <w:tcPr>
            <w:tcW w:w="5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4"/>
        </w:trPr>
        <w:tc>
          <w:tcPr>
            <w:tcW w:w="5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6"/>
                <w:szCs w:val="16"/>
                <w:color w:val="auto"/>
              </w:rPr>
            </w:pPr>
          </w:p>
        </w:tc>
        <w:tc>
          <w:tcPr>
            <w:tcW w:w="128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84"/>
        </w:trPr>
        <w:tc>
          <w:tcPr>
            <w:tcW w:w="5420" w:type="dxa"/>
            <w:vAlign w:val="bottom"/>
          </w:tcPr>
          <w:p>
            <w:pPr>
              <w:spacing w:after="0"/>
              <w:rPr>
                <w:sz w:val="16"/>
                <w:szCs w:val="16"/>
                <w:color w:val="auto"/>
              </w:rPr>
            </w:pPr>
          </w:p>
        </w:tc>
        <w:tc>
          <w:tcPr>
            <w:tcW w:w="1280" w:type="dxa"/>
            <w:vAlign w:val="bottom"/>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6"/>
                <w:szCs w:val="16"/>
                <w:color w:val="auto"/>
              </w:rPr>
            </w:pPr>
          </w:p>
        </w:tc>
        <w:tc>
          <w:tcPr>
            <w:tcW w:w="124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Average Grant-</w:t>
            </w:r>
          </w:p>
        </w:tc>
        <w:tc>
          <w:tcPr>
            <w:tcW w:w="140" w:type="dxa"/>
            <w:vAlign w:val="bottom"/>
          </w:tcPr>
          <w:p>
            <w:pPr>
              <w:spacing w:after="0"/>
              <w:rPr>
                <w:sz w:val="16"/>
                <w:szCs w:val="16"/>
                <w:color w:val="auto"/>
              </w:rPr>
            </w:pPr>
          </w:p>
        </w:tc>
        <w:tc>
          <w:tcPr>
            <w:tcW w:w="128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03"/>
        </w:trPr>
        <w:tc>
          <w:tcPr>
            <w:tcW w:w="5420" w:type="dxa"/>
            <w:vAlign w:val="bottom"/>
            <w:tcBorders>
              <w:bottom w:val="single" w:sz="8" w:color="E2E2E2"/>
            </w:tcBorders>
          </w:tcPr>
          <w:p>
            <w:pPr>
              <w:spacing w:after="0"/>
              <w:rPr>
                <w:sz w:val="17"/>
                <w:szCs w:val="17"/>
                <w:color w:val="auto"/>
              </w:rPr>
            </w:pPr>
          </w:p>
        </w:tc>
        <w:tc>
          <w:tcPr>
            <w:tcW w:w="12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bottom w:val="single" w:sz="8" w:color="E2E2E2"/>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140" w:type="dxa"/>
            <w:vAlign w:val="bottom"/>
            <w:tcBorders>
              <w:bottom w:val="single" w:sz="8" w:color="E2E2E2"/>
            </w:tcBorders>
          </w:tcPr>
          <w:p>
            <w:pPr>
              <w:spacing w:after="0"/>
              <w:rPr>
                <w:sz w:val="17"/>
                <w:szCs w:val="17"/>
                <w:color w:val="auto"/>
              </w:rPr>
            </w:pPr>
          </w:p>
        </w:tc>
        <w:tc>
          <w:tcPr>
            <w:tcW w:w="12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20" w:type="dxa"/>
            <w:vAlign w:val="bottom"/>
            <w:tcBorders>
              <w:bottom w:val="single" w:sz="8" w:color="E2E2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5"/>
        </w:trPr>
        <w:tc>
          <w:tcPr>
            <w:tcW w:w="542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Outstanding - March 28, 2025</w:t>
            </w:r>
          </w:p>
        </w:tc>
        <w:tc>
          <w:tcPr>
            <w:tcW w:w="1280" w:type="dxa"/>
            <w:vAlign w:val="bottom"/>
            <w:shd w:val="clear" w:color="auto" w:fill="E2E2E2"/>
          </w:tcPr>
          <w:p>
            <w:pPr>
              <w:jc w:val="right"/>
              <w:ind w:right="5"/>
              <w:spacing w:after="0" w:line="225" w:lineRule="exact"/>
              <w:rPr>
                <w:sz w:val="20"/>
                <w:szCs w:val="20"/>
                <w:color w:val="auto"/>
              </w:rPr>
            </w:pPr>
            <w:r>
              <w:rPr>
                <w:rFonts w:ascii="Times New Roman" w:cs="Times New Roman" w:eastAsia="Times New Roman" w:hAnsi="Times New Roman"/>
                <w:sz w:val="20"/>
                <w:szCs w:val="20"/>
                <w:color w:val="auto"/>
              </w:rPr>
              <w:t>2,145,781</w:t>
            </w:r>
          </w:p>
        </w:tc>
        <w:tc>
          <w:tcPr>
            <w:tcW w:w="12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2E2E2"/>
          </w:tcPr>
          <w:p>
            <w:pPr>
              <w:jc w:val="right"/>
              <w:ind w:right="3"/>
              <w:spacing w:after="0" w:line="225" w:lineRule="exact"/>
              <w:rPr>
                <w:sz w:val="20"/>
                <w:szCs w:val="20"/>
                <w:color w:val="auto"/>
              </w:rPr>
            </w:pPr>
            <w:r>
              <w:rPr>
                <w:rFonts w:ascii="Times New Roman" w:cs="Times New Roman" w:eastAsia="Times New Roman" w:hAnsi="Times New Roman"/>
                <w:sz w:val="20"/>
                <w:szCs w:val="20"/>
                <w:color w:val="auto"/>
              </w:rPr>
              <w:t>24.86</w:t>
            </w:r>
          </w:p>
        </w:tc>
        <w:tc>
          <w:tcPr>
            <w:tcW w:w="140" w:type="dxa"/>
            <w:vAlign w:val="bottom"/>
            <w:shd w:val="clear" w:color="auto" w:fill="E2E2E2"/>
          </w:tcPr>
          <w:p>
            <w:pPr>
              <w:spacing w:after="0"/>
              <w:rPr>
                <w:sz w:val="19"/>
                <w:szCs w:val="19"/>
                <w:color w:val="auto"/>
              </w:rPr>
            </w:pPr>
          </w:p>
        </w:tc>
        <w:tc>
          <w:tcPr>
            <w:tcW w:w="1280" w:type="dxa"/>
            <w:vAlign w:val="bottom"/>
            <w:shd w:val="clear" w:color="auto" w:fill="E2E2E2"/>
          </w:tcPr>
          <w:p>
            <w:pPr>
              <w:jc w:val="right"/>
              <w:ind w:right="34"/>
              <w:spacing w:after="0" w:line="225" w:lineRule="exact"/>
              <w:rPr>
                <w:sz w:val="20"/>
                <w:szCs w:val="20"/>
                <w:color w:val="auto"/>
              </w:rPr>
            </w:pPr>
            <w:r>
              <w:rPr>
                <w:rFonts w:ascii="Times New Roman" w:cs="Times New Roman" w:eastAsia="Times New Roman" w:hAnsi="Times New Roman"/>
                <w:sz w:val="20"/>
                <w:szCs w:val="20"/>
                <w:color w:val="auto"/>
              </w:rPr>
              <w:t>1.80</w:t>
            </w:r>
          </w:p>
        </w:tc>
        <w:tc>
          <w:tcPr>
            <w:tcW w:w="120" w:type="dxa"/>
            <w:vAlign w:val="bottom"/>
            <w:shd w:val="clear" w:color="auto" w:fill="E2E2E2"/>
          </w:tcPr>
          <w:p>
            <w:pPr>
              <w:spacing w:after="0"/>
              <w:rPr>
                <w:sz w:val="19"/>
                <w:szCs w:val="19"/>
                <w:color w:val="auto"/>
              </w:rPr>
            </w:pPr>
          </w:p>
        </w:tc>
        <w:tc>
          <w:tcPr>
            <w:tcW w:w="16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53,344</w:t>
            </w:r>
          </w:p>
        </w:tc>
      </w:tr>
      <w:tr>
        <w:trPr>
          <w:trHeight w:val="230"/>
        </w:trPr>
        <w:tc>
          <w:tcPr>
            <w:tcW w:w="5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533,437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29.44</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542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Cancelled</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(153,650)</w:t>
            </w:r>
          </w:p>
        </w:tc>
        <w:tc>
          <w:tcPr>
            <w:tcW w:w="12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0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24.32</w:t>
            </w:r>
          </w:p>
        </w:tc>
        <w:tc>
          <w:tcPr>
            <w:tcW w:w="140" w:type="dxa"/>
            <w:vAlign w:val="bottom"/>
            <w:shd w:val="clear" w:color="auto" w:fill="E2E2E2"/>
          </w:tcPr>
          <w:p>
            <w:pPr>
              <w:spacing w:after="0"/>
              <w:rPr>
                <w:sz w:val="20"/>
                <w:szCs w:val="20"/>
                <w:color w:val="auto"/>
              </w:rPr>
            </w:pPr>
          </w:p>
        </w:tc>
        <w:tc>
          <w:tcPr>
            <w:tcW w:w="128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040" w:type="dxa"/>
            <w:vAlign w:val="bottom"/>
            <w:shd w:val="clear" w:color="auto" w:fill="E2E2E2"/>
          </w:tcPr>
          <w:p>
            <w:pPr>
              <w:spacing w:after="0"/>
              <w:rPr>
                <w:sz w:val="20"/>
                <w:szCs w:val="20"/>
                <w:color w:val="auto"/>
              </w:rPr>
            </w:pPr>
          </w:p>
        </w:tc>
      </w:tr>
      <w:tr>
        <w:trPr>
          <w:trHeight w:val="230"/>
        </w:trPr>
        <w:tc>
          <w:tcPr>
            <w:tcW w:w="5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Issued</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(231,653)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27.80</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0"/>
        </w:trPr>
        <w:tc>
          <w:tcPr>
            <w:tcW w:w="542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12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(958,266)</w:t>
            </w:r>
          </w:p>
        </w:tc>
        <w:tc>
          <w:tcPr>
            <w:tcW w:w="120" w:type="dxa"/>
            <w:vAlign w:val="bottom"/>
            <w:tcBorders>
              <w:bottom w:val="single" w:sz="8" w:color="E2E2E2"/>
            </w:tcBorders>
            <w:shd w:val="clear" w:color="auto" w:fill="E2E2E2"/>
          </w:tcPr>
          <w:p>
            <w:pPr>
              <w:spacing w:after="0"/>
              <w:rPr>
                <w:sz w:val="21"/>
                <w:szCs w:val="21"/>
                <w:color w:val="auto"/>
              </w:rPr>
            </w:pPr>
          </w:p>
        </w:tc>
        <w:tc>
          <w:tcPr>
            <w:tcW w:w="160" w:type="dxa"/>
            <w:vAlign w:val="bottom"/>
            <w:tcBorders>
              <w:bottom w:val="single" w:sz="8" w:color="E2E2E2"/>
            </w:tcBorders>
            <w:shd w:val="clear" w:color="auto" w:fill="E2E2E2"/>
          </w:tcPr>
          <w:p>
            <w:pPr>
              <w:spacing w:after="0"/>
              <w:rPr>
                <w:sz w:val="21"/>
                <w:szCs w:val="21"/>
                <w:color w:val="auto"/>
              </w:rPr>
            </w:pPr>
          </w:p>
        </w:tc>
        <w:tc>
          <w:tcPr>
            <w:tcW w:w="1080" w:type="dxa"/>
            <w:vAlign w:val="bottom"/>
            <w:tcBorders>
              <w:bottom w:val="single" w:sz="8" w:color="E2E2E2"/>
            </w:tcBorders>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22.54</w:t>
            </w:r>
          </w:p>
        </w:tc>
        <w:tc>
          <w:tcPr>
            <w:tcW w:w="140" w:type="dxa"/>
            <w:vAlign w:val="bottom"/>
            <w:tcBorders>
              <w:bottom w:val="single" w:sz="8" w:color="E2E2E2"/>
            </w:tcBorders>
            <w:shd w:val="clear" w:color="auto" w:fill="E2E2E2"/>
          </w:tcPr>
          <w:p>
            <w:pPr>
              <w:spacing w:after="0"/>
              <w:rPr>
                <w:sz w:val="21"/>
                <w:szCs w:val="21"/>
                <w:color w:val="auto"/>
              </w:rPr>
            </w:pPr>
          </w:p>
        </w:tc>
        <w:tc>
          <w:tcPr>
            <w:tcW w:w="1280" w:type="dxa"/>
            <w:vAlign w:val="bottom"/>
            <w:tcBorders>
              <w:bottom w:val="single" w:sz="8" w:color="E2E2E2"/>
            </w:tcBorders>
            <w:shd w:val="clear" w:color="auto" w:fill="E2E2E2"/>
          </w:tcPr>
          <w:p>
            <w:pPr>
              <w:spacing w:after="0"/>
              <w:rPr>
                <w:sz w:val="21"/>
                <w:szCs w:val="21"/>
                <w:color w:val="auto"/>
              </w:rPr>
            </w:pPr>
          </w:p>
        </w:tc>
        <w:tc>
          <w:tcPr>
            <w:tcW w:w="120" w:type="dxa"/>
            <w:vAlign w:val="bottom"/>
            <w:tcBorders>
              <w:bottom w:val="single" w:sz="8" w:color="E2E2E2"/>
            </w:tcBorders>
            <w:shd w:val="clear" w:color="auto" w:fill="E2E2E2"/>
          </w:tcPr>
          <w:p>
            <w:pPr>
              <w:spacing w:after="0"/>
              <w:rPr>
                <w:sz w:val="21"/>
                <w:szCs w:val="21"/>
                <w:color w:val="auto"/>
              </w:rPr>
            </w:pPr>
          </w:p>
        </w:tc>
        <w:tc>
          <w:tcPr>
            <w:tcW w:w="160" w:type="dxa"/>
            <w:vAlign w:val="bottom"/>
            <w:tcBorders>
              <w:bottom w:val="single" w:sz="8" w:color="auto"/>
            </w:tcBorders>
            <w:shd w:val="clear" w:color="auto" w:fill="E2E2E2"/>
          </w:tcPr>
          <w:p>
            <w:pPr>
              <w:spacing w:after="0"/>
              <w:rPr>
                <w:sz w:val="21"/>
                <w:szCs w:val="21"/>
                <w:color w:val="auto"/>
              </w:rPr>
            </w:pPr>
          </w:p>
        </w:tc>
        <w:tc>
          <w:tcPr>
            <w:tcW w:w="1040" w:type="dxa"/>
            <w:vAlign w:val="bottom"/>
            <w:tcBorders>
              <w:bottom w:val="single" w:sz="8" w:color="auto"/>
            </w:tcBorders>
            <w:shd w:val="clear" w:color="auto" w:fill="E2E2E2"/>
          </w:tcPr>
          <w:p>
            <w:pPr>
              <w:spacing w:after="0"/>
              <w:rPr>
                <w:sz w:val="21"/>
                <w:szCs w:val="21"/>
                <w:color w:val="auto"/>
              </w:rPr>
            </w:pPr>
          </w:p>
        </w:tc>
      </w:tr>
      <w:tr>
        <w:trPr>
          <w:trHeight w:val="205"/>
        </w:trPr>
        <w:tc>
          <w:tcPr>
            <w:tcW w:w="5420" w:type="dxa"/>
            <w:vAlign w:val="bottom"/>
          </w:tcPr>
          <w:p>
            <w:pPr>
              <w:spacing w:after="0" w:line="205" w:lineRule="exact"/>
              <w:rPr>
                <w:sz w:val="20"/>
                <w:szCs w:val="20"/>
                <w:color w:val="auto"/>
              </w:rPr>
            </w:pPr>
            <w:r>
              <w:rPr>
                <w:rFonts w:ascii="Times New Roman" w:cs="Times New Roman" w:eastAsia="Times New Roman" w:hAnsi="Times New Roman"/>
                <w:sz w:val="20"/>
                <w:szCs w:val="20"/>
                <w:b w:val="1"/>
                <w:bCs w:val="1"/>
                <w:color w:val="auto"/>
              </w:rPr>
              <w:t>Outstanding - March 27, 2026</w:t>
            </w:r>
          </w:p>
        </w:tc>
        <w:tc>
          <w:tcPr>
            <w:tcW w:w="1280" w:type="dxa"/>
            <w:vAlign w:val="bottom"/>
            <w:tcBorders>
              <w:top w:val="single" w:sz="8" w:color="auto"/>
              <w:bottom w:val="single" w:sz="8" w:color="auto"/>
            </w:tcBorders>
          </w:tcPr>
          <w:p>
            <w:pPr>
              <w:jc w:val="right"/>
              <w:ind w:right="5"/>
              <w:spacing w:after="0" w:line="205" w:lineRule="exact"/>
              <w:rPr>
                <w:sz w:val="20"/>
                <w:szCs w:val="20"/>
                <w:color w:val="auto"/>
              </w:rPr>
            </w:pPr>
            <w:r>
              <w:rPr>
                <w:rFonts w:ascii="Times New Roman" w:cs="Times New Roman" w:eastAsia="Times New Roman" w:hAnsi="Times New Roman"/>
                <w:sz w:val="20"/>
                <w:szCs w:val="20"/>
                <w:color w:val="auto"/>
              </w:rPr>
              <w:t>1,335,649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20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ind w:right="3"/>
              <w:spacing w:after="0" w:line="205" w:lineRule="exact"/>
              <w:rPr>
                <w:sz w:val="20"/>
                <w:szCs w:val="20"/>
                <w:color w:val="auto"/>
              </w:rPr>
            </w:pPr>
            <w:r>
              <w:rPr>
                <w:rFonts w:ascii="Times New Roman" w:cs="Times New Roman" w:eastAsia="Times New Roman" w:hAnsi="Times New Roman"/>
                <w:sz w:val="20"/>
                <w:szCs w:val="20"/>
                <w:color w:val="auto"/>
              </w:rPr>
              <w:t>27.90</w:t>
            </w:r>
          </w:p>
        </w:tc>
        <w:tc>
          <w:tcPr>
            <w:tcW w:w="14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ind w:right="34"/>
              <w:spacing w:after="0" w:line="205" w:lineRule="exact"/>
              <w:rPr>
                <w:sz w:val="20"/>
                <w:szCs w:val="20"/>
                <w:color w:val="auto"/>
              </w:rPr>
            </w:pPr>
            <w:r>
              <w:rPr>
                <w:rFonts w:ascii="Times New Roman" w:cs="Times New Roman" w:eastAsia="Times New Roman" w:hAnsi="Times New Roman"/>
                <w:sz w:val="20"/>
                <w:szCs w:val="20"/>
                <w:color w:val="auto"/>
              </w:rPr>
              <w:t>1.48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40,230</w:t>
            </w:r>
          </w:p>
        </w:tc>
      </w:tr>
      <w:tr>
        <w:trPr>
          <w:trHeight w:val="20"/>
        </w:trPr>
        <w:tc>
          <w:tcPr>
            <w:tcW w:w="5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both"/>
        <w:ind w:firstLine="540"/>
        <w:spacing w:after="0" w:line="277" w:lineRule="auto"/>
        <w:rPr>
          <w:sz w:val="20"/>
          <w:szCs w:val="20"/>
          <w:color w:val="auto"/>
        </w:rPr>
      </w:pPr>
      <w:r>
        <w:rPr>
          <w:rFonts w:ascii="Times New Roman" w:cs="Times New Roman" w:eastAsia="Times New Roman" w:hAnsi="Times New Roman"/>
          <w:sz w:val="20"/>
          <w:szCs w:val="20"/>
          <w:color w:val="auto"/>
        </w:rPr>
        <w:t>PSUs are included at 0% - 200% of target goals. The total compensation cost related to unvested awards not yet recorded at March 27, 2026 was $12,109, which is expected to be recognized over a weighted-average of 2.0 years.</w:t>
      </w:r>
    </w:p>
    <w:p>
      <w:pPr>
        <w:spacing w:after="0" w:line="49" w:lineRule="exact"/>
        <w:rPr>
          <w:sz w:val="20"/>
          <w:szCs w:val="20"/>
          <w:color w:val="auto"/>
        </w:rPr>
      </w:pPr>
    </w:p>
    <w:p>
      <w:pPr>
        <w:jc w:val="both"/>
        <w:ind w:firstLine="540"/>
        <w:spacing w:after="0" w:line="277" w:lineRule="auto"/>
        <w:rPr>
          <w:sz w:val="20"/>
          <w:szCs w:val="20"/>
          <w:color w:val="auto"/>
        </w:rPr>
      </w:pPr>
      <w:r>
        <w:rPr>
          <w:rFonts w:ascii="Times New Roman" w:cs="Times New Roman" w:eastAsia="Times New Roman" w:hAnsi="Times New Roman"/>
          <w:sz w:val="20"/>
          <w:szCs w:val="20"/>
          <w:color w:val="auto"/>
        </w:rPr>
        <w:t>The total grant date fair value of vested PSUs was $6,439, $15,615 and $22,777 during the fiscal years ended March 27, 2026, March 28, 2025 and March 29, 2024,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120"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4,323,711 shares of the Company’s common stock are available for future issuance under the ESPP. The ESPP allows employees to purchase the Company’s common stock at 85% of the lesser of the stock price at the beginning or end of the offering period. Each offering period is six months.</w:t>
      </w:r>
    </w:p>
    <w:p>
      <w:pPr>
        <w:spacing w:after="0" w:line="68" w:lineRule="exact"/>
        <w:rPr>
          <w:sz w:val="20"/>
          <w:szCs w:val="20"/>
          <w:color w:val="auto"/>
        </w:rPr>
      </w:pPr>
    </w:p>
    <w:p>
      <w:pPr>
        <w:jc w:val="both"/>
        <w:ind w:firstLine="540"/>
        <w:spacing w:after="0" w:line="277" w:lineRule="auto"/>
        <w:rPr>
          <w:sz w:val="20"/>
          <w:szCs w:val="20"/>
          <w:color w:val="auto"/>
        </w:rPr>
      </w:pPr>
      <w:r>
        <w:rPr>
          <w:rFonts w:ascii="Times New Roman" w:cs="Times New Roman" w:eastAsia="Times New Roman" w:hAnsi="Times New Roman"/>
          <w:sz w:val="20"/>
          <w:szCs w:val="20"/>
          <w:color w:val="auto"/>
        </w:rPr>
        <w:t>The weighted-average fair value of the ESPP shares was determined using the Black-Scholes model incorporating the following weighted-average assumptions: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160"/>
        </w:trPr>
        <w:tc>
          <w:tcPr>
            <w:tcW w:w="4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366"/>
              <w:spacing w:after="0" w:line="160"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286"/>
              <w:spacing w:after="0" w:line="160"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46"/>
              <w:spacing w:after="0" w:line="160"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220" w:type="dxa"/>
            <w:vAlign w:val="bottom"/>
          </w:tcPr>
          <w:p>
            <w:pPr>
              <w:spacing w:after="0"/>
              <w:rPr>
                <w:sz w:val="13"/>
                <w:szCs w:val="13"/>
                <w:color w:val="auto"/>
              </w:rPr>
            </w:pPr>
          </w:p>
        </w:tc>
      </w:tr>
      <w:tr>
        <w:trPr>
          <w:trHeight w:val="203"/>
        </w:trPr>
        <w:tc>
          <w:tcPr>
            <w:tcW w:w="4680" w:type="dxa"/>
            <w:vAlign w:val="bottom"/>
            <w:tcBorders>
              <w:bottom w:val="single" w:sz="8" w:color="E2E2E2"/>
            </w:tcBorders>
          </w:tcPr>
          <w:p>
            <w:pPr>
              <w:spacing w:after="0"/>
              <w:rPr>
                <w:sz w:val="17"/>
                <w:szCs w:val="17"/>
                <w:color w:val="auto"/>
              </w:rPr>
            </w:pPr>
          </w:p>
        </w:tc>
        <w:tc>
          <w:tcPr>
            <w:tcW w:w="1620" w:type="dxa"/>
            <w:vAlign w:val="bottom"/>
            <w:tcBorders>
              <w:bottom w:val="single" w:sz="8" w:color="E2E2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8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Borders>
              <w:bottom w:val="single" w:sz="8" w:color="E2E2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7"/>
                <w:szCs w:val="17"/>
                <w:color w:val="auto"/>
              </w:rPr>
            </w:pPr>
          </w:p>
        </w:tc>
      </w:tr>
      <w:tr>
        <w:trPr>
          <w:trHeight w:val="225"/>
        </w:trPr>
        <w:tc>
          <w:tcPr>
            <w:tcW w:w="468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Expected performance term</w:t>
            </w:r>
          </w:p>
        </w:tc>
        <w:tc>
          <w:tcPr>
            <w:tcW w:w="162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1240" w:type="dxa"/>
            <w:vAlign w:val="bottom"/>
            <w:shd w:val="clear" w:color="auto" w:fill="E2E2E2"/>
          </w:tcPr>
          <w:p>
            <w:pPr>
              <w:jc w:val="right"/>
              <w:ind w:right="126"/>
              <w:spacing w:after="0" w:line="225" w:lineRule="exact"/>
              <w:rPr>
                <w:sz w:val="20"/>
                <w:szCs w:val="20"/>
                <w:color w:val="auto"/>
              </w:rPr>
            </w:pPr>
            <w:r>
              <w:rPr>
                <w:rFonts w:ascii="Times New Roman" w:cs="Times New Roman" w:eastAsia="Times New Roman" w:hAnsi="Times New Roman"/>
                <w:sz w:val="20"/>
                <w:szCs w:val="20"/>
                <w:color w:val="auto"/>
              </w:rPr>
              <w:t>0.50 years</w:t>
            </w:r>
          </w:p>
        </w:tc>
        <w:tc>
          <w:tcPr>
            <w:tcW w:w="14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220" w:type="dxa"/>
            <w:vAlign w:val="bottom"/>
            <w:shd w:val="clear" w:color="auto" w:fill="E2E2E2"/>
          </w:tcPr>
          <w:p>
            <w:pPr>
              <w:jc w:val="right"/>
              <w:ind w:right="106"/>
              <w:spacing w:after="0" w:line="225" w:lineRule="exact"/>
              <w:rPr>
                <w:sz w:val="20"/>
                <w:szCs w:val="20"/>
                <w:color w:val="auto"/>
              </w:rPr>
            </w:pPr>
            <w:r>
              <w:rPr>
                <w:rFonts w:ascii="Times New Roman" w:cs="Times New Roman" w:eastAsia="Times New Roman" w:hAnsi="Times New Roman"/>
                <w:sz w:val="20"/>
                <w:szCs w:val="20"/>
                <w:color w:val="auto"/>
              </w:rPr>
              <w:t>0.50 years</w:t>
            </w:r>
          </w:p>
        </w:tc>
        <w:tc>
          <w:tcPr>
            <w:tcW w:w="16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1240" w:type="dxa"/>
            <w:vAlign w:val="bottom"/>
            <w:gridSpan w:val="2"/>
            <w:shd w:val="clear" w:color="auto" w:fill="E2E2E2"/>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0.50 years</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Volatility</w:t>
            </w: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40.97%</w:t>
            </w:r>
          </w:p>
        </w:tc>
      </w:tr>
      <w:tr>
        <w:trPr>
          <w:trHeight w:val="230"/>
        </w:trPr>
        <w:tc>
          <w:tcPr>
            <w:tcW w:w="46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Risk-free rate of return</w:t>
            </w:r>
          </w:p>
        </w:tc>
        <w:tc>
          <w:tcPr>
            <w:tcW w:w="162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3.87%</w:t>
            </w:r>
          </w:p>
        </w:tc>
        <w:tc>
          <w:tcPr>
            <w:tcW w:w="14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4.70%</w:t>
            </w:r>
          </w:p>
        </w:tc>
        <w:tc>
          <w:tcPr>
            <w:tcW w:w="16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24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5.35%</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6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Weighted-average fair value per share</w:t>
            </w:r>
          </w:p>
        </w:tc>
        <w:tc>
          <w:tcPr>
            <w:tcW w:w="17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2E2E2"/>
          </w:tcPr>
          <w:p>
            <w:pPr>
              <w:jc w:val="right"/>
              <w:ind w:right="126"/>
              <w:spacing w:after="0"/>
              <w:rPr>
                <w:sz w:val="20"/>
                <w:szCs w:val="20"/>
                <w:color w:val="auto"/>
              </w:rPr>
            </w:pPr>
            <w:r>
              <w:rPr>
                <w:rFonts w:ascii="Times New Roman" w:cs="Times New Roman" w:eastAsia="Times New Roman" w:hAnsi="Times New Roman"/>
                <w:sz w:val="20"/>
                <w:szCs w:val="20"/>
                <w:color w:val="auto"/>
              </w:rPr>
              <w:t>9.34</w:t>
            </w:r>
          </w:p>
        </w:tc>
        <w:tc>
          <w:tcPr>
            <w:tcW w:w="32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2E2E2"/>
          </w:tcPr>
          <w:p>
            <w:pPr>
              <w:jc w:val="right"/>
              <w:ind w:right="106"/>
              <w:spacing w:after="0"/>
              <w:rPr>
                <w:sz w:val="20"/>
                <w:szCs w:val="20"/>
                <w:color w:val="auto"/>
              </w:rPr>
            </w:pPr>
            <w:r>
              <w:rPr>
                <w:rFonts w:ascii="Times New Roman" w:cs="Times New Roman" w:eastAsia="Times New Roman" w:hAnsi="Times New Roman"/>
                <w:sz w:val="20"/>
                <w:szCs w:val="20"/>
                <w:color w:val="auto"/>
              </w:rPr>
              <w:t>7.07</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9.51</w:t>
            </w:r>
          </w:p>
        </w:tc>
        <w:tc>
          <w:tcPr>
            <w:tcW w:w="220" w:type="dxa"/>
            <w:vAlign w:val="bottom"/>
            <w:shd w:val="clear" w:color="auto" w:fill="E2E2E2"/>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-996950</wp:posOffset>
            </wp:positionV>
            <wp:extent cx="276606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6">
                      <a:extLst>
                        <a:ext uri="{28A0092B-C50C-407E-A947-70E740481C1C}"/>
                      </a:extLst>
                    </a:blip>
                    <a:srcRect/>
                    <a:stretch>
                      <a:fillRect/>
                    </a:stretch>
                  </pic:blipFill>
                  <pic:spPr bwMode="auto">
                    <a:xfrm>
                      <a:off x="0" y="0"/>
                      <a:ext cx="2766060" cy="38100"/>
                    </a:xfrm>
                    <a:prstGeom prst="rect">
                      <a:avLst/>
                    </a:prstGeom>
                    <a:noFill/>
                  </pic:spPr>
                </pic:pic>
              </a:graphicData>
            </a:graphic>
          </wp:anchor>
        </w:drawing>
      </w:r>
    </w:p>
    <w:p>
      <w:pPr>
        <w:spacing w:after="0" w:line="2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Company recorded stock-based compensation expense on its consolidated statements of operations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225"/>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500" w:type="dxa"/>
            <w:vAlign w:val="bottom"/>
            <w:tcBorders>
              <w:bottom w:val="single" w:sz="8" w:color="E2E2E2"/>
            </w:tcBorders>
          </w:tcPr>
          <w:p>
            <w:pPr>
              <w:spacing w:after="0"/>
              <w:rPr>
                <w:sz w:val="17"/>
                <w:szCs w:val="17"/>
                <w:color w:val="auto"/>
              </w:rPr>
            </w:pPr>
          </w:p>
        </w:tc>
        <w:tc>
          <w:tcPr>
            <w:tcW w:w="760" w:type="dxa"/>
            <w:vAlign w:val="bottom"/>
            <w:tcBorders>
              <w:bottom w:val="single" w:sz="8" w:color="E2E2E2"/>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45"/>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Borders>
              <w:bottom w:val="single" w:sz="8" w:color="E2E2E2"/>
            </w:tcBorders>
          </w:tcPr>
          <w:p>
            <w:pPr>
              <w:spacing w:after="0"/>
              <w:rPr>
                <w:sz w:val="17"/>
                <w:szCs w:val="17"/>
                <w:color w:val="auto"/>
              </w:rPr>
            </w:pPr>
          </w:p>
        </w:tc>
        <w:tc>
          <w:tcPr>
            <w:tcW w:w="120" w:type="dxa"/>
            <w:vAlign w:val="bottom"/>
            <w:tcBorders>
              <w:bottom w:val="single" w:sz="8" w:color="E2E2E2"/>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0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RSUs</w:t>
            </w:r>
          </w:p>
        </w:tc>
        <w:tc>
          <w:tcPr>
            <w:tcW w:w="760" w:type="dxa"/>
            <w:vAlign w:val="bottom"/>
            <w:shd w:val="clear" w:color="auto" w:fill="E2E2E2"/>
          </w:tcPr>
          <w:p>
            <w:pPr>
              <w:spacing w:after="0"/>
              <w:rPr>
                <w:sz w:val="19"/>
                <w:szCs w:val="19"/>
                <w:color w:val="auto"/>
              </w:rPr>
            </w:pPr>
          </w:p>
        </w:tc>
        <w:tc>
          <w:tcPr>
            <w:tcW w:w="220" w:type="dxa"/>
            <w:vAlign w:val="bottom"/>
            <w:gridSpan w:val="2"/>
            <w:shd w:val="clear" w:color="auto" w:fill="E2E2E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E2E2E2"/>
          </w:tcPr>
          <w:p>
            <w:pPr>
              <w:jc w:val="right"/>
              <w:ind w:right="25"/>
              <w:spacing w:after="0" w:line="225" w:lineRule="exact"/>
              <w:rPr>
                <w:sz w:val="20"/>
                <w:szCs w:val="20"/>
                <w:color w:val="auto"/>
              </w:rPr>
            </w:pPr>
            <w:r>
              <w:rPr>
                <w:rFonts w:ascii="Times New Roman" w:cs="Times New Roman" w:eastAsia="Times New Roman" w:hAnsi="Times New Roman"/>
                <w:sz w:val="20"/>
                <w:szCs w:val="20"/>
                <w:color w:val="auto"/>
              </w:rPr>
              <w:t>41,309</w:t>
            </w:r>
          </w:p>
        </w:tc>
        <w:tc>
          <w:tcPr>
            <w:tcW w:w="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00" w:type="dxa"/>
            <w:vAlign w:val="bottom"/>
            <w:gridSpan w:val="2"/>
            <w:shd w:val="clear" w:color="auto" w:fill="E2E2E2"/>
          </w:tcPr>
          <w:p>
            <w:pPr>
              <w:jc w:val="right"/>
              <w:ind w:right="1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E2E2E2"/>
          </w:tcPr>
          <w:p>
            <w:pPr>
              <w:jc w:val="right"/>
              <w:ind w:right="5"/>
              <w:spacing w:after="0" w:line="225" w:lineRule="exact"/>
              <w:rPr>
                <w:sz w:val="20"/>
                <w:szCs w:val="20"/>
                <w:color w:val="auto"/>
              </w:rPr>
            </w:pPr>
            <w:r>
              <w:rPr>
                <w:rFonts w:ascii="Times New Roman" w:cs="Times New Roman" w:eastAsia="Times New Roman" w:hAnsi="Times New Roman"/>
                <w:sz w:val="20"/>
                <w:szCs w:val="20"/>
                <w:color w:val="auto"/>
              </w:rPr>
              <w:t>32,144</w:t>
            </w: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right w:val="single" w:sz="8" w:color="E2E2E2"/>
            </w:tcBorders>
            <w:gridSpan w:val="2"/>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28,162</w:t>
            </w:r>
          </w:p>
        </w:tc>
        <w:tc>
          <w:tcPr>
            <w:tcW w:w="2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PSUs</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5,120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8,561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12,825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ESPP</w:t>
            </w:r>
          </w:p>
        </w:tc>
        <w:tc>
          <w:tcPr>
            <w:tcW w:w="760" w:type="dxa"/>
            <w:vAlign w:val="bottom"/>
            <w:shd w:val="clear" w:color="auto" w:fill="E2E2E2"/>
          </w:tcPr>
          <w:p>
            <w:pPr>
              <w:spacing w:after="0"/>
              <w:rPr>
                <w:sz w:val="20"/>
                <w:szCs w:val="20"/>
                <w:color w:val="auto"/>
              </w:rPr>
            </w:pPr>
          </w:p>
        </w:tc>
        <w:tc>
          <w:tcPr>
            <w:tcW w:w="4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2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1,384</w:t>
            </w:r>
          </w:p>
        </w:tc>
        <w:tc>
          <w:tcPr>
            <w:tcW w:w="2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2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auto"/>
              </w:rPr>
              <w:t>1,099</w:t>
            </w: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180" w:type="dxa"/>
            <w:vAlign w:val="bottom"/>
            <w:tcBorders>
              <w:right w:val="single" w:sz="8" w:color="E2E2E2"/>
            </w:tcBorders>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1,438</w:t>
            </w:r>
          </w:p>
        </w:tc>
        <w:tc>
          <w:tcPr>
            <w:tcW w:w="2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760" w:type="dxa"/>
            <w:vAlign w:val="bottom"/>
            <w:tcBorders>
              <w:bottom w:val="single" w:sz="8" w:color="E2E2E2"/>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color w:val="auto"/>
              </w:rPr>
              <w:t>97</w:t>
            </w:r>
          </w:p>
        </w:tc>
        <w:tc>
          <w:tcPr>
            <w:tcW w:w="20" w:type="dxa"/>
            <w:vAlign w:val="bottom"/>
            <w:tcBorders>
              <w:bottom w:val="single" w:sz="8" w:color="E2E2E2"/>
            </w:tcBorders>
          </w:tcPr>
          <w:p>
            <w:pPr>
              <w:spacing w:after="0"/>
              <w:rPr>
                <w:sz w:val="19"/>
                <w:szCs w:val="19"/>
                <w:color w:val="auto"/>
              </w:rPr>
            </w:pPr>
          </w:p>
        </w:tc>
        <w:tc>
          <w:tcPr>
            <w:tcW w:w="120" w:type="dxa"/>
            <w:vAlign w:val="bottom"/>
            <w:tcBorders>
              <w:bottom w:val="single" w:sz="8" w:color="E2E2E2"/>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64</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500" w:type="dxa"/>
            <w:vAlign w:val="bottom"/>
            <w:tcBorders>
              <w:bottom w:val="single" w:sz="8" w:color="E2E2E2"/>
            </w:tcBorders>
            <w:shd w:val="clear" w:color="auto" w:fill="E2E2E2"/>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rPr>
              <w:t>Total</w:t>
            </w:r>
          </w:p>
        </w:tc>
        <w:tc>
          <w:tcPr>
            <w:tcW w:w="760" w:type="dxa"/>
            <w:vAlign w:val="bottom"/>
            <w:tcBorders>
              <w:bottom w:val="single" w:sz="8" w:color="E2E2E2"/>
            </w:tcBorders>
            <w:shd w:val="clear" w:color="auto" w:fill="E2E2E2"/>
          </w:tcPr>
          <w:p>
            <w:pPr>
              <w:spacing w:after="0"/>
              <w:rPr>
                <w:sz w:val="21"/>
                <w:szCs w:val="21"/>
                <w:color w:val="auto"/>
              </w:rPr>
            </w:pPr>
          </w:p>
        </w:tc>
        <w:tc>
          <w:tcPr>
            <w:tcW w:w="220" w:type="dxa"/>
            <w:vAlign w:val="bottom"/>
            <w:tcBorders>
              <w:bottom w:val="single" w:sz="8" w:color="auto"/>
            </w:tcBorders>
            <w:gridSpan w:val="2"/>
            <w:shd w:val="clear" w:color="auto" w:fill="E2E2E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2E2E2"/>
          </w:tcPr>
          <w:p>
            <w:pPr>
              <w:jc w:val="right"/>
              <w:ind w:right="25"/>
              <w:spacing w:after="0" w:line="225" w:lineRule="exact"/>
              <w:rPr>
                <w:sz w:val="20"/>
                <w:szCs w:val="20"/>
                <w:color w:val="auto"/>
              </w:rPr>
            </w:pPr>
            <w:r>
              <w:rPr>
                <w:rFonts w:ascii="Times New Roman" w:cs="Times New Roman" w:eastAsia="Times New Roman" w:hAnsi="Times New Roman"/>
                <w:sz w:val="20"/>
                <w:szCs w:val="20"/>
                <w:color w:val="auto"/>
              </w:rPr>
              <w:t>47,910</w:t>
            </w:r>
          </w:p>
        </w:tc>
        <w:tc>
          <w:tcPr>
            <w:tcW w:w="20" w:type="dxa"/>
            <w:vAlign w:val="bottom"/>
            <w:tcBorders>
              <w:bottom w:val="single" w:sz="8" w:color="E2E2E2"/>
            </w:tcBorders>
            <w:shd w:val="clear" w:color="auto" w:fill="E2E2E2"/>
          </w:tcPr>
          <w:p>
            <w:pPr>
              <w:spacing w:after="0"/>
              <w:rPr>
                <w:sz w:val="21"/>
                <w:szCs w:val="21"/>
                <w:color w:val="auto"/>
              </w:rPr>
            </w:pPr>
          </w:p>
        </w:tc>
        <w:tc>
          <w:tcPr>
            <w:tcW w:w="120" w:type="dxa"/>
            <w:vAlign w:val="bottom"/>
            <w:tcBorders>
              <w:bottom w:val="single" w:sz="8" w:color="E2E2E2"/>
            </w:tcBorders>
            <w:shd w:val="clear" w:color="auto" w:fill="E2E2E2"/>
          </w:tcPr>
          <w:p>
            <w:pPr>
              <w:spacing w:after="0"/>
              <w:rPr>
                <w:sz w:val="21"/>
                <w:szCs w:val="21"/>
                <w:color w:val="auto"/>
              </w:rPr>
            </w:pPr>
          </w:p>
        </w:tc>
        <w:tc>
          <w:tcPr>
            <w:tcW w:w="200" w:type="dxa"/>
            <w:vAlign w:val="bottom"/>
            <w:tcBorders>
              <w:bottom w:val="single" w:sz="8" w:color="auto"/>
            </w:tcBorders>
            <w:gridSpan w:val="2"/>
            <w:shd w:val="clear" w:color="auto" w:fill="E2E2E2"/>
          </w:tcPr>
          <w:p>
            <w:pPr>
              <w:jc w:val="right"/>
              <w:ind w:right="1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2E2E2"/>
          </w:tcPr>
          <w:p>
            <w:pPr>
              <w:jc w:val="right"/>
              <w:ind w:right="5"/>
              <w:spacing w:after="0" w:line="225" w:lineRule="exact"/>
              <w:rPr>
                <w:sz w:val="20"/>
                <w:szCs w:val="20"/>
                <w:color w:val="auto"/>
              </w:rPr>
            </w:pPr>
            <w:r>
              <w:rPr>
                <w:rFonts w:ascii="Times New Roman" w:cs="Times New Roman" w:eastAsia="Times New Roman" w:hAnsi="Times New Roman"/>
                <w:sz w:val="20"/>
                <w:szCs w:val="20"/>
                <w:color w:val="auto"/>
              </w:rPr>
              <w:t>41,868</w:t>
            </w:r>
          </w:p>
        </w:tc>
        <w:tc>
          <w:tcPr>
            <w:tcW w:w="20" w:type="dxa"/>
            <w:vAlign w:val="bottom"/>
            <w:tcBorders>
              <w:bottom w:val="single" w:sz="8" w:color="auto"/>
            </w:tcBorders>
            <w:shd w:val="clear" w:color="auto" w:fill="E2E2E2"/>
          </w:tcPr>
          <w:p>
            <w:pPr>
              <w:spacing w:after="0"/>
              <w:rPr>
                <w:sz w:val="21"/>
                <w:szCs w:val="21"/>
                <w:color w:val="auto"/>
              </w:rPr>
            </w:pPr>
          </w:p>
        </w:tc>
        <w:tc>
          <w:tcPr>
            <w:tcW w:w="14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E2E2E2"/>
            </w:tcBorders>
            <w:shd w:val="clear" w:color="auto" w:fill="E2E2E2"/>
          </w:tcPr>
          <w:p>
            <w:pPr>
              <w:spacing w:after="0"/>
              <w:rPr>
                <w:sz w:val="21"/>
                <w:szCs w:val="21"/>
                <w:color w:val="auto"/>
              </w:rPr>
            </w:pPr>
          </w:p>
        </w:tc>
        <w:tc>
          <w:tcPr>
            <w:tcW w:w="180" w:type="dxa"/>
            <w:vAlign w:val="bottom"/>
            <w:tcBorders>
              <w:bottom w:val="single" w:sz="8" w:color="auto"/>
            </w:tcBorders>
            <w:shd w:val="clear" w:color="auto" w:fill="E2E2E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right w:val="single" w:sz="8" w:color="E2E2E2"/>
            </w:tcBorders>
            <w:gridSpan w:val="2"/>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42,457</w:t>
            </w:r>
          </w:p>
        </w:tc>
        <w:tc>
          <w:tcPr>
            <w:tcW w:w="20" w:type="dxa"/>
            <w:vAlign w:val="bottom"/>
            <w:tcBorders>
              <w:bottom w:val="single" w:sz="8" w:color="auto"/>
            </w:tcBorders>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5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225"/>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40"/>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45"/>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500" w:type="dxa"/>
            <w:vAlign w:val="bottom"/>
            <w:vMerge w:val="continue"/>
          </w:tcPr>
          <w:p>
            <w:pPr>
              <w:spacing w:after="0"/>
              <w:rPr>
                <w:sz w:val="20"/>
                <w:szCs w:val="20"/>
                <w:color w:val="auto"/>
              </w:rPr>
            </w:pPr>
          </w:p>
        </w:tc>
        <w:tc>
          <w:tcPr>
            <w:tcW w:w="800" w:type="dxa"/>
            <w:vAlign w:val="bottom"/>
            <w:gridSpan w:val="2"/>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3,955</w:t>
            </w:r>
          </w:p>
        </w:tc>
        <w:tc>
          <w:tcPr>
            <w:tcW w:w="2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2,877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760" w:type="dxa"/>
            <w:vAlign w:val="bottom"/>
            <w:shd w:val="clear" w:color="auto" w:fill="E2E2E2"/>
          </w:tcPr>
          <w:p>
            <w:pPr>
              <w:spacing w:after="0"/>
              <w:rPr>
                <w:sz w:val="21"/>
                <w:szCs w:val="21"/>
                <w:color w:val="auto"/>
              </w:rPr>
            </w:pPr>
          </w:p>
        </w:tc>
        <w:tc>
          <w:tcPr>
            <w:tcW w:w="4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22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15,799</w:t>
            </w:r>
          </w:p>
        </w:tc>
        <w:tc>
          <w:tcPr>
            <w:tcW w:w="20" w:type="dxa"/>
            <w:vAlign w:val="bottom"/>
            <w:shd w:val="clear" w:color="auto" w:fill="E2E2E2"/>
          </w:tcPr>
          <w:p>
            <w:pPr>
              <w:spacing w:after="0"/>
              <w:rPr>
                <w:sz w:val="21"/>
                <w:szCs w:val="21"/>
                <w:color w:val="auto"/>
              </w:rPr>
            </w:pPr>
          </w:p>
        </w:tc>
        <w:tc>
          <w:tcPr>
            <w:tcW w:w="12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22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14,624</w:t>
            </w:r>
          </w:p>
        </w:tc>
        <w:tc>
          <w:tcPr>
            <w:tcW w:w="2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13,894</w:t>
            </w:r>
          </w:p>
        </w:tc>
        <w:tc>
          <w:tcPr>
            <w:tcW w:w="80" w:type="dxa"/>
            <w:vAlign w:val="bottom"/>
            <w:tcBorders>
              <w:right w:val="single" w:sz="8" w:color="E2E2E2"/>
            </w:tcBorders>
            <w:shd w:val="clear" w:color="auto" w:fill="E2E2E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760" w:type="dxa"/>
            <w:vAlign w:val="bottom"/>
            <w:tcBorders>
              <w:bottom w:val="single" w:sz="8" w:color="E2E2E2"/>
            </w:tcBorders>
          </w:tcPr>
          <w:p>
            <w:pPr>
              <w:spacing w:after="0"/>
              <w:rPr>
                <w:sz w:val="21"/>
                <w:szCs w:val="21"/>
                <w:color w:val="auto"/>
              </w:rPr>
            </w:pPr>
          </w:p>
        </w:tc>
        <w:tc>
          <w:tcPr>
            <w:tcW w:w="4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color w:val="auto"/>
              </w:rPr>
              <w:t>28,156</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E2E2E2"/>
            </w:tcBorders>
          </w:tcPr>
          <w:p>
            <w:pPr>
              <w:spacing w:after="0"/>
              <w:rPr>
                <w:sz w:val="21"/>
                <w:szCs w:val="21"/>
                <w:color w:val="auto"/>
              </w:rPr>
            </w:pPr>
          </w:p>
        </w:tc>
        <w:tc>
          <w:tcPr>
            <w:tcW w:w="2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color w:val="auto"/>
              </w:rPr>
              <w:t>24,367</w:t>
            </w:r>
          </w:p>
        </w:tc>
        <w:tc>
          <w:tcPr>
            <w:tcW w:w="20" w:type="dxa"/>
            <w:vAlign w:val="bottom"/>
            <w:tcBorders>
              <w:bottom w:val="single" w:sz="8" w:color="E2E2E2"/>
            </w:tcBorders>
          </w:tcPr>
          <w:p>
            <w:pPr>
              <w:spacing w:after="0"/>
              <w:rPr>
                <w:sz w:val="21"/>
                <w:szCs w:val="21"/>
                <w:color w:val="auto"/>
              </w:rPr>
            </w:pPr>
          </w:p>
        </w:tc>
        <w:tc>
          <w:tcPr>
            <w:tcW w:w="140" w:type="dxa"/>
            <w:vAlign w:val="bottom"/>
            <w:tcBorders>
              <w:bottom w:val="single" w:sz="8" w:color="E2E2E2"/>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23,204</w:t>
            </w: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760" w:type="dxa"/>
            <w:vAlign w:val="bottom"/>
            <w:shd w:val="clear" w:color="auto" w:fill="E2E2E2"/>
          </w:tcPr>
          <w:p>
            <w:pPr>
              <w:spacing w:after="0"/>
              <w:rPr>
                <w:sz w:val="20"/>
                <w:szCs w:val="20"/>
                <w:color w:val="auto"/>
              </w:rPr>
            </w:pPr>
          </w:p>
        </w:tc>
        <w:tc>
          <w:tcPr>
            <w:tcW w:w="4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2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47,910</w:t>
            </w:r>
          </w:p>
        </w:tc>
        <w:tc>
          <w:tcPr>
            <w:tcW w:w="2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2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41,868</w:t>
            </w: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42,457</w:t>
            </w:r>
          </w:p>
        </w:tc>
        <w:tc>
          <w:tcPr>
            <w:tcW w:w="80" w:type="dxa"/>
            <w:vAlign w:val="bottom"/>
            <w:tcBorders>
              <w:right w:val="single" w:sz="8" w:color="E2E2E2"/>
            </w:tcBorders>
            <w:shd w:val="clear" w:color="auto" w:fill="E2E2E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760" w:type="dxa"/>
            <w:vAlign w:val="bottom"/>
            <w:tcBorders>
              <w:bottom w:val="single" w:sz="8" w:color="E2E2E2"/>
            </w:tcBorders>
          </w:tcPr>
          <w:p>
            <w:pPr>
              <w:spacing w:after="0"/>
              <w:rPr>
                <w:sz w:val="21"/>
                <w:szCs w:val="21"/>
                <w:color w:val="auto"/>
              </w:rPr>
            </w:pPr>
          </w:p>
        </w:tc>
        <w:tc>
          <w:tcPr>
            <w:tcW w:w="4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(5,074)</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E2E2E2"/>
            </w:tcBorders>
          </w:tcPr>
          <w:p>
            <w:pPr>
              <w:spacing w:after="0"/>
              <w:rPr>
                <w:sz w:val="21"/>
                <w:szCs w:val="21"/>
                <w:color w:val="auto"/>
              </w:rPr>
            </w:pPr>
          </w:p>
        </w:tc>
        <w:tc>
          <w:tcPr>
            <w:tcW w:w="20" w:type="dxa"/>
            <w:vAlign w:val="bottom"/>
            <w:tcBorders>
              <w:bottom w:val="single" w:sz="8" w:color="E2E2E2"/>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(4,049)</w:t>
            </w:r>
          </w:p>
        </w:tc>
        <w:tc>
          <w:tcPr>
            <w:tcW w:w="20" w:type="dxa"/>
            <w:vAlign w:val="bottom"/>
            <w:tcBorders>
              <w:bottom w:val="single" w:sz="8" w:color="E2E2E2"/>
            </w:tcBorders>
          </w:tcPr>
          <w:p>
            <w:pPr>
              <w:spacing w:after="0"/>
              <w:rPr>
                <w:sz w:val="21"/>
                <w:szCs w:val="21"/>
                <w:color w:val="auto"/>
              </w:rPr>
            </w:pPr>
          </w:p>
        </w:tc>
        <w:tc>
          <w:tcPr>
            <w:tcW w:w="140" w:type="dxa"/>
            <w:vAlign w:val="bottom"/>
            <w:tcBorders>
              <w:bottom w:val="single" w:sz="8" w:color="E2E2E2"/>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(4,379)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50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b w:val="1"/>
                <w:bCs w:val="1"/>
                <w:color w:val="auto"/>
              </w:rPr>
              <w:t>Total stock-based compensation expense, net of taxes</w:t>
            </w:r>
          </w:p>
        </w:tc>
        <w:tc>
          <w:tcPr>
            <w:tcW w:w="760" w:type="dxa"/>
            <w:vAlign w:val="bottom"/>
            <w:tcBorders>
              <w:bottom w:val="single" w:sz="8" w:color="E2E2E2"/>
            </w:tcBorders>
            <w:shd w:val="clear" w:color="auto" w:fill="E2E2E2"/>
          </w:tcPr>
          <w:p>
            <w:pPr>
              <w:spacing w:after="0"/>
              <w:rPr>
                <w:sz w:val="22"/>
                <w:szCs w:val="22"/>
                <w:color w:val="auto"/>
              </w:rPr>
            </w:pPr>
          </w:p>
        </w:tc>
        <w:tc>
          <w:tcPr>
            <w:tcW w:w="4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42,836</w:t>
            </w:r>
          </w:p>
        </w:tc>
        <w:tc>
          <w:tcPr>
            <w:tcW w:w="20" w:type="dxa"/>
            <w:vAlign w:val="bottom"/>
            <w:tcBorders>
              <w:bottom w:val="single" w:sz="8" w:color="auto"/>
            </w:tcBorders>
            <w:shd w:val="clear" w:color="auto" w:fill="E2E2E2"/>
          </w:tcPr>
          <w:p>
            <w:pPr>
              <w:spacing w:after="0"/>
              <w:rPr>
                <w:sz w:val="22"/>
                <w:szCs w:val="22"/>
                <w:color w:val="auto"/>
              </w:rPr>
            </w:pPr>
          </w:p>
        </w:tc>
        <w:tc>
          <w:tcPr>
            <w:tcW w:w="140" w:type="dxa"/>
            <w:vAlign w:val="bottom"/>
            <w:tcBorders>
              <w:bottom w:val="single" w:sz="8" w:color="E2E2E2"/>
            </w:tcBorders>
            <w:gridSpan w:val="2"/>
            <w:shd w:val="clear" w:color="auto" w:fill="E2E2E2"/>
          </w:tcPr>
          <w:p>
            <w:pPr>
              <w:spacing w:after="0"/>
              <w:rPr>
                <w:sz w:val="22"/>
                <w:szCs w:val="22"/>
                <w:color w:val="auto"/>
              </w:rPr>
            </w:pPr>
          </w:p>
        </w:tc>
        <w:tc>
          <w:tcPr>
            <w:tcW w:w="1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37,819</w:t>
            </w:r>
          </w:p>
        </w:tc>
        <w:tc>
          <w:tcPr>
            <w:tcW w:w="20" w:type="dxa"/>
            <w:vAlign w:val="bottom"/>
            <w:tcBorders>
              <w:bottom w:val="single" w:sz="8" w:color="E2E2E2"/>
            </w:tcBorders>
            <w:shd w:val="clear" w:color="auto" w:fill="E2E2E2"/>
          </w:tcPr>
          <w:p>
            <w:pPr>
              <w:spacing w:after="0"/>
              <w:rPr>
                <w:sz w:val="22"/>
                <w:szCs w:val="22"/>
                <w:color w:val="auto"/>
              </w:rPr>
            </w:pPr>
          </w:p>
        </w:tc>
        <w:tc>
          <w:tcPr>
            <w:tcW w:w="140" w:type="dxa"/>
            <w:vAlign w:val="bottom"/>
            <w:tcBorders>
              <w:bottom w:val="single" w:sz="8" w:color="E2E2E2"/>
            </w:tcBorders>
            <w:shd w:val="clear" w:color="auto" w:fill="E2E2E2"/>
          </w:tcPr>
          <w:p>
            <w:pPr>
              <w:spacing w:after="0"/>
              <w:rPr>
                <w:sz w:val="22"/>
                <w:szCs w:val="22"/>
                <w:color w:val="auto"/>
              </w:rPr>
            </w:pPr>
          </w:p>
        </w:tc>
        <w:tc>
          <w:tcPr>
            <w:tcW w:w="200" w:type="dxa"/>
            <w:vAlign w:val="bottom"/>
            <w:tcBorders>
              <w:bottom w:val="single" w:sz="8" w:color="auto"/>
            </w:tcBorders>
            <w:gridSpan w:val="2"/>
            <w:shd w:val="clear" w:color="auto" w:fill="E2E2E2"/>
          </w:tcPr>
          <w:p>
            <w:pPr>
              <w:jc w:val="right"/>
              <w:ind w:right="15"/>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38,078</w:t>
            </w:r>
          </w:p>
        </w:tc>
        <w:tc>
          <w:tcPr>
            <w:tcW w:w="80" w:type="dxa"/>
            <w:vAlign w:val="bottom"/>
            <w:tcBorders>
              <w:bottom w:val="single" w:sz="8" w:color="auto"/>
              <w:right w:val="single" w:sz="8" w:color="E2E2E2"/>
            </w:tcBorders>
            <w:shd w:val="clear" w:color="auto" w:fill="E2E2E2"/>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-2621280</wp:posOffset>
            </wp:positionV>
            <wp:extent cx="287464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7">
                      <a:extLst>
                        <a:ext uri="{28A0092B-C50C-407E-A947-70E740481C1C}"/>
                      </a:extLst>
                    </a:blip>
                    <a:srcRect/>
                    <a:stretch>
                      <a:fillRect/>
                    </a:stretch>
                  </pic:blipFill>
                  <pic:spPr bwMode="auto">
                    <a:xfrm>
                      <a:off x="0" y="0"/>
                      <a:ext cx="2874645" cy="3810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-1252220</wp:posOffset>
            </wp:positionV>
            <wp:extent cx="284734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8">
                      <a:extLst>
                        <a:ext uri="{28A0092B-C50C-407E-A947-70E740481C1C}"/>
                      </a:extLst>
                    </a:blip>
                    <a:srcRect/>
                    <a:stretch>
                      <a:fillRect/>
                    </a:stretch>
                  </pic:blipFill>
                  <pic:spPr bwMode="auto">
                    <a:xfrm>
                      <a:off x="0" y="0"/>
                      <a:ext cx="2847340" cy="38100"/>
                    </a:xfrm>
                    <a:prstGeom prst="rect">
                      <a:avLst/>
                    </a:prstGeom>
                    <a:noFill/>
                  </pic:spPr>
                </pic:pic>
              </a:graphicData>
            </a:graphic>
          </wp:anchor>
        </w:drawing>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F-37</w:t>
      </w:r>
    </w:p>
    <w:p>
      <w:pPr>
        <w:sectPr>
          <w:pgSz w:w="12240" w:h="15840" w:orient="portrait"/>
          <w:cols w:equalWidth="0" w:num="1">
            <w:col w:w="10800"/>
          </w:cols>
          <w:pgMar w:left="720" w:top="696" w:right="720" w:bottom="187" w:gutter="0" w:footer="0" w:header="0"/>
          <w:type w:val="continuous"/>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00" w:lineRule="exact"/>
        <w:rPr>
          <w:sz w:val="20"/>
          <w:szCs w:val="20"/>
          <w:color w:val="auto"/>
        </w:rPr>
      </w:pPr>
    </w:p>
    <w:p>
      <w:pPr>
        <w:spacing w:after="0" w:line="394" w:lineRule="exact"/>
        <w:rPr>
          <w:sz w:val="20"/>
          <w:szCs w:val="20"/>
          <w:color w:val="auto"/>
        </w:rPr>
      </w:pPr>
    </w:p>
    <w:p>
      <w:pPr>
        <w:ind w:left="540" w:hanging="540"/>
        <w:spacing w:after="0"/>
        <w:tabs>
          <w:tab w:leader="none" w:pos="54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124" w:lineRule="exact"/>
        <w:rPr>
          <w:rFonts w:ascii="Times New Roman" w:cs="Times New Roman" w:eastAsia="Times New Roman" w:hAnsi="Times New Roman"/>
          <w:sz w:val="20"/>
          <w:szCs w:val="20"/>
          <w:b w:val="1"/>
          <w:bCs w:val="1"/>
          <w:color w:val="auto"/>
        </w:rPr>
      </w:pPr>
    </w:p>
    <w:p>
      <w:pPr>
        <w:ind w:left="5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components of (loss) income before income taxes include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60"/>
        </w:trPr>
        <w:tc>
          <w:tcPr>
            <w:tcW w:w="6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205"/>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205"/>
              <w:spacing w:after="0" w:line="160"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20" w:type="dxa"/>
            <w:vAlign w:val="bottom"/>
          </w:tcPr>
          <w:p>
            <w:pPr>
              <w:spacing w:after="0"/>
              <w:rPr>
                <w:sz w:val="13"/>
                <w:szCs w:val="13"/>
                <w:color w:val="auto"/>
              </w:rPr>
            </w:pPr>
          </w:p>
        </w:tc>
      </w:tr>
      <w:tr>
        <w:trPr>
          <w:trHeight w:val="203"/>
        </w:trPr>
        <w:tc>
          <w:tcPr>
            <w:tcW w:w="628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Borders>
              <w:bottom w:val="single" w:sz="8" w:color="E2E2E2"/>
            </w:tcBorders>
          </w:tcPr>
          <w:p>
            <w:pPr>
              <w:spacing w:after="0"/>
              <w:rPr>
                <w:sz w:val="17"/>
                <w:szCs w:val="17"/>
                <w:color w:val="auto"/>
              </w:rPr>
            </w:pPr>
          </w:p>
        </w:tc>
        <w:tc>
          <w:tcPr>
            <w:tcW w:w="140" w:type="dxa"/>
            <w:vAlign w:val="bottom"/>
            <w:tcBorders>
              <w:bottom w:val="single" w:sz="8" w:color="E2E2E2"/>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5"/>
        </w:trPr>
        <w:tc>
          <w:tcPr>
            <w:tcW w:w="628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(Loss) income before income taxes</w:t>
            </w: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20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22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100" w:type="dxa"/>
            <w:vAlign w:val="bottom"/>
            <w:shd w:val="clear" w:color="auto" w:fill="E2E2E2"/>
          </w:tcPr>
          <w:p>
            <w:pPr>
              <w:spacing w:after="0"/>
              <w:rPr>
                <w:sz w:val="19"/>
                <w:szCs w:val="19"/>
                <w:color w:val="auto"/>
              </w:rPr>
            </w:pPr>
          </w:p>
        </w:tc>
        <w:tc>
          <w:tcPr>
            <w:tcW w:w="80" w:type="dxa"/>
            <w:vAlign w:val="bottom"/>
            <w:tcBorders>
              <w:right w:val="single" w:sz="8" w:color="E2E2E2"/>
            </w:tcBorders>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r>
      <w:tr>
        <w:trPr>
          <w:trHeight w:val="230"/>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Domestic operations</w:t>
            </w:r>
          </w:p>
        </w:tc>
        <w:tc>
          <w:tcPr>
            <w:tcW w:w="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(28,405)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(106,576)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183,524</w:t>
            </w:r>
          </w:p>
        </w:tc>
        <w:tc>
          <w:tcPr>
            <w:tcW w:w="20" w:type="dxa"/>
            <w:vAlign w:val="bottom"/>
          </w:tcPr>
          <w:p>
            <w:pPr>
              <w:spacing w:after="0"/>
              <w:rPr>
                <w:sz w:val="20"/>
                <w:szCs w:val="20"/>
                <w:color w:val="auto"/>
              </w:rPr>
            </w:pPr>
          </w:p>
        </w:tc>
      </w:tr>
      <w:tr>
        <w:trPr>
          <w:trHeight w:val="264"/>
        </w:trPr>
        <w:tc>
          <w:tcPr>
            <w:tcW w:w="628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Foreign operations</w:t>
            </w:r>
          </w:p>
        </w:tc>
        <w:tc>
          <w:tcPr>
            <w:tcW w:w="2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E2E2E2"/>
            </w:tcBorders>
            <w:shd w:val="clear" w:color="auto" w:fill="E2E2E2"/>
          </w:tcPr>
          <w:p>
            <w:pPr>
              <w:spacing w:after="0"/>
              <w:rPr>
                <w:sz w:val="22"/>
                <w:szCs w:val="22"/>
                <w:color w:val="auto"/>
              </w:rPr>
            </w:pPr>
          </w:p>
        </w:tc>
        <w:tc>
          <w:tcPr>
            <w:tcW w:w="1200" w:type="dxa"/>
            <w:vAlign w:val="bottom"/>
            <w:tcBorders>
              <w:bottom w:val="single" w:sz="8" w:color="E2E2E2"/>
            </w:tcBorders>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auto"/>
              </w:rPr>
              <w:t>13,504</w:t>
            </w:r>
          </w:p>
        </w:tc>
        <w:tc>
          <w:tcPr>
            <w:tcW w:w="20" w:type="dxa"/>
            <w:vAlign w:val="bottom"/>
            <w:tcBorders>
              <w:bottom w:val="single" w:sz="8" w:color="E2E2E2"/>
            </w:tcBorders>
            <w:shd w:val="clear" w:color="auto" w:fill="E2E2E2"/>
          </w:tcPr>
          <w:p>
            <w:pPr>
              <w:spacing w:after="0"/>
              <w:rPr>
                <w:sz w:val="22"/>
                <w:szCs w:val="22"/>
                <w:color w:val="auto"/>
              </w:rPr>
            </w:pPr>
          </w:p>
        </w:tc>
        <w:tc>
          <w:tcPr>
            <w:tcW w:w="140" w:type="dxa"/>
            <w:vAlign w:val="bottom"/>
            <w:tcBorders>
              <w:bottom w:val="single" w:sz="8" w:color="E2E2E2"/>
            </w:tcBorders>
            <w:shd w:val="clear" w:color="auto" w:fill="E2E2E2"/>
          </w:tcPr>
          <w:p>
            <w:pPr>
              <w:spacing w:after="0"/>
              <w:rPr>
                <w:sz w:val="22"/>
                <w:szCs w:val="22"/>
                <w:color w:val="auto"/>
              </w:rPr>
            </w:pPr>
          </w:p>
        </w:tc>
        <w:tc>
          <w:tcPr>
            <w:tcW w:w="2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E2E2E2"/>
            </w:tcBorders>
            <w:shd w:val="clear" w:color="auto" w:fill="E2E2E2"/>
          </w:tcPr>
          <w:p>
            <w:pPr>
              <w:spacing w:after="0"/>
              <w:rPr>
                <w:sz w:val="22"/>
                <w:szCs w:val="22"/>
                <w:color w:val="auto"/>
              </w:rPr>
            </w:pPr>
          </w:p>
        </w:tc>
        <w:tc>
          <w:tcPr>
            <w:tcW w:w="1220" w:type="dxa"/>
            <w:vAlign w:val="bottom"/>
            <w:tcBorders>
              <w:bottom w:val="single" w:sz="8" w:color="E2E2E2"/>
            </w:tcBorders>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auto"/>
              </w:rPr>
              <w:t>20,880</w:t>
            </w:r>
          </w:p>
        </w:tc>
        <w:tc>
          <w:tcPr>
            <w:tcW w:w="160" w:type="dxa"/>
            <w:vAlign w:val="bottom"/>
            <w:tcBorders>
              <w:bottom w:val="single" w:sz="8" w:color="E2E2E2"/>
            </w:tcBorders>
            <w:shd w:val="clear" w:color="auto" w:fill="E2E2E2"/>
          </w:tcPr>
          <w:p>
            <w:pPr>
              <w:spacing w:after="0"/>
              <w:rPr>
                <w:sz w:val="22"/>
                <w:szCs w:val="22"/>
                <w:color w:val="auto"/>
              </w:rPr>
            </w:pPr>
          </w:p>
        </w:tc>
        <w:tc>
          <w:tcPr>
            <w:tcW w:w="2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auto"/>
            </w:tcBorders>
            <w:shd w:val="clear" w:color="auto" w:fill="E2E2E2"/>
          </w:tcPr>
          <w:p>
            <w:pPr>
              <w:spacing w:after="0"/>
              <w:rPr>
                <w:sz w:val="22"/>
                <w:szCs w:val="22"/>
                <w:color w:val="auto"/>
              </w:rPr>
            </w:pPr>
          </w:p>
        </w:tc>
        <w:tc>
          <w:tcPr>
            <w:tcW w:w="1180" w:type="dxa"/>
            <w:vAlign w:val="bottom"/>
            <w:tcBorders>
              <w:bottom w:val="single" w:sz="8" w:color="auto"/>
              <w:right w:val="single" w:sz="8" w:color="E2E2E2"/>
            </w:tcBorders>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11,273</w:t>
            </w:r>
          </w:p>
        </w:tc>
        <w:tc>
          <w:tcPr>
            <w:tcW w:w="20" w:type="dxa"/>
            <w:vAlign w:val="bottom"/>
            <w:tcBorders>
              <w:bottom w:val="single" w:sz="8" w:color="auto"/>
            </w:tcBorders>
            <w:shd w:val="clear" w:color="auto" w:fill="E2E2E2"/>
          </w:tcPr>
          <w:p>
            <w:pPr>
              <w:spacing w:after="0"/>
              <w:rPr>
                <w:sz w:val="22"/>
                <w:szCs w:val="22"/>
                <w:color w:val="auto"/>
              </w:rPr>
            </w:pPr>
          </w:p>
        </w:tc>
      </w:tr>
      <w:tr>
        <w:trPr>
          <w:trHeight w:val="205"/>
        </w:trPr>
        <w:tc>
          <w:tcPr>
            <w:tcW w:w="6280" w:type="dxa"/>
            <w:vAlign w:val="bottom"/>
          </w:tcPr>
          <w:p>
            <w:pPr>
              <w:ind w:left="400"/>
              <w:spacing w:after="0" w:line="205" w:lineRule="exact"/>
              <w:rPr>
                <w:sz w:val="20"/>
                <w:szCs w:val="20"/>
                <w:color w:val="auto"/>
              </w:rPr>
            </w:pPr>
            <w:r>
              <w:rPr>
                <w:rFonts w:ascii="Times New Roman" w:cs="Times New Roman" w:eastAsia="Times New Roman" w:hAnsi="Times New Roman"/>
                <w:sz w:val="20"/>
                <w:szCs w:val="20"/>
                <w:b w:val="1"/>
                <w:bCs w:val="1"/>
                <w:color w:val="auto"/>
              </w:rPr>
              <w:t>Total</w:t>
            </w: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(14,901)</w:t>
            </w:r>
          </w:p>
        </w:tc>
        <w:tc>
          <w:tcPr>
            <w:tcW w:w="160" w:type="dxa"/>
            <w:vAlign w:val="bottom"/>
            <w:gridSpan w:val="2"/>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1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(85,696)</w:t>
            </w:r>
          </w:p>
        </w:tc>
        <w:tc>
          <w:tcPr>
            <w:tcW w:w="180" w:type="dxa"/>
            <w:vAlign w:val="bottom"/>
            <w:gridSpan w:val="2"/>
          </w:tcPr>
          <w:p>
            <w:pPr>
              <w:spacing w:after="0"/>
              <w:rPr>
                <w:sz w:val="17"/>
                <w:szCs w:val="17"/>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gridSpan w:val="2"/>
          </w:tcPr>
          <w:p>
            <w:pPr>
              <w:jc w:val="right"/>
              <w:ind w:right="60"/>
              <w:spacing w:after="0" w:line="205" w:lineRule="exact"/>
              <w:rPr>
                <w:sz w:val="20"/>
                <w:szCs w:val="20"/>
                <w:color w:val="auto"/>
              </w:rPr>
            </w:pPr>
            <w:r>
              <w:rPr>
                <w:rFonts w:ascii="Times New Roman" w:cs="Times New Roman" w:eastAsia="Times New Roman" w:hAnsi="Times New Roman"/>
                <w:sz w:val="20"/>
                <w:szCs w:val="20"/>
                <w:color w:val="auto"/>
              </w:rPr>
              <w:t>194,797</w:t>
            </w:r>
          </w:p>
        </w:tc>
        <w:tc>
          <w:tcPr>
            <w:tcW w:w="20" w:type="dxa"/>
            <w:vAlign w:val="bottom"/>
            <w:tcBorders>
              <w:top w:val="single" w:sz="8" w:color="auto"/>
              <w:bottom w:val="single" w:sz="8" w:color="auto"/>
            </w:tcBorders>
          </w:tcPr>
          <w:p>
            <w:pPr>
              <w:spacing w:after="0"/>
              <w:rPr>
                <w:sz w:val="17"/>
                <w:szCs w:val="17"/>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0"/>
        </w:trPr>
        <w:tc>
          <w:tcPr>
            <w:tcW w:w="7680" w:type="dxa"/>
            <w:vAlign w:val="bottom"/>
            <w:gridSpan w:val="4"/>
          </w:tcPr>
          <w:p>
            <w:pPr>
              <w:ind w:left="540"/>
              <w:spacing w:after="0"/>
              <w:rPr>
                <w:sz w:val="20"/>
                <w:szCs w:val="20"/>
                <w:color w:val="auto"/>
              </w:rPr>
            </w:pPr>
            <w:r>
              <w:rPr>
                <w:rFonts w:ascii="Times New Roman" w:cs="Times New Roman" w:eastAsia="Times New Roman" w:hAnsi="Times New Roman"/>
                <w:sz w:val="20"/>
                <w:szCs w:val="20"/>
                <w:color w:val="auto"/>
              </w:rPr>
              <w:t>Significant components of the income tax (benefit) provision are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7"/>
        </w:trPr>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6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165"/>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85"/>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105"/>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628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Borders>
              <w:bottom w:val="single" w:sz="8" w:color="E2E2E2"/>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628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Current:</w:t>
            </w: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20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22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100" w:type="dxa"/>
            <w:vAlign w:val="bottom"/>
            <w:shd w:val="clear" w:color="auto" w:fill="E2E2E2"/>
          </w:tcPr>
          <w:p>
            <w:pPr>
              <w:spacing w:after="0"/>
              <w:rPr>
                <w:sz w:val="19"/>
                <w:szCs w:val="19"/>
                <w:color w:val="auto"/>
              </w:rPr>
            </w:pPr>
          </w:p>
        </w:tc>
        <w:tc>
          <w:tcPr>
            <w:tcW w:w="80" w:type="dxa"/>
            <w:vAlign w:val="bottom"/>
            <w:tcBorders>
              <w:right w:val="single" w:sz="8" w:color="E2E2E2"/>
            </w:tcBorders>
            <w:shd w:val="clear" w:color="auto" w:fill="E2E2E2"/>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5,569</w:t>
            </w:r>
          </w:p>
        </w:tc>
        <w:tc>
          <w:tcPr>
            <w:tcW w:w="2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(2,047)</w:t>
            </w:r>
          </w:p>
        </w:tc>
        <w:tc>
          <w:tcPr>
            <w:tcW w:w="160" w:type="dxa"/>
            <w:vAlign w:val="bottom"/>
          </w:tcPr>
          <w:p>
            <w:pPr>
              <w:spacing w:after="0"/>
              <w:rPr>
                <w:sz w:val="20"/>
                <w:szCs w:val="20"/>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16,086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2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auto"/>
              </w:rPr>
              <w:t>325</w:t>
            </w:r>
          </w:p>
        </w:tc>
        <w:tc>
          <w:tcPr>
            <w:tcW w:w="16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1,319</w:t>
            </w:r>
          </w:p>
        </w:tc>
        <w:tc>
          <w:tcPr>
            <w:tcW w:w="80" w:type="dxa"/>
            <w:vAlign w:val="bottom"/>
            <w:tcBorders>
              <w:right w:val="single" w:sz="8" w:color="E2E2E2"/>
            </w:tcBorders>
            <w:shd w:val="clear" w:color="auto" w:fill="E2E2E2"/>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28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20" w:type="dxa"/>
            <w:vAlign w:val="bottom"/>
            <w:tcBorders>
              <w:bottom w:val="single" w:sz="8" w:color="E2E2E2"/>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5,527</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5,090</w:t>
            </w:r>
          </w:p>
        </w:tc>
        <w:tc>
          <w:tcPr>
            <w:tcW w:w="160" w:type="dxa"/>
            <w:vAlign w:val="bottom"/>
            <w:tcBorders>
              <w:bottom w:val="single" w:sz="8" w:color="E2E2E2"/>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43,117</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6280" w:type="dxa"/>
            <w:vAlign w:val="bottom"/>
            <w:tcBorders>
              <w:bottom w:val="single" w:sz="8" w:color="E2E2E2"/>
            </w:tcBorders>
            <w:shd w:val="clear" w:color="auto" w:fill="E2E2E2"/>
          </w:tcPr>
          <w:p>
            <w:pPr>
              <w:ind w:left="400"/>
              <w:spacing w:after="0" w:line="225" w:lineRule="exact"/>
              <w:rPr>
                <w:sz w:val="20"/>
                <w:szCs w:val="20"/>
                <w:color w:val="auto"/>
              </w:rPr>
            </w:pPr>
            <w:r>
              <w:rPr>
                <w:rFonts w:ascii="Times New Roman" w:cs="Times New Roman" w:eastAsia="Times New Roman" w:hAnsi="Times New Roman"/>
                <w:sz w:val="20"/>
                <w:szCs w:val="20"/>
                <w:color w:val="auto"/>
              </w:rPr>
              <w:t>Total current</w:t>
            </w:r>
          </w:p>
        </w:tc>
        <w:tc>
          <w:tcPr>
            <w:tcW w:w="20" w:type="dxa"/>
            <w:vAlign w:val="bottom"/>
            <w:tcBorders>
              <w:bottom w:val="single" w:sz="8" w:color="E2E2E2"/>
            </w:tcBorders>
            <w:shd w:val="clear" w:color="auto" w:fill="E2E2E2"/>
          </w:tcPr>
          <w:p>
            <w:pPr>
              <w:spacing w:after="0"/>
              <w:rPr>
                <w:sz w:val="21"/>
                <w:szCs w:val="21"/>
                <w:color w:val="auto"/>
              </w:rPr>
            </w:pPr>
          </w:p>
        </w:tc>
        <w:tc>
          <w:tcPr>
            <w:tcW w:w="180" w:type="dxa"/>
            <w:vAlign w:val="bottom"/>
            <w:tcBorders>
              <w:bottom w:val="single" w:sz="8" w:color="auto"/>
            </w:tcBorders>
            <w:shd w:val="clear" w:color="auto" w:fill="E2E2E2"/>
          </w:tcPr>
          <w:p>
            <w:pPr>
              <w:spacing w:after="0"/>
              <w:rPr>
                <w:sz w:val="21"/>
                <w:szCs w:val="21"/>
                <w:color w:val="auto"/>
              </w:rPr>
            </w:pPr>
          </w:p>
        </w:tc>
        <w:tc>
          <w:tcPr>
            <w:tcW w:w="12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11,746</w:t>
            </w:r>
          </w:p>
        </w:tc>
        <w:tc>
          <w:tcPr>
            <w:tcW w:w="20" w:type="dxa"/>
            <w:vAlign w:val="bottom"/>
            <w:tcBorders>
              <w:bottom w:val="single" w:sz="8" w:color="auto"/>
            </w:tcBorders>
            <w:shd w:val="clear" w:color="auto" w:fill="E2E2E2"/>
          </w:tcPr>
          <w:p>
            <w:pPr>
              <w:spacing w:after="0"/>
              <w:rPr>
                <w:sz w:val="21"/>
                <w:szCs w:val="21"/>
                <w:color w:val="auto"/>
              </w:rPr>
            </w:pPr>
          </w:p>
        </w:tc>
        <w:tc>
          <w:tcPr>
            <w:tcW w:w="14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E2E2E2"/>
            </w:tcBorders>
            <w:shd w:val="clear" w:color="auto" w:fill="E2E2E2"/>
          </w:tcPr>
          <w:p>
            <w:pPr>
              <w:spacing w:after="0"/>
              <w:rPr>
                <w:sz w:val="21"/>
                <w:szCs w:val="21"/>
                <w:color w:val="auto"/>
              </w:rPr>
            </w:pPr>
          </w:p>
        </w:tc>
        <w:tc>
          <w:tcPr>
            <w:tcW w:w="180" w:type="dxa"/>
            <w:vAlign w:val="bottom"/>
            <w:tcBorders>
              <w:bottom w:val="single" w:sz="8" w:color="auto"/>
            </w:tcBorders>
            <w:shd w:val="clear" w:color="auto" w:fill="E2E2E2"/>
          </w:tcPr>
          <w:p>
            <w:pPr>
              <w:spacing w:after="0"/>
              <w:rPr>
                <w:sz w:val="21"/>
                <w:szCs w:val="21"/>
                <w:color w:val="auto"/>
              </w:rPr>
            </w:pPr>
          </w:p>
        </w:tc>
        <w:tc>
          <w:tcPr>
            <w:tcW w:w="1220" w:type="dxa"/>
            <w:vAlign w:val="bottom"/>
            <w:tcBorders>
              <w:bottom w:val="single" w:sz="8" w:color="auto"/>
            </w:tcBorders>
            <w:shd w:val="clear" w:color="auto" w:fill="E2E2E2"/>
          </w:tcPr>
          <w:p>
            <w:pPr>
              <w:jc w:val="right"/>
              <w:ind w:right="5"/>
              <w:spacing w:after="0" w:line="225" w:lineRule="exact"/>
              <w:rPr>
                <w:sz w:val="20"/>
                <w:szCs w:val="20"/>
                <w:color w:val="auto"/>
              </w:rPr>
            </w:pPr>
            <w:r>
              <w:rPr>
                <w:rFonts w:ascii="Times New Roman" w:cs="Times New Roman" w:eastAsia="Times New Roman" w:hAnsi="Times New Roman"/>
                <w:sz w:val="20"/>
                <w:szCs w:val="20"/>
                <w:color w:val="auto"/>
              </w:rPr>
              <w:t>3,368</w:t>
            </w:r>
          </w:p>
        </w:tc>
        <w:tc>
          <w:tcPr>
            <w:tcW w:w="16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auto"/>
            </w:tcBorders>
            <w:shd w:val="clear" w:color="auto" w:fill="E2E2E2"/>
          </w:tcPr>
          <w:p>
            <w:pPr>
              <w:spacing w:after="0"/>
              <w:rPr>
                <w:sz w:val="21"/>
                <w:szCs w:val="21"/>
                <w:color w:val="auto"/>
              </w:rPr>
            </w:pPr>
          </w:p>
        </w:tc>
        <w:tc>
          <w:tcPr>
            <w:tcW w:w="180" w:type="dxa"/>
            <w:vAlign w:val="bottom"/>
            <w:tcBorders>
              <w:bottom w:val="single" w:sz="8" w:color="auto"/>
            </w:tcBorders>
            <w:shd w:val="clear" w:color="auto" w:fill="E2E2E2"/>
          </w:tcPr>
          <w:p>
            <w:pPr>
              <w:spacing w:after="0"/>
              <w:rPr>
                <w:sz w:val="21"/>
                <w:szCs w:val="21"/>
                <w:color w:val="auto"/>
              </w:rPr>
            </w:pPr>
          </w:p>
        </w:tc>
        <w:tc>
          <w:tcPr>
            <w:tcW w:w="11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60,522</w:t>
            </w:r>
          </w:p>
        </w:tc>
        <w:tc>
          <w:tcPr>
            <w:tcW w:w="80" w:type="dxa"/>
            <w:vAlign w:val="bottom"/>
            <w:tcBorders>
              <w:bottom w:val="single" w:sz="8" w:color="auto"/>
              <w:right w:val="single" w:sz="8" w:color="E2E2E2"/>
            </w:tcBorders>
            <w:shd w:val="clear" w:color="auto" w:fill="E2E2E2"/>
          </w:tcPr>
          <w:p>
            <w:pPr>
              <w:spacing w:after="0"/>
              <w:rPr>
                <w:sz w:val="21"/>
                <w:szCs w:val="21"/>
                <w:color w:val="auto"/>
              </w:rPr>
            </w:pPr>
          </w:p>
        </w:tc>
        <w:tc>
          <w:tcPr>
            <w:tcW w:w="20" w:type="dxa"/>
            <w:vAlign w:val="bottom"/>
          </w:tcPr>
          <w:p>
            <w:pPr>
              <w:spacing w:after="0"/>
              <w:rPr>
                <w:sz w:val="21"/>
                <w:szCs w:val="21"/>
                <w:color w:val="auto"/>
              </w:rPr>
            </w:pPr>
          </w:p>
        </w:tc>
      </w:tr>
      <w:tr>
        <w:trPr>
          <w:trHeight w:val="205"/>
        </w:trPr>
        <w:tc>
          <w:tcPr>
            <w:tcW w:w="628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Deferred: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(10,406)</w:t>
            </w: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(15,272)</w:t>
            </w:r>
          </w:p>
        </w:tc>
        <w:tc>
          <w:tcPr>
            <w:tcW w:w="16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10,721</w:t>
            </w:r>
          </w:p>
        </w:tc>
        <w:tc>
          <w:tcPr>
            <w:tcW w:w="80" w:type="dxa"/>
            <w:vAlign w:val="bottom"/>
            <w:tcBorders>
              <w:right w:val="single" w:sz="8" w:color="E2E2E2"/>
            </w:tcBorders>
            <w:shd w:val="clear" w:color="auto" w:fill="E2E2E2"/>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(131)</w:t>
            </w:r>
          </w:p>
        </w:tc>
        <w:tc>
          <w:tcPr>
            <w:tcW w:w="20" w:type="dxa"/>
            <w:vAlign w:val="bottom"/>
          </w:tcPr>
          <w:p>
            <w:pPr>
              <w:spacing w:after="0"/>
              <w:rPr>
                <w:sz w:val="20"/>
                <w:szCs w:val="20"/>
                <w:color w:val="auto"/>
              </w:rPr>
            </w:pPr>
          </w:p>
        </w:tc>
      </w:tr>
      <w:tr>
        <w:trPr>
          <w:trHeight w:val="250"/>
        </w:trPr>
        <w:tc>
          <w:tcPr>
            <w:tcW w:w="628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20" w:type="dxa"/>
            <w:vAlign w:val="bottom"/>
            <w:tcBorders>
              <w:bottom w:val="single" w:sz="8" w:color="E2E2E2"/>
            </w:tcBorders>
            <w:shd w:val="clear" w:color="auto" w:fill="E2E2E2"/>
          </w:tcPr>
          <w:p>
            <w:pPr>
              <w:spacing w:after="0"/>
              <w:rPr>
                <w:sz w:val="21"/>
                <w:szCs w:val="21"/>
                <w:color w:val="auto"/>
              </w:rPr>
            </w:pPr>
          </w:p>
        </w:tc>
        <w:tc>
          <w:tcPr>
            <w:tcW w:w="180" w:type="dxa"/>
            <w:vAlign w:val="bottom"/>
            <w:tcBorders>
              <w:bottom w:val="single" w:sz="8" w:color="auto"/>
            </w:tcBorders>
            <w:shd w:val="clear" w:color="auto" w:fill="E2E2E2"/>
          </w:tcPr>
          <w:p>
            <w:pPr>
              <w:spacing w:after="0"/>
              <w:rPr>
                <w:sz w:val="21"/>
                <w:szCs w:val="21"/>
                <w:color w:val="auto"/>
              </w:rPr>
            </w:pPr>
          </w:p>
        </w:tc>
        <w:tc>
          <w:tcPr>
            <w:tcW w:w="1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(1,448)</w:t>
            </w:r>
          </w:p>
        </w:tc>
        <w:tc>
          <w:tcPr>
            <w:tcW w:w="20" w:type="dxa"/>
            <w:vAlign w:val="bottom"/>
            <w:tcBorders>
              <w:bottom w:val="single" w:sz="8" w:color="auto"/>
            </w:tcBorders>
            <w:shd w:val="clear" w:color="auto" w:fill="E2E2E2"/>
          </w:tcPr>
          <w:p>
            <w:pPr>
              <w:spacing w:after="0"/>
              <w:rPr>
                <w:sz w:val="21"/>
                <w:szCs w:val="21"/>
                <w:color w:val="auto"/>
              </w:rPr>
            </w:pPr>
          </w:p>
        </w:tc>
        <w:tc>
          <w:tcPr>
            <w:tcW w:w="14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E2E2E2"/>
            </w:tcBorders>
            <w:shd w:val="clear" w:color="auto" w:fill="E2E2E2"/>
          </w:tcPr>
          <w:p>
            <w:pPr>
              <w:spacing w:after="0"/>
              <w:rPr>
                <w:sz w:val="21"/>
                <w:szCs w:val="21"/>
                <w:color w:val="auto"/>
              </w:rPr>
            </w:pPr>
          </w:p>
        </w:tc>
        <w:tc>
          <w:tcPr>
            <w:tcW w:w="180" w:type="dxa"/>
            <w:vAlign w:val="bottom"/>
            <w:tcBorders>
              <w:bottom w:val="single" w:sz="8" w:color="auto"/>
            </w:tcBorders>
            <w:shd w:val="clear" w:color="auto" w:fill="E2E2E2"/>
          </w:tcPr>
          <w:p>
            <w:pPr>
              <w:spacing w:after="0"/>
              <w:rPr>
                <w:sz w:val="21"/>
                <w:szCs w:val="21"/>
                <w:color w:val="auto"/>
              </w:rPr>
            </w:pP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(798)</w:t>
            </w:r>
          </w:p>
        </w:tc>
        <w:tc>
          <w:tcPr>
            <w:tcW w:w="16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auto"/>
            </w:tcBorders>
            <w:shd w:val="clear" w:color="auto" w:fill="E2E2E2"/>
          </w:tcPr>
          <w:p>
            <w:pPr>
              <w:spacing w:after="0"/>
              <w:rPr>
                <w:sz w:val="21"/>
                <w:szCs w:val="21"/>
                <w:color w:val="auto"/>
              </w:rPr>
            </w:pPr>
          </w:p>
        </w:tc>
        <w:tc>
          <w:tcPr>
            <w:tcW w:w="180" w:type="dxa"/>
            <w:vAlign w:val="bottom"/>
            <w:tcBorders>
              <w:bottom w:val="single" w:sz="8" w:color="auto"/>
            </w:tcBorders>
            <w:shd w:val="clear" w:color="auto" w:fill="E2E2E2"/>
          </w:tcPr>
          <w:p>
            <w:pPr>
              <w:spacing w:after="0"/>
              <w:rPr>
                <w:sz w:val="21"/>
                <w:szCs w:val="21"/>
                <w:color w:val="auto"/>
              </w:rPr>
            </w:pPr>
          </w:p>
        </w:tc>
        <w:tc>
          <w:tcPr>
            <w:tcW w:w="1180" w:type="dxa"/>
            <w:vAlign w:val="bottom"/>
            <w:tcBorders>
              <w:bottom w:val="single" w:sz="8" w:color="auto"/>
              <w:right w:val="single" w:sz="8" w:color="E2E2E2"/>
            </w:tcBorders>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(29,203)</w:t>
            </w:r>
          </w:p>
        </w:tc>
        <w:tc>
          <w:tcPr>
            <w:tcW w:w="20" w:type="dxa"/>
            <w:vAlign w:val="bottom"/>
          </w:tcPr>
          <w:p>
            <w:pPr>
              <w:spacing w:after="0"/>
              <w:rPr>
                <w:sz w:val="21"/>
                <w:szCs w:val="21"/>
                <w:color w:val="auto"/>
              </w:rPr>
            </w:pPr>
          </w:p>
        </w:tc>
      </w:tr>
      <w:tr>
        <w:trPr>
          <w:trHeight w:val="205"/>
        </w:trPr>
        <w:tc>
          <w:tcPr>
            <w:tcW w:w="6280" w:type="dxa"/>
            <w:vAlign w:val="bottom"/>
            <w:tcBorders>
              <w:bottom w:val="single" w:sz="8" w:color="E2E2E2"/>
            </w:tcBorders>
          </w:tcPr>
          <w:p>
            <w:pPr>
              <w:ind w:left="400"/>
              <w:spacing w:after="0" w:line="205" w:lineRule="exact"/>
              <w:rPr>
                <w:sz w:val="20"/>
                <w:szCs w:val="20"/>
                <w:color w:val="auto"/>
              </w:rPr>
            </w:pPr>
            <w:r>
              <w:rPr>
                <w:rFonts w:ascii="Times New Roman" w:cs="Times New Roman" w:eastAsia="Times New Roman" w:hAnsi="Times New Roman"/>
                <w:sz w:val="20"/>
                <w:szCs w:val="20"/>
                <w:color w:val="auto"/>
              </w:rPr>
              <w:t>Total deferred</w:t>
            </w:r>
          </w:p>
        </w:tc>
        <w:tc>
          <w:tcPr>
            <w:tcW w:w="2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(11,994)</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(16,301)</w:t>
            </w:r>
          </w:p>
        </w:tc>
        <w:tc>
          <w:tcPr>
            <w:tcW w:w="160" w:type="dxa"/>
            <w:vAlign w:val="bottom"/>
            <w:tcBorders>
              <w:bottom w:val="single" w:sz="8" w:color="E2E2E2"/>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20"/>
              <w:spacing w:after="0" w:line="205" w:lineRule="exact"/>
              <w:rPr>
                <w:sz w:val="20"/>
                <w:szCs w:val="20"/>
                <w:color w:val="auto"/>
              </w:rPr>
            </w:pPr>
            <w:r>
              <w:rPr>
                <w:rFonts w:ascii="Times New Roman" w:cs="Times New Roman" w:eastAsia="Times New Roman" w:hAnsi="Times New Roman"/>
                <w:sz w:val="20"/>
                <w:szCs w:val="20"/>
                <w:color w:val="auto"/>
              </w:rPr>
              <w:t>(18,613)</w:t>
            </w:r>
          </w:p>
        </w:tc>
        <w:tc>
          <w:tcPr>
            <w:tcW w:w="20" w:type="dxa"/>
            <w:vAlign w:val="bottom"/>
          </w:tcPr>
          <w:p>
            <w:pPr>
              <w:spacing w:after="0"/>
              <w:rPr>
                <w:sz w:val="17"/>
                <w:szCs w:val="17"/>
                <w:color w:val="auto"/>
              </w:rPr>
            </w:pPr>
          </w:p>
        </w:tc>
      </w:tr>
      <w:tr>
        <w:trPr>
          <w:trHeight w:val="245"/>
        </w:trPr>
        <w:tc>
          <w:tcPr>
            <w:tcW w:w="6280" w:type="dxa"/>
            <w:vAlign w:val="bottom"/>
            <w:tcBorders>
              <w:bottom w:val="single" w:sz="8" w:color="E2E2E2"/>
            </w:tcBorders>
            <w:shd w:val="clear" w:color="auto" w:fill="E2E2E2"/>
          </w:tcPr>
          <w:p>
            <w:pPr>
              <w:ind w:left="600"/>
              <w:spacing w:after="0" w:line="225" w:lineRule="exact"/>
              <w:rPr>
                <w:sz w:val="20"/>
                <w:szCs w:val="20"/>
                <w:color w:val="auto"/>
              </w:rPr>
            </w:pPr>
            <w:r>
              <w:rPr>
                <w:rFonts w:ascii="Times New Roman" w:cs="Times New Roman" w:eastAsia="Times New Roman" w:hAnsi="Times New Roman"/>
                <w:sz w:val="20"/>
                <w:szCs w:val="20"/>
                <w:b w:val="1"/>
                <w:bCs w:val="1"/>
                <w:color w:val="auto"/>
              </w:rPr>
              <w:t>Total income tax (benefit) provision</w:t>
            </w:r>
          </w:p>
        </w:tc>
        <w:tc>
          <w:tcPr>
            <w:tcW w:w="20" w:type="dxa"/>
            <w:vAlign w:val="bottom"/>
            <w:tcBorders>
              <w:bottom w:val="single" w:sz="8" w:color="E2E2E2"/>
            </w:tcBorders>
            <w:shd w:val="clear" w:color="auto" w:fill="E2E2E2"/>
          </w:tcPr>
          <w:p>
            <w:pPr>
              <w:spacing w:after="0"/>
              <w:rPr>
                <w:sz w:val="21"/>
                <w:szCs w:val="21"/>
                <w:color w:val="auto"/>
              </w:rPr>
            </w:pPr>
          </w:p>
        </w:tc>
        <w:tc>
          <w:tcPr>
            <w:tcW w:w="18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(248)</w:t>
            </w:r>
          </w:p>
        </w:tc>
        <w:tc>
          <w:tcPr>
            <w:tcW w:w="20" w:type="dxa"/>
            <w:vAlign w:val="bottom"/>
            <w:tcBorders>
              <w:bottom w:val="single" w:sz="8" w:color="auto"/>
            </w:tcBorders>
            <w:shd w:val="clear" w:color="auto" w:fill="E2E2E2"/>
          </w:tcPr>
          <w:p>
            <w:pPr>
              <w:spacing w:after="0"/>
              <w:rPr>
                <w:sz w:val="21"/>
                <w:szCs w:val="21"/>
                <w:color w:val="auto"/>
              </w:rPr>
            </w:pPr>
          </w:p>
        </w:tc>
        <w:tc>
          <w:tcPr>
            <w:tcW w:w="160" w:type="dxa"/>
            <w:vAlign w:val="bottom"/>
            <w:tcBorders>
              <w:bottom w:val="single" w:sz="8" w:color="E2E2E2"/>
            </w:tcBorders>
            <w:gridSpan w:val="2"/>
            <w:shd w:val="clear" w:color="auto" w:fill="E2E2E2"/>
          </w:tcPr>
          <w:p>
            <w:pPr>
              <w:spacing w:after="0"/>
              <w:rPr>
                <w:sz w:val="21"/>
                <w:szCs w:val="21"/>
                <w:color w:val="auto"/>
              </w:rPr>
            </w:pPr>
          </w:p>
        </w:tc>
        <w:tc>
          <w:tcPr>
            <w:tcW w:w="18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(12,933)</w:t>
            </w:r>
          </w:p>
        </w:tc>
        <w:tc>
          <w:tcPr>
            <w:tcW w:w="160" w:type="dxa"/>
            <w:vAlign w:val="bottom"/>
            <w:tcBorders>
              <w:bottom w:val="single" w:sz="8" w:color="E2E2E2"/>
            </w:tcBorders>
            <w:shd w:val="clear" w:color="auto" w:fill="E2E2E2"/>
          </w:tcPr>
          <w:p>
            <w:pPr>
              <w:spacing w:after="0"/>
              <w:rPr>
                <w:sz w:val="21"/>
                <w:szCs w:val="21"/>
                <w:color w:val="auto"/>
              </w:rPr>
            </w:pPr>
          </w:p>
        </w:tc>
        <w:tc>
          <w:tcPr>
            <w:tcW w:w="200" w:type="dxa"/>
            <w:vAlign w:val="bottom"/>
            <w:tcBorders>
              <w:bottom w:val="single" w:sz="8" w:color="auto"/>
            </w:tcBorders>
            <w:gridSpan w:val="2"/>
            <w:shd w:val="clear" w:color="auto" w:fill="E2E2E2"/>
          </w:tcPr>
          <w:p>
            <w:pPr>
              <w:jc w:val="right"/>
              <w:ind w:right="15"/>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41,909</w:t>
            </w:r>
          </w:p>
        </w:tc>
        <w:tc>
          <w:tcPr>
            <w:tcW w:w="80" w:type="dxa"/>
            <w:vAlign w:val="bottom"/>
            <w:tcBorders>
              <w:bottom w:val="single" w:sz="8" w:color="auto"/>
              <w:right w:val="single" w:sz="8" w:color="E2E2E2"/>
            </w:tcBorders>
            <w:shd w:val="clear" w:color="auto" w:fill="E2E2E2"/>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-3250565</wp:posOffset>
            </wp:positionV>
            <wp:extent cx="286702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9">
                      <a:extLst>
                        <a:ext uri="{28A0092B-C50C-407E-A947-70E740481C1C}"/>
                      </a:extLst>
                    </a:blip>
                    <a:srcRect/>
                    <a:stretch>
                      <a:fillRect/>
                    </a:stretch>
                  </pic:blipFill>
                  <pic:spPr bwMode="auto">
                    <a:xfrm>
                      <a:off x="0" y="0"/>
                      <a:ext cx="2867025" cy="3810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-1939290</wp:posOffset>
            </wp:positionV>
            <wp:extent cx="284734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0">
                      <a:extLst>
                        <a:ext uri="{28A0092B-C50C-407E-A947-70E740481C1C}"/>
                      </a:extLst>
                    </a:blip>
                    <a:srcRect/>
                    <a:stretch>
                      <a:fillRect/>
                    </a:stretch>
                  </pic:blipFill>
                  <pic:spPr bwMode="auto">
                    <a:xfrm>
                      <a:off x="0" y="0"/>
                      <a:ext cx="2847340" cy="38100"/>
                    </a:xfrm>
                    <a:prstGeom prst="rect">
                      <a:avLst/>
                    </a:prstGeom>
                    <a:noFill/>
                  </pic:spPr>
                </pic:pic>
              </a:graphicData>
            </a:graphic>
          </wp:anchor>
        </w:drawing>
      </w:r>
    </w:p>
    <w:p>
      <w:pPr>
        <w:spacing w:after="0" w:line="81"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As detailed in Note 2 “Summary of Significant Accounting Policies” the Company elected to prospectively adopt the guidance in ASU 2023-09. The following table is a reconciliation of the U.S. federal statutory income tax rate to the Company’s effective tax rate for the fiscal year ended March 27, 2026 in accordance with the guidance in ASU 2023-09:</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gridSpan w:val="3"/>
          </w:tcPr>
          <w:p>
            <w:pPr>
              <w:jc w:val="center"/>
              <w:ind w:left="3"/>
              <w:spacing w:after="0"/>
              <w:rPr>
                <w:sz w:val="20"/>
                <w:szCs w:val="20"/>
                <w:color w:val="auto"/>
              </w:rPr>
            </w:pPr>
            <w:r>
              <w:rPr>
                <w:rFonts w:ascii="Times New Roman" w:cs="Times New Roman" w:eastAsia="Times New Roman" w:hAnsi="Times New Roman"/>
                <w:sz w:val="16"/>
                <w:szCs w:val="16"/>
                <w:b w:val="1"/>
                <w:bCs w:val="1"/>
                <w:color w:val="auto"/>
                <w:w w:val="99"/>
              </w:rPr>
              <w:t>March 27,</w:t>
            </w:r>
          </w:p>
        </w:tc>
        <w:tc>
          <w:tcPr>
            <w:tcW w:w="1300" w:type="dxa"/>
            <w:vAlign w:val="bottom"/>
          </w:tcPr>
          <w:p>
            <w:pPr>
              <w:spacing w:after="0"/>
              <w:rPr>
                <w:sz w:val="16"/>
                <w:szCs w:val="16"/>
                <w:color w:val="auto"/>
              </w:rPr>
            </w:pPr>
          </w:p>
        </w:tc>
      </w:tr>
      <w:tr>
        <w:trPr>
          <w:trHeight w:val="203"/>
        </w:trPr>
        <w:tc>
          <w:tcPr>
            <w:tcW w:w="73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93"/>
        </w:trPr>
        <w:tc>
          <w:tcPr>
            <w:tcW w:w="7320" w:type="dxa"/>
            <w:vAlign w:val="bottom"/>
            <w:tcBorders>
              <w:bottom w:val="single" w:sz="8" w:color="E2E2E2"/>
            </w:tcBorders>
          </w:tcPr>
          <w:p>
            <w:pPr>
              <w:spacing w:after="0"/>
              <w:rPr>
                <w:sz w:val="16"/>
                <w:szCs w:val="16"/>
                <w:color w:val="auto"/>
              </w:rPr>
            </w:pPr>
          </w:p>
        </w:tc>
        <w:tc>
          <w:tcPr>
            <w:tcW w:w="9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E2E2E2"/>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9"/>
        </w:trPr>
        <w:tc>
          <w:tcPr>
            <w:tcW w:w="73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U.S. federal statutory tax rate</w:t>
            </w:r>
          </w:p>
        </w:tc>
        <w:tc>
          <w:tcPr>
            <w:tcW w:w="900" w:type="dxa"/>
            <w:vAlign w:val="bottom"/>
            <w:shd w:val="clear" w:color="auto" w:fill="E2E2E2"/>
          </w:tcPr>
          <w:p>
            <w:pPr>
              <w:jc w:val="right"/>
              <w:ind w:right="707"/>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(3,129)</w:t>
            </w:r>
          </w:p>
        </w:tc>
        <w:tc>
          <w:tcPr>
            <w:tcW w:w="160" w:type="dxa"/>
            <w:vAlign w:val="bottom"/>
            <w:shd w:val="clear" w:color="auto" w:fill="E2E2E2"/>
          </w:tcPr>
          <w:p>
            <w:pPr>
              <w:spacing w:after="0"/>
              <w:rPr>
                <w:sz w:val="20"/>
                <w:szCs w:val="20"/>
                <w:color w:val="auto"/>
              </w:rPr>
            </w:pPr>
          </w:p>
        </w:tc>
        <w:tc>
          <w:tcPr>
            <w:tcW w:w="380" w:type="dxa"/>
            <w:vAlign w:val="bottom"/>
            <w:shd w:val="clear" w:color="auto" w:fill="E2E2E2"/>
          </w:tcPr>
          <w:p>
            <w:pPr>
              <w:spacing w:after="0"/>
              <w:rPr>
                <w:sz w:val="20"/>
                <w:szCs w:val="20"/>
                <w:color w:val="auto"/>
              </w:rPr>
            </w:pPr>
          </w:p>
        </w:tc>
        <w:tc>
          <w:tcPr>
            <w:tcW w:w="1300" w:type="dxa"/>
            <w:vAlign w:val="bottom"/>
            <w:shd w:val="clear" w:color="auto" w:fill="E2E2E2"/>
          </w:tcPr>
          <w:p>
            <w:pPr>
              <w:jc w:val="right"/>
              <w:ind w:right="41"/>
              <w:spacing w:after="0"/>
              <w:rPr>
                <w:sz w:val="20"/>
                <w:szCs w:val="20"/>
                <w:color w:val="auto"/>
              </w:rPr>
            </w:pPr>
            <w:r>
              <w:rPr>
                <w:rFonts w:ascii="Times New Roman" w:cs="Times New Roman" w:eastAsia="Times New Roman" w:hAnsi="Times New Roman"/>
                <w:sz w:val="20"/>
                <w:szCs w:val="20"/>
                <w:color w:val="auto"/>
              </w:rPr>
              <w:t>21.0%</w:t>
            </w:r>
          </w:p>
        </w:tc>
      </w:tr>
      <w:tr>
        <w:trPr>
          <w:trHeight w:val="244"/>
        </w:trPr>
        <w:tc>
          <w:tcPr>
            <w:tcW w:w="7320" w:type="dxa"/>
            <w:vAlign w:val="bottom"/>
          </w:tcPr>
          <w:p>
            <w:pPr>
              <w:spacing w:after="0" w:line="243" w:lineRule="exact"/>
              <w:rPr>
                <w:sz w:val="20"/>
                <w:szCs w:val="20"/>
                <w:color w:val="auto"/>
              </w:rPr>
            </w:pPr>
            <w:r>
              <w:rPr>
                <w:rFonts w:ascii="Times New Roman" w:cs="Times New Roman" w:eastAsia="Times New Roman" w:hAnsi="Times New Roman"/>
                <w:sz w:val="20"/>
                <w:szCs w:val="20"/>
                <w:b w:val="1"/>
                <w:bCs w:val="1"/>
                <w:color w:val="auto"/>
              </w:rPr>
              <w:t>State and local income tax, net of federal income tax effect</w:t>
            </w:r>
            <w:r>
              <w:rPr>
                <w:rFonts w:ascii="Times New Roman" w:cs="Times New Roman" w:eastAsia="Times New Roman" w:hAnsi="Times New Roman"/>
                <w:sz w:val="26"/>
                <w:szCs w:val="26"/>
                <w:b w:val="1"/>
                <w:bCs w:val="1"/>
                <w:color w:val="auto"/>
                <w:vertAlign w:val="superscript"/>
              </w:rPr>
              <w:t>1</w:t>
            </w:r>
          </w:p>
        </w:tc>
        <w:tc>
          <w:tcPr>
            <w:tcW w:w="900" w:type="dxa"/>
            <w:vAlign w:val="bottom"/>
          </w:tcPr>
          <w:p>
            <w:pPr>
              <w:spacing w:after="0"/>
              <w:rPr>
                <w:sz w:val="21"/>
                <w:szCs w:val="21"/>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364</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44"/>
        </w:trPr>
        <w:tc>
          <w:tcPr>
            <w:tcW w:w="73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Foreign tax effects</w:t>
            </w:r>
          </w:p>
        </w:tc>
        <w:tc>
          <w:tcPr>
            <w:tcW w:w="900" w:type="dxa"/>
            <w:vAlign w:val="bottom"/>
            <w:shd w:val="clear" w:color="auto" w:fill="E2E2E2"/>
          </w:tcPr>
          <w:p>
            <w:pPr>
              <w:spacing w:after="0"/>
              <w:rPr>
                <w:sz w:val="21"/>
                <w:szCs w:val="21"/>
                <w:color w:val="auto"/>
              </w:rPr>
            </w:pPr>
          </w:p>
        </w:tc>
        <w:tc>
          <w:tcPr>
            <w:tcW w:w="740" w:type="dxa"/>
            <w:vAlign w:val="bottom"/>
            <w:shd w:val="clear" w:color="auto" w:fill="E2E2E2"/>
          </w:tcPr>
          <w:p>
            <w:pPr>
              <w:jc w:val="right"/>
              <w:ind w:right="23"/>
              <w:spacing w:after="0"/>
              <w:rPr>
                <w:sz w:val="20"/>
                <w:szCs w:val="20"/>
                <w:color w:val="auto"/>
              </w:rPr>
            </w:pPr>
            <w:r>
              <w:rPr>
                <w:rFonts w:ascii="Times New Roman" w:cs="Times New Roman" w:eastAsia="Times New Roman" w:hAnsi="Times New Roman"/>
                <w:sz w:val="20"/>
                <w:szCs w:val="20"/>
                <w:color w:val="auto"/>
              </w:rPr>
              <w:t>1,714</w:t>
            </w:r>
          </w:p>
        </w:tc>
        <w:tc>
          <w:tcPr>
            <w:tcW w:w="160" w:type="dxa"/>
            <w:vAlign w:val="bottom"/>
            <w:shd w:val="clear" w:color="auto" w:fill="E2E2E2"/>
          </w:tcPr>
          <w:p>
            <w:pPr>
              <w:spacing w:after="0"/>
              <w:rPr>
                <w:sz w:val="21"/>
                <w:szCs w:val="21"/>
                <w:color w:val="auto"/>
              </w:rPr>
            </w:pPr>
          </w:p>
        </w:tc>
        <w:tc>
          <w:tcPr>
            <w:tcW w:w="380" w:type="dxa"/>
            <w:vAlign w:val="bottom"/>
            <w:shd w:val="clear" w:color="auto" w:fill="E2E2E2"/>
          </w:tcPr>
          <w:p>
            <w:pPr>
              <w:spacing w:after="0"/>
              <w:rPr>
                <w:sz w:val="21"/>
                <w:szCs w:val="21"/>
                <w:color w:val="auto"/>
              </w:rPr>
            </w:pP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44"/>
        </w:trPr>
        <w:tc>
          <w:tcPr>
            <w:tcW w:w="7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Effect of cross-border tax laws:</w:t>
            </w: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4"/>
        </w:trPr>
        <w:tc>
          <w:tcPr>
            <w:tcW w:w="732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Foreign-derived intangible income benefit</w:t>
            </w:r>
          </w:p>
        </w:tc>
        <w:tc>
          <w:tcPr>
            <w:tcW w:w="900" w:type="dxa"/>
            <w:vAlign w:val="bottom"/>
            <w:shd w:val="clear" w:color="auto" w:fill="E2E2E2"/>
          </w:tcPr>
          <w:p>
            <w:pPr>
              <w:spacing w:after="0"/>
              <w:rPr>
                <w:sz w:val="21"/>
                <w:szCs w:val="21"/>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(3,903)</w:t>
            </w:r>
          </w:p>
        </w:tc>
        <w:tc>
          <w:tcPr>
            <w:tcW w:w="160" w:type="dxa"/>
            <w:vAlign w:val="bottom"/>
            <w:shd w:val="clear" w:color="auto" w:fill="E2E2E2"/>
          </w:tcPr>
          <w:p>
            <w:pPr>
              <w:spacing w:after="0"/>
              <w:rPr>
                <w:sz w:val="21"/>
                <w:szCs w:val="21"/>
                <w:color w:val="auto"/>
              </w:rPr>
            </w:pPr>
          </w:p>
        </w:tc>
        <w:tc>
          <w:tcPr>
            <w:tcW w:w="38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41"/>
              <w:spacing w:after="0"/>
              <w:rPr>
                <w:sz w:val="20"/>
                <w:szCs w:val="20"/>
                <w:color w:val="auto"/>
              </w:rPr>
            </w:pPr>
            <w:r>
              <w:rPr>
                <w:rFonts w:ascii="Times New Roman" w:cs="Times New Roman" w:eastAsia="Times New Roman" w:hAnsi="Times New Roman"/>
                <w:sz w:val="20"/>
                <w:szCs w:val="20"/>
                <w:color w:val="auto"/>
              </w:rPr>
              <w:t>26.2%</w:t>
            </w:r>
          </w:p>
        </w:tc>
      </w:tr>
      <w:tr>
        <w:trPr>
          <w:trHeight w:val="244"/>
        </w:trPr>
        <w:tc>
          <w:tcPr>
            <w:tcW w:w="7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Subpart F, GILTI and other inclusions, net of foreign tax credits</w:t>
            </w:r>
          </w:p>
        </w:tc>
        <w:tc>
          <w:tcPr>
            <w:tcW w:w="9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0.8%</w:t>
            </w:r>
          </w:p>
        </w:tc>
      </w:tr>
      <w:tr>
        <w:trPr>
          <w:trHeight w:val="244"/>
        </w:trPr>
        <w:tc>
          <w:tcPr>
            <w:tcW w:w="732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900" w:type="dxa"/>
            <w:vAlign w:val="bottom"/>
            <w:shd w:val="clear" w:color="auto" w:fill="E2E2E2"/>
          </w:tcPr>
          <w:p>
            <w:pPr>
              <w:spacing w:after="0"/>
              <w:rPr>
                <w:sz w:val="21"/>
                <w:szCs w:val="21"/>
                <w:color w:val="auto"/>
              </w:rPr>
            </w:pPr>
          </w:p>
        </w:tc>
        <w:tc>
          <w:tcPr>
            <w:tcW w:w="740" w:type="dxa"/>
            <w:vAlign w:val="bottom"/>
            <w:shd w:val="clear" w:color="auto" w:fill="E2E2E2"/>
          </w:tcPr>
          <w:p>
            <w:pPr>
              <w:jc w:val="right"/>
              <w:ind w:right="23"/>
              <w:spacing w:after="0"/>
              <w:rPr>
                <w:sz w:val="20"/>
                <w:szCs w:val="20"/>
                <w:color w:val="auto"/>
              </w:rPr>
            </w:pPr>
            <w:r>
              <w:rPr>
                <w:rFonts w:ascii="Times New Roman" w:cs="Times New Roman" w:eastAsia="Times New Roman" w:hAnsi="Times New Roman"/>
                <w:sz w:val="20"/>
                <w:szCs w:val="20"/>
                <w:color w:val="auto"/>
              </w:rPr>
              <w:t>867</w:t>
            </w:r>
          </w:p>
        </w:tc>
        <w:tc>
          <w:tcPr>
            <w:tcW w:w="160" w:type="dxa"/>
            <w:vAlign w:val="bottom"/>
            <w:shd w:val="clear" w:color="auto" w:fill="E2E2E2"/>
          </w:tcPr>
          <w:p>
            <w:pPr>
              <w:spacing w:after="0"/>
              <w:rPr>
                <w:sz w:val="21"/>
                <w:szCs w:val="21"/>
                <w:color w:val="auto"/>
              </w:rPr>
            </w:pPr>
          </w:p>
        </w:tc>
        <w:tc>
          <w:tcPr>
            <w:tcW w:w="380" w:type="dxa"/>
            <w:vAlign w:val="bottom"/>
            <w:shd w:val="clear" w:color="auto" w:fill="E2E2E2"/>
          </w:tcPr>
          <w:p>
            <w:pPr>
              <w:spacing w:after="0"/>
              <w:rPr>
                <w:sz w:val="21"/>
                <w:szCs w:val="21"/>
                <w:color w:val="auto"/>
              </w:rPr>
            </w:pP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44"/>
        </w:trPr>
        <w:tc>
          <w:tcPr>
            <w:tcW w:w="7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Tax credits</w:t>
            </w: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4"/>
        </w:trPr>
        <w:tc>
          <w:tcPr>
            <w:tcW w:w="732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R&amp;D credits</w:t>
            </w:r>
          </w:p>
        </w:tc>
        <w:tc>
          <w:tcPr>
            <w:tcW w:w="900" w:type="dxa"/>
            <w:vAlign w:val="bottom"/>
            <w:shd w:val="clear" w:color="auto" w:fill="E2E2E2"/>
          </w:tcPr>
          <w:p>
            <w:pPr>
              <w:spacing w:after="0"/>
              <w:rPr>
                <w:sz w:val="21"/>
                <w:szCs w:val="21"/>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(2,179)</w:t>
            </w:r>
          </w:p>
        </w:tc>
        <w:tc>
          <w:tcPr>
            <w:tcW w:w="160" w:type="dxa"/>
            <w:vAlign w:val="bottom"/>
            <w:shd w:val="clear" w:color="auto" w:fill="E2E2E2"/>
          </w:tcPr>
          <w:p>
            <w:pPr>
              <w:spacing w:after="0"/>
              <w:rPr>
                <w:sz w:val="21"/>
                <w:szCs w:val="21"/>
                <w:color w:val="auto"/>
              </w:rPr>
            </w:pPr>
          </w:p>
        </w:tc>
        <w:tc>
          <w:tcPr>
            <w:tcW w:w="38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41"/>
              <w:spacing w:after="0"/>
              <w:rPr>
                <w:sz w:val="20"/>
                <w:szCs w:val="20"/>
                <w:color w:val="auto"/>
              </w:rPr>
            </w:pPr>
            <w:r>
              <w:rPr>
                <w:rFonts w:ascii="Times New Roman" w:cs="Times New Roman" w:eastAsia="Times New Roman" w:hAnsi="Times New Roman"/>
                <w:sz w:val="20"/>
                <w:szCs w:val="20"/>
                <w:color w:val="auto"/>
              </w:rPr>
              <w:t>14.6%</w:t>
            </w:r>
          </w:p>
        </w:tc>
      </w:tr>
      <w:tr>
        <w:trPr>
          <w:trHeight w:val="244"/>
        </w:trPr>
        <w:tc>
          <w:tcPr>
            <w:tcW w:w="7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Changes in valuation allowances</w:t>
            </w:r>
          </w:p>
        </w:tc>
        <w:tc>
          <w:tcPr>
            <w:tcW w:w="900" w:type="dxa"/>
            <w:vAlign w:val="bottom"/>
          </w:tcPr>
          <w:p>
            <w:pPr>
              <w:spacing w:after="0"/>
              <w:rPr>
                <w:sz w:val="21"/>
                <w:szCs w:val="21"/>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1,339</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44"/>
        </w:trPr>
        <w:tc>
          <w:tcPr>
            <w:tcW w:w="73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Nontaxable or nondeductible items:</w:t>
            </w:r>
          </w:p>
        </w:tc>
        <w:tc>
          <w:tcPr>
            <w:tcW w:w="900" w:type="dxa"/>
            <w:vAlign w:val="bottom"/>
            <w:shd w:val="clear" w:color="auto" w:fill="E2E2E2"/>
          </w:tcPr>
          <w:p>
            <w:pPr>
              <w:spacing w:after="0"/>
              <w:rPr>
                <w:sz w:val="21"/>
                <w:szCs w:val="21"/>
                <w:color w:val="auto"/>
              </w:rPr>
            </w:pPr>
          </w:p>
        </w:tc>
        <w:tc>
          <w:tcPr>
            <w:tcW w:w="74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380" w:type="dxa"/>
            <w:vAlign w:val="bottom"/>
            <w:shd w:val="clear" w:color="auto" w:fill="E2E2E2"/>
          </w:tcPr>
          <w:p>
            <w:pPr>
              <w:spacing w:after="0"/>
              <w:rPr>
                <w:sz w:val="21"/>
                <w:szCs w:val="21"/>
                <w:color w:val="auto"/>
              </w:rPr>
            </w:pPr>
          </w:p>
        </w:tc>
        <w:tc>
          <w:tcPr>
            <w:tcW w:w="1300" w:type="dxa"/>
            <w:vAlign w:val="bottom"/>
            <w:shd w:val="clear" w:color="auto" w:fill="E2E2E2"/>
          </w:tcPr>
          <w:p>
            <w:pPr>
              <w:spacing w:after="0"/>
              <w:rPr>
                <w:sz w:val="21"/>
                <w:szCs w:val="21"/>
                <w:color w:val="auto"/>
              </w:rPr>
            </w:pPr>
          </w:p>
        </w:tc>
      </w:tr>
      <w:tr>
        <w:trPr>
          <w:trHeight w:val="244"/>
        </w:trPr>
        <w:tc>
          <w:tcPr>
            <w:tcW w:w="7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900" w:type="dxa"/>
            <w:vAlign w:val="bottom"/>
          </w:tcPr>
          <w:p>
            <w:pPr>
              <w:spacing w:after="0"/>
              <w:rPr>
                <w:sz w:val="21"/>
                <w:szCs w:val="21"/>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2,438</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r>
      <w:tr>
        <w:trPr>
          <w:trHeight w:val="244"/>
        </w:trPr>
        <w:tc>
          <w:tcPr>
            <w:tcW w:w="732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162(m) limitation</w:t>
            </w:r>
          </w:p>
        </w:tc>
        <w:tc>
          <w:tcPr>
            <w:tcW w:w="900" w:type="dxa"/>
            <w:vAlign w:val="bottom"/>
            <w:shd w:val="clear" w:color="auto" w:fill="E2E2E2"/>
          </w:tcPr>
          <w:p>
            <w:pPr>
              <w:spacing w:after="0"/>
              <w:rPr>
                <w:sz w:val="21"/>
                <w:szCs w:val="21"/>
                <w:color w:val="auto"/>
              </w:rPr>
            </w:pPr>
          </w:p>
        </w:tc>
        <w:tc>
          <w:tcPr>
            <w:tcW w:w="740" w:type="dxa"/>
            <w:vAlign w:val="bottom"/>
            <w:shd w:val="clear" w:color="auto" w:fill="E2E2E2"/>
          </w:tcPr>
          <w:p>
            <w:pPr>
              <w:jc w:val="right"/>
              <w:ind w:right="23"/>
              <w:spacing w:after="0"/>
              <w:rPr>
                <w:sz w:val="20"/>
                <w:szCs w:val="20"/>
                <w:color w:val="auto"/>
              </w:rPr>
            </w:pPr>
            <w:r>
              <w:rPr>
                <w:rFonts w:ascii="Times New Roman" w:cs="Times New Roman" w:eastAsia="Times New Roman" w:hAnsi="Times New Roman"/>
                <w:sz w:val="20"/>
                <w:szCs w:val="20"/>
                <w:color w:val="auto"/>
              </w:rPr>
              <w:t>2,626</w:t>
            </w:r>
          </w:p>
        </w:tc>
        <w:tc>
          <w:tcPr>
            <w:tcW w:w="160" w:type="dxa"/>
            <w:vAlign w:val="bottom"/>
            <w:shd w:val="clear" w:color="auto" w:fill="E2E2E2"/>
          </w:tcPr>
          <w:p>
            <w:pPr>
              <w:spacing w:after="0"/>
              <w:rPr>
                <w:sz w:val="21"/>
                <w:szCs w:val="21"/>
                <w:color w:val="auto"/>
              </w:rPr>
            </w:pPr>
          </w:p>
        </w:tc>
        <w:tc>
          <w:tcPr>
            <w:tcW w:w="380" w:type="dxa"/>
            <w:vAlign w:val="bottom"/>
            <w:shd w:val="clear" w:color="auto" w:fill="E2E2E2"/>
          </w:tcPr>
          <w:p>
            <w:pPr>
              <w:spacing w:after="0"/>
              <w:rPr>
                <w:sz w:val="21"/>
                <w:szCs w:val="21"/>
                <w:color w:val="auto"/>
              </w:rPr>
            </w:pP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(17.6)%</w:t>
            </w:r>
          </w:p>
        </w:tc>
      </w:tr>
      <w:tr>
        <w:trPr>
          <w:trHeight w:val="244"/>
        </w:trPr>
        <w:tc>
          <w:tcPr>
            <w:tcW w:w="7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900" w:type="dxa"/>
            <w:vAlign w:val="bottom"/>
          </w:tcPr>
          <w:p>
            <w:pPr>
              <w:spacing w:after="0"/>
              <w:rPr>
                <w:sz w:val="21"/>
                <w:szCs w:val="21"/>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173</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64"/>
        </w:trPr>
        <w:tc>
          <w:tcPr>
            <w:tcW w:w="732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Changes in unrecognized tax benefits</w:t>
            </w:r>
          </w:p>
        </w:tc>
        <w:tc>
          <w:tcPr>
            <w:tcW w:w="900" w:type="dxa"/>
            <w:vAlign w:val="bottom"/>
            <w:tcBorders>
              <w:bottom w:val="single" w:sz="8" w:color="auto"/>
            </w:tcBorders>
            <w:shd w:val="clear" w:color="auto" w:fill="E2E2E2"/>
          </w:tcPr>
          <w:p>
            <w:pPr>
              <w:spacing w:after="0"/>
              <w:rPr>
                <w:sz w:val="22"/>
                <w:szCs w:val="22"/>
                <w:color w:val="auto"/>
              </w:rPr>
            </w:pPr>
          </w:p>
        </w:tc>
        <w:tc>
          <w:tcPr>
            <w:tcW w:w="7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160" w:type="dxa"/>
            <w:vAlign w:val="bottom"/>
            <w:tcBorders>
              <w:bottom w:val="single" w:sz="8" w:color="E2E2E2"/>
            </w:tcBorders>
            <w:shd w:val="clear" w:color="auto" w:fill="E2E2E2"/>
          </w:tcPr>
          <w:p>
            <w:pPr>
              <w:spacing w:after="0"/>
              <w:rPr>
                <w:sz w:val="22"/>
                <w:szCs w:val="22"/>
                <w:color w:val="auto"/>
              </w:rPr>
            </w:pPr>
          </w:p>
        </w:tc>
        <w:tc>
          <w:tcPr>
            <w:tcW w:w="380" w:type="dxa"/>
            <w:vAlign w:val="bottom"/>
            <w:tcBorders>
              <w:bottom w:val="single" w:sz="8" w:color="auto"/>
            </w:tcBorders>
            <w:shd w:val="clear" w:color="auto" w:fill="E2E2E2"/>
          </w:tcPr>
          <w:p>
            <w:pPr>
              <w:spacing w:after="0"/>
              <w:rPr>
                <w:sz w:val="22"/>
                <w:szCs w:val="22"/>
                <w:color w:val="auto"/>
              </w:rPr>
            </w:pPr>
          </w:p>
        </w:tc>
        <w:tc>
          <w:tcPr>
            <w:tcW w:w="1300" w:type="dxa"/>
            <w:vAlign w:val="bottom"/>
            <w:tcBorders>
              <w:bottom w:val="single" w:sz="8" w:color="auto"/>
            </w:tcBorders>
            <w:shd w:val="clear" w:color="auto" w:fill="E2E2E2"/>
          </w:tcPr>
          <w:p>
            <w:pPr>
              <w:jc w:val="right"/>
              <w:ind w:right="41"/>
              <w:spacing w:after="0"/>
              <w:rPr>
                <w:sz w:val="20"/>
                <w:szCs w:val="20"/>
                <w:color w:val="auto"/>
              </w:rPr>
            </w:pPr>
            <w:r>
              <w:rPr>
                <w:rFonts w:ascii="Times New Roman" w:cs="Times New Roman" w:eastAsia="Times New Roman" w:hAnsi="Times New Roman"/>
                <w:sz w:val="20"/>
                <w:szCs w:val="20"/>
                <w:color w:val="auto"/>
              </w:rPr>
              <w:t>2.9%</w:t>
            </w:r>
          </w:p>
        </w:tc>
      </w:tr>
      <w:tr>
        <w:trPr>
          <w:trHeight w:val="241"/>
        </w:trPr>
        <w:tc>
          <w:tcPr>
            <w:tcW w:w="732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Effective tax rate</w:t>
            </w:r>
          </w:p>
        </w:tc>
        <w:tc>
          <w:tcPr>
            <w:tcW w:w="900" w:type="dxa"/>
            <w:vAlign w:val="bottom"/>
          </w:tcPr>
          <w:p>
            <w:pPr>
              <w:jc w:val="right"/>
              <w:ind w:right="707"/>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4646930</wp:posOffset>
                </wp:positionH>
                <wp:positionV relativeFrom="paragraph">
                  <wp:posOffset>-8890</wp:posOffset>
                </wp:positionV>
                <wp:extent cx="103822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8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9pt,-0.6999pt" to="447.65pt,-0.6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5795010</wp:posOffset>
                </wp:positionH>
                <wp:positionV relativeFrom="paragraph">
                  <wp:posOffset>-8890</wp:posOffset>
                </wp:positionV>
                <wp:extent cx="106299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29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3pt,-0.6999pt" to="540pt,-0.6999pt" o:allowincell="f" strokecolor="#000000" strokeweight="0.75pt"/>
            </w:pict>
          </mc:Fallback>
        </mc:AlternateContent>
      </w:r>
    </w:p>
    <w:p>
      <w:pPr>
        <w:ind w:left="360" w:hanging="360"/>
        <w:spacing w:after="0" w:line="212" w:lineRule="auto"/>
        <w:tabs>
          <w:tab w:leader="none" w:pos="36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During the fiscal year ended March 27, 2026, New Hampshire state taxes made up the majority of this category.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4646930</wp:posOffset>
                </wp:positionH>
                <wp:positionV relativeFrom="paragraph">
                  <wp:posOffset>-144780</wp:posOffset>
                </wp:positionV>
                <wp:extent cx="103822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8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9pt,-11.3999pt" to="447.65pt,-11.3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5795010</wp:posOffset>
                </wp:positionH>
                <wp:positionV relativeFrom="paragraph">
                  <wp:posOffset>-144780</wp:posOffset>
                </wp:positionV>
                <wp:extent cx="106299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29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3pt,-11.3999pt" to="540pt,-11.3999pt" o:allowincell="f" strokecolor="#000000" strokeweight="0.75pt"/>
            </w:pict>
          </mc:Fallback>
        </mc:AlternateConten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F-38</w:t>
      </w:r>
    </w:p>
    <w:p>
      <w:pPr>
        <w:sectPr>
          <w:pgSz w:w="12240" w:h="15840" w:orient="portrait"/>
          <w:cols w:equalWidth="0" w:num="1">
            <w:col w:w="10800"/>
          </w:cols>
          <w:pgMar w:left="720" w:top="696" w:right="720" w:bottom="187" w:gutter="0" w:footer="0" w:header="0"/>
          <w:type w:val="continuous"/>
        </w:sectPr>
      </w:pPr>
    </w:p>
    <w:bookmarkStart w:id="103" w:name="page104"/>
    <w:bookmarkEnd w:id="10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8"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following table shows the difference between the income tax (benefit) provision at the statutory federal tax rate and the (benefit) provision for income taxes for the fiscal years ended March 28, 2025 and March 29, 2024, using the methodology in place prior to the adoption of ASU 2023-09:</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1042"/>
              <w:spacing w:after="0"/>
              <w:rPr>
                <w:sz w:val="20"/>
                <w:szCs w:val="20"/>
                <w:color w:val="auto"/>
              </w:rPr>
            </w:pPr>
            <w:r>
              <w:rPr>
                <w:rFonts w:ascii="Times New Roman" w:cs="Times New Roman" w:eastAsia="Times New Roman" w:hAnsi="Times New Roman"/>
                <w:sz w:val="16"/>
                <w:szCs w:val="16"/>
                <w:b w:val="1"/>
                <w:bCs w:val="1"/>
                <w:color w:val="auto"/>
              </w:rPr>
              <w:t>Fiscal Year Ended</w:t>
            </w:r>
          </w:p>
        </w:tc>
      </w:tr>
      <w:tr>
        <w:trPr>
          <w:trHeight w:val="174"/>
        </w:trPr>
        <w:tc>
          <w:tcPr>
            <w:tcW w:w="7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423"/>
              <w:spacing w:after="0" w:line="174"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402"/>
              <w:spacing w:after="0" w:line="174" w:lineRule="exact"/>
              <w:rPr>
                <w:sz w:val="20"/>
                <w:szCs w:val="20"/>
                <w:color w:val="auto"/>
              </w:rPr>
            </w:pPr>
            <w:r>
              <w:rPr>
                <w:rFonts w:ascii="Times New Roman" w:cs="Times New Roman" w:eastAsia="Times New Roman" w:hAnsi="Times New Roman"/>
                <w:sz w:val="16"/>
                <w:szCs w:val="16"/>
                <w:b w:val="1"/>
                <w:bCs w:val="1"/>
                <w:color w:val="auto"/>
              </w:rPr>
              <w:t>March 29,</w:t>
            </w:r>
          </w:p>
        </w:tc>
      </w:tr>
      <w:tr>
        <w:trPr>
          <w:trHeight w:val="203"/>
        </w:trPr>
        <w:tc>
          <w:tcPr>
            <w:tcW w:w="736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9"/>
        </w:trPr>
        <w:tc>
          <w:tcPr>
            <w:tcW w:w="73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Income tax (benefit) provision at U.S. statutory rate</w:t>
            </w:r>
          </w:p>
        </w:tc>
        <w:tc>
          <w:tcPr>
            <w:tcW w:w="20" w:type="dxa"/>
            <w:vAlign w:val="bottom"/>
            <w:shd w:val="clear" w:color="auto" w:fill="E2E2E2"/>
          </w:tcPr>
          <w:p>
            <w:pPr>
              <w:spacing w:after="0"/>
              <w:rPr>
                <w:sz w:val="20"/>
                <w:szCs w:val="20"/>
                <w:color w:val="auto"/>
              </w:rPr>
            </w:pPr>
          </w:p>
        </w:tc>
        <w:tc>
          <w:tcPr>
            <w:tcW w:w="240" w:type="dxa"/>
            <w:vAlign w:val="bottom"/>
            <w:shd w:val="clear" w:color="auto" w:fill="E2E2E2"/>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(17,996)</w:t>
            </w:r>
          </w:p>
        </w:tc>
        <w:tc>
          <w:tcPr>
            <w:tcW w:w="180" w:type="dxa"/>
            <w:vAlign w:val="bottom"/>
            <w:shd w:val="clear" w:color="auto" w:fill="E2E2E2"/>
          </w:tcPr>
          <w:p>
            <w:pPr>
              <w:spacing w:after="0"/>
              <w:rPr>
                <w:sz w:val="20"/>
                <w:szCs w:val="20"/>
                <w:color w:val="auto"/>
              </w:rPr>
            </w:pPr>
          </w:p>
        </w:tc>
        <w:tc>
          <w:tcPr>
            <w:tcW w:w="26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40,907</w:t>
            </w:r>
          </w:p>
        </w:tc>
      </w:tr>
      <w:tr>
        <w:trPr>
          <w:trHeight w:val="244"/>
        </w:trPr>
        <w:tc>
          <w:tcPr>
            <w:tcW w:w="7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 income taxes, net of federal benefit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266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1,106</w:t>
            </w:r>
          </w:p>
        </w:tc>
      </w:tr>
      <w:tr>
        <w:trPr>
          <w:trHeight w:val="244"/>
        </w:trPr>
        <w:tc>
          <w:tcPr>
            <w:tcW w:w="73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Foreign derived intangible income</w:t>
            </w:r>
          </w:p>
        </w:tc>
        <w:tc>
          <w:tcPr>
            <w:tcW w:w="2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(2,037)</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(25,612)</w:t>
            </w:r>
          </w:p>
        </w:tc>
      </w:tr>
      <w:tr>
        <w:trPr>
          <w:trHeight w:val="244"/>
        </w:trPr>
        <w:tc>
          <w:tcPr>
            <w:tcW w:w="7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 tax credit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(6,188)</w:t>
            </w:r>
          </w:p>
        </w:tc>
      </w:tr>
      <w:tr>
        <w:trPr>
          <w:trHeight w:val="244"/>
        </w:trPr>
        <w:tc>
          <w:tcPr>
            <w:tcW w:w="73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2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3"/>
              <w:spacing w:after="0"/>
              <w:rPr>
                <w:sz w:val="20"/>
                <w:szCs w:val="20"/>
                <w:color w:val="auto"/>
              </w:rPr>
            </w:pPr>
            <w:r>
              <w:rPr>
                <w:rFonts w:ascii="Times New Roman" w:cs="Times New Roman" w:eastAsia="Times New Roman" w:hAnsi="Times New Roman"/>
                <w:sz w:val="20"/>
                <w:szCs w:val="20"/>
                <w:color w:val="auto"/>
              </w:rPr>
              <w:t>2,094</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(956)</w:t>
            </w:r>
          </w:p>
        </w:tc>
      </w:tr>
      <w:tr>
        <w:trPr>
          <w:trHeight w:val="244"/>
        </w:trPr>
        <w:tc>
          <w:tcPr>
            <w:tcW w:w="7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Cumulative provision-to-return</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(1,147)</w:t>
            </w:r>
          </w:p>
        </w:tc>
      </w:tr>
      <w:tr>
        <w:trPr>
          <w:trHeight w:val="244"/>
        </w:trPr>
        <w:tc>
          <w:tcPr>
            <w:tcW w:w="73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Subpart F and GILTI, net of credits</w:t>
            </w:r>
          </w:p>
        </w:tc>
        <w:tc>
          <w:tcPr>
            <w:tcW w:w="2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3"/>
              <w:spacing w:after="0"/>
              <w:rPr>
                <w:sz w:val="20"/>
                <w:szCs w:val="20"/>
                <w:color w:val="auto"/>
              </w:rPr>
            </w:pPr>
            <w:r>
              <w:rPr>
                <w:rFonts w:ascii="Times New Roman" w:cs="Times New Roman" w:eastAsia="Times New Roman" w:hAnsi="Times New Roman"/>
                <w:sz w:val="20"/>
                <w:szCs w:val="20"/>
                <w:color w:val="auto"/>
              </w:rPr>
              <w:t>640</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(168)</w:t>
            </w:r>
          </w:p>
        </w:tc>
      </w:tr>
      <w:tr>
        <w:trPr>
          <w:trHeight w:val="244"/>
        </w:trPr>
        <w:tc>
          <w:tcPr>
            <w:tcW w:w="7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Provision for uncertain tax positions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827</w:t>
            </w:r>
          </w:p>
        </w:tc>
      </w:tr>
      <w:tr>
        <w:trPr>
          <w:trHeight w:val="244"/>
        </w:trPr>
        <w:tc>
          <w:tcPr>
            <w:tcW w:w="73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162(m) limitation</w:t>
            </w:r>
          </w:p>
        </w:tc>
        <w:tc>
          <w:tcPr>
            <w:tcW w:w="2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3"/>
              <w:spacing w:after="0"/>
              <w:rPr>
                <w:sz w:val="20"/>
                <w:szCs w:val="20"/>
                <w:color w:val="auto"/>
              </w:rPr>
            </w:pPr>
            <w:r>
              <w:rPr>
                <w:rFonts w:ascii="Times New Roman" w:cs="Times New Roman" w:eastAsia="Times New Roman" w:hAnsi="Times New Roman"/>
                <w:sz w:val="20"/>
                <w:szCs w:val="20"/>
                <w:color w:val="auto"/>
              </w:rPr>
              <w:t>3,542</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3,010</w:t>
            </w:r>
          </w:p>
        </w:tc>
      </w:tr>
      <w:tr>
        <w:trPr>
          <w:trHeight w:val="244"/>
        </w:trPr>
        <w:tc>
          <w:tcPr>
            <w:tcW w:w="7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 tax rate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2,632</w:t>
            </w:r>
          </w:p>
        </w:tc>
      </w:tr>
      <w:tr>
        <w:trPr>
          <w:trHeight w:val="244"/>
        </w:trPr>
        <w:tc>
          <w:tcPr>
            <w:tcW w:w="73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Transaction costs</w:t>
            </w:r>
          </w:p>
        </w:tc>
        <w:tc>
          <w:tcPr>
            <w:tcW w:w="2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3"/>
              <w:spacing w:after="0"/>
              <w:rPr>
                <w:sz w:val="20"/>
                <w:szCs w:val="20"/>
                <w:color w:val="auto"/>
              </w:rPr>
            </w:pPr>
            <w:r>
              <w:rPr>
                <w:rFonts w:ascii="Times New Roman" w:cs="Times New Roman" w:eastAsia="Times New Roman" w:hAnsi="Times New Roman"/>
                <w:sz w:val="20"/>
                <w:szCs w:val="20"/>
                <w:color w:val="auto"/>
              </w:rPr>
              <w:t>91</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1,848</w:t>
            </w:r>
          </w:p>
        </w:tc>
      </w:tr>
      <w:tr>
        <w:trPr>
          <w:trHeight w:val="244"/>
        </w:trPr>
        <w:tc>
          <w:tcPr>
            <w:tcW w:w="7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BEAT alternative minimum tax</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1,454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73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Entity restructuring</w:t>
            </w:r>
          </w:p>
        </w:tc>
        <w:tc>
          <w:tcPr>
            <w:tcW w:w="2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(1,188)</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25,921</w:t>
            </w:r>
          </w:p>
        </w:tc>
      </w:tr>
      <w:tr>
        <w:trPr>
          <w:trHeight w:val="244"/>
        </w:trPr>
        <w:tc>
          <w:tcPr>
            <w:tcW w:w="7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Nondeductible - loss on forward repurchase contract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7,298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736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Refund interest and other</w:t>
            </w:r>
          </w:p>
        </w:tc>
        <w:tc>
          <w:tcPr>
            <w:tcW w:w="20" w:type="dxa"/>
            <w:vAlign w:val="bottom"/>
            <w:tcBorders>
              <w:bottom w:val="single" w:sz="8" w:color="E2E2E2"/>
            </w:tcBorders>
            <w:shd w:val="clear" w:color="auto" w:fill="E2E2E2"/>
          </w:tcPr>
          <w:p>
            <w:pPr>
              <w:spacing w:after="0"/>
              <w:rPr>
                <w:sz w:val="22"/>
                <w:szCs w:val="22"/>
                <w:color w:val="auto"/>
              </w:rPr>
            </w:pPr>
          </w:p>
        </w:tc>
        <w:tc>
          <w:tcPr>
            <w:tcW w:w="240" w:type="dxa"/>
            <w:vAlign w:val="bottom"/>
            <w:tcBorders>
              <w:bottom w:val="single" w:sz="8" w:color="auto"/>
            </w:tcBorders>
            <w:shd w:val="clear" w:color="auto" w:fill="E2E2E2"/>
          </w:tcPr>
          <w:p>
            <w:pPr>
              <w:spacing w:after="0"/>
              <w:rPr>
                <w:sz w:val="22"/>
                <w:szCs w:val="22"/>
                <w:color w:val="auto"/>
              </w:rPr>
            </w:pPr>
          </w:p>
        </w:tc>
        <w:tc>
          <w:tcPr>
            <w:tcW w:w="13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(597)</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(271)</w:t>
            </w:r>
          </w:p>
        </w:tc>
      </w:tr>
      <w:tr>
        <w:trPr>
          <w:trHeight w:val="219"/>
        </w:trPr>
        <w:tc>
          <w:tcPr>
            <w:tcW w:w="736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b w:val="1"/>
                <w:bCs w:val="1"/>
                <w:color w:val="auto"/>
              </w:rPr>
              <w:t>Total income tax (benefit) provision</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(12,933)</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ind w:right="2"/>
              <w:spacing w:after="0" w:line="219" w:lineRule="exact"/>
              <w:rPr>
                <w:sz w:val="20"/>
                <w:szCs w:val="20"/>
                <w:color w:val="auto"/>
              </w:rPr>
            </w:pPr>
            <w:r>
              <w:rPr>
                <w:rFonts w:ascii="Times New Roman" w:cs="Times New Roman" w:eastAsia="Times New Roman" w:hAnsi="Times New Roman"/>
                <w:sz w:val="20"/>
                <w:szCs w:val="20"/>
                <w:color w:val="auto"/>
              </w:rPr>
              <w:t>41,909</w:t>
            </w:r>
          </w:p>
        </w:tc>
      </w:tr>
      <w:tr>
        <w:trPr>
          <w:trHeight w:val="20"/>
        </w:trPr>
        <w:tc>
          <w:tcPr>
            <w:tcW w:w="7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ind w:firstLine="547"/>
        <w:spacing w:after="0" w:line="245" w:lineRule="auto"/>
        <w:rPr>
          <w:sz w:val="20"/>
          <w:szCs w:val="20"/>
          <w:color w:val="auto"/>
        </w:rPr>
      </w:pPr>
      <w:r>
        <w:rPr>
          <w:rFonts w:ascii="Times New Roman" w:cs="Times New Roman" w:eastAsia="Times New Roman" w:hAnsi="Times New Roman"/>
          <w:sz w:val="20"/>
          <w:szCs w:val="20"/>
          <w:color w:val="auto"/>
        </w:rPr>
        <w:t>Entity restructurings are the net tax effect of transactions undertaken to streamline business operations, including the termination of a related party distributor and worthless stock deductions for our photonics subsidiaries, which fully ceased operating during the fiscal year ended March 28, 2025. The March 29, 2024 entity restructuring relates to post-acquisition integrations to align business operations and integrate Crocus’s assets and workforce into the Company’s existing affiliates. The Company engaged in an intra-entity asset sale that resulted in a taxable gain reduced by net operating losses (“NOL”) in France and the generation and utilization of foreign tax credits in the U.S. Assets were transferred at fair market value pursuant to a valuation. The entity restructuring increased the effective tax rate primarily because a deferred tax liability was established on the difference between the fair market value and book value of Crocus’s intellectual property transferred to the U.S.</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F-39</w:t>
      </w:r>
    </w:p>
    <w:p>
      <w:pPr>
        <w:sectPr>
          <w:pgSz w:w="12240" w:h="15840" w:orient="portrait"/>
          <w:cols w:equalWidth="0" w:num="1">
            <w:col w:w="10800"/>
          </w:cols>
          <w:pgMar w:left="720" w:top="696" w:right="720" w:bottom="187" w:gutter="0" w:footer="0" w:header="0"/>
          <w:type w:val="continuous"/>
        </w:sectPr>
      </w:pPr>
    </w:p>
    <w:bookmarkStart w:id="104" w:name="page105"/>
    <w:bookmarkEnd w:id="10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8"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March 28,</w:t>
            </w:r>
          </w:p>
        </w:tc>
      </w:tr>
      <w:tr>
        <w:trPr>
          <w:trHeight w:val="203"/>
        </w:trPr>
        <w:tc>
          <w:tcPr>
            <w:tcW w:w="6240" w:type="dxa"/>
            <w:vAlign w:val="bottom"/>
            <w:tcBorders>
              <w:bottom w:val="single" w:sz="8" w:color="E2E2E2"/>
            </w:tcBorders>
          </w:tcPr>
          <w:p>
            <w:pPr>
              <w:spacing w:after="0"/>
              <w:rPr>
                <w:sz w:val="17"/>
                <w:szCs w:val="17"/>
                <w:color w:val="auto"/>
              </w:rPr>
            </w:pPr>
          </w:p>
        </w:tc>
        <w:tc>
          <w:tcPr>
            <w:tcW w:w="112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62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Deferred income tax assets:</w:t>
            </w:r>
          </w:p>
        </w:tc>
        <w:tc>
          <w:tcPr>
            <w:tcW w:w="112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138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1360" w:type="dxa"/>
            <w:vAlign w:val="bottom"/>
            <w:shd w:val="clear" w:color="auto" w:fill="E2E2E2"/>
          </w:tcPr>
          <w:p>
            <w:pPr>
              <w:spacing w:after="0"/>
              <w:rPr>
                <w:sz w:val="20"/>
                <w:szCs w:val="20"/>
                <w:color w:val="auto"/>
              </w:rPr>
            </w:pPr>
          </w:p>
        </w:tc>
      </w:tr>
      <w:tr>
        <w:trPr>
          <w:trHeight w:val="244"/>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Capitalized research and development costs</w:t>
            </w:r>
          </w:p>
        </w:tc>
        <w:tc>
          <w:tcPr>
            <w:tcW w:w="112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92,034</w:t>
            </w:r>
          </w:p>
        </w:tc>
        <w:tc>
          <w:tcPr>
            <w:tcW w:w="18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87,759</w:t>
            </w:r>
          </w:p>
        </w:tc>
      </w:tr>
      <w:tr>
        <w:trPr>
          <w:trHeight w:val="244"/>
        </w:trPr>
        <w:tc>
          <w:tcPr>
            <w:tcW w:w="62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Accrued bonuses, sales commissions and other compensation</w:t>
            </w:r>
          </w:p>
        </w:tc>
        <w:tc>
          <w:tcPr>
            <w:tcW w:w="11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10,456</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6,502</w:t>
            </w:r>
          </w:p>
        </w:tc>
      </w:tr>
      <w:tr>
        <w:trPr>
          <w:trHeight w:val="244"/>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Inventory and sales related</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18,574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15,629</w:t>
            </w:r>
          </w:p>
        </w:tc>
      </w:tr>
      <w:tr>
        <w:trPr>
          <w:trHeight w:val="244"/>
        </w:trPr>
        <w:tc>
          <w:tcPr>
            <w:tcW w:w="62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1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4,651</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3,780</w:t>
            </w:r>
          </w:p>
        </w:tc>
      </w:tr>
      <w:tr>
        <w:trPr>
          <w:trHeight w:val="244"/>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Tax credits</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3,290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3,154</w:t>
            </w:r>
          </w:p>
        </w:tc>
      </w:tr>
      <w:tr>
        <w:trPr>
          <w:trHeight w:val="244"/>
        </w:trPr>
        <w:tc>
          <w:tcPr>
            <w:tcW w:w="62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Lease liabilities</w:t>
            </w:r>
          </w:p>
        </w:tc>
        <w:tc>
          <w:tcPr>
            <w:tcW w:w="11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3,960</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2,442</w:t>
            </w:r>
          </w:p>
        </w:tc>
      </w:tr>
      <w:tr>
        <w:trPr>
          <w:trHeight w:val="244"/>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1,923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1,918</w:t>
            </w:r>
          </w:p>
        </w:tc>
      </w:tr>
      <w:tr>
        <w:trPr>
          <w:trHeight w:val="244"/>
        </w:trPr>
        <w:tc>
          <w:tcPr>
            <w:tcW w:w="62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Other accruals and reserves</w:t>
            </w:r>
          </w:p>
        </w:tc>
        <w:tc>
          <w:tcPr>
            <w:tcW w:w="11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1,359</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3,753</w:t>
            </w:r>
          </w:p>
        </w:tc>
      </w:tr>
      <w:tr>
        <w:trPr>
          <w:trHeight w:val="244"/>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NOL carryforwards</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4,314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5,255</w:t>
            </w:r>
          </w:p>
        </w:tc>
      </w:tr>
      <w:tr>
        <w:trPr>
          <w:trHeight w:val="264"/>
        </w:trPr>
        <w:tc>
          <w:tcPr>
            <w:tcW w:w="624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Equity method and other investments</w:t>
            </w:r>
          </w:p>
        </w:tc>
        <w:tc>
          <w:tcPr>
            <w:tcW w:w="112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80" w:type="dxa"/>
            <w:vAlign w:val="bottom"/>
            <w:tcBorders>
              <w:bottom w:val="single" w:sz="8" w:color="auto"/>
            </w:tcBorders>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1,352</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60" w:type="dxa"/>
            <w:vAlign w:val="bottom"/>
            <w:tcBorders>
              <w:bottom w:val="single" w:sz="8" w:color="auto"/>
            </w:tcBorders>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19"/>
        </w:trPr>
        <w:tc>
          <w:tcPr>
            <w:tcW w:w="624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Gross deferred income tax assets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22"/>
              <w:spacing w:after="0" w:line="219" w:lineRule="exact"/>
              <w:rPr>
                <w:sz w:val="20"/>
                <w:szCs w:val="20"/>
                <w:color w:val="auto"/>
              </w:rPr>
            </w:pPr>
            <w:r>
              <w:rPr>
                <w:rFonts w:ascii="Times New Roman" w:cs="Times New Roman" w:eastAsia="Times New Roman" w:hAnsi="Times New Roman"/>
                <w:sz w:val="20"/>
                <w:szCs w:val="20"/>
                <w:color w:val="auto"/>
              </w:rPr>
              <w:t>141,913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2"/>
              <w:spacing w:after="0" w:line="219" w:lineRule="exact"/>
              <w:rPr>
                <w:sz w:val="20"/>
                <w:szCs w:val="20"/>
                <w:color w:val="auto"/>
              </w:rPr>
            </w:pPr>
            <w:r>
              <w:rPr>
                <w:rFonts w:ascii="Times New Roman" w:cs="Times New Roman" w:eastAsia="Times New Roman" w:hAnsi="Times New Roman"/>
                <w:sz w:val="20"/>
                <w:szCs w:val="20"/>
                <w:color w:val="auto"/>
              </w:rPr>
              <w:t>130,192</w:t>
            </w:r>
          </w:p>
        </w:tc>
      </w:tr>
      <w:tr>
        <w:trPr>
          <w:trHeight w:val="264"/>
        </w:trPr>
        <w:tc>
          <w:tcPr>
            <w:tcW w:w="6240" w:type="dxa"/>
            <w:vAlign w:val="bottom"/>
            <w:tcBorders>
              <w:bottom w:val="single" w:sz="8" w:color="E2E2E2"/>
            </w:tcBorders>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Valuation allowance for deferred income tax assets</w:t>
            </w:r>
          </w:p>
        </w:tc>
        <w:tc>
          <w:tcPr>
            <w:tcW w:w="112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(5,779)</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(4,250)</w:t>
            </w:r>
          </w:p>
        </w:tc>
      </w:tr>
      <w:tr>
        <w:trPr>
          <w:trHeight w:val="219"/>
        </w:trPr>
        <w:tc>
          <w:tcPr>
            <w:tcW w:w="6240" w:type="dxa"/>
            <w:vAlign w:val="bottom"/>
            <w:tcBorders>
              <w:bottom w:val="single" w:sz="8" w:color="E2E2E2"/>
            </w:tcBorders>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deferred income tax assets</w:t>
            </w:r>
          </w:p>
        </w:tc>
        <w:tc>
          <w:tcPr>
            <w:tcW w:w="1120" w:type="dxa"/>
            <w:vAlign w:val="bottom"/>
            <w:tcBorders>
              <w:bottom w:val="single" w:sz="8" w:color="E2E2E2"/>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2"/>
              <w:spacing w:after="0" w:line="219" w:lineRule="exact"/>
              <w:rPr>
                <w:sz w:val="20"/>
                <w:szCs w:val="20"/>
                <w:color w:val="auto"/>
              </w:rPr>
            </w:pPr>
            <w:r>
              <w:rPr>
                <w:rFonts w:ascii="Times New Roman" w:cs="Times New Roman" w:eastAsia="Times New Roman" w:hAnsi="Times New Roman"/>
                <w:sz w:val="20"/>
                <w:szCs w:val="20"/>
                <w:color w:val="auto"/>
              </w:rPr>
              <w:t>136,134</w:t>
            </w:r>
          </w:p>
        </w:tc>
        <w:tc>
          <w:tcPr>
            <w:tcW w:w="180" w:type="dxa"/>
            <w:vAlign w:val="bottom"/>
            <w:tcBorders>
              <w:bottom w:val="single" w:sz="8" w:color="E2E2E2"/>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
              <w:spacing w:after="0" w:line="219" w:lineRule="exact"/>
              <w:rPr>
                <w:sz w:val="20"/>
                <w:szCs w:val="20"/>
                <w:color w:val="auto"/>
              </w:rPr>
            </w:pPr>
            <w:r>
              <w:rPr>
                <w:rFonts w:ascii="Times New Roman" w:cs="Times New Roman" w:eastAsia="Times New Roman" w:hAnsi="Times New Roman"/>
                <w:sz w:val="20"/>
                <w:szCs w:val="20"/>
                <w:color w:val="auto"/>
              </w:rPr>
              <w:t>125,942</w:t>
            </w:r>
          </w:p>
        </w:tc>
      </w:tr>
      <w:tr>
        <w:trPr>
          <w:trHeight w:val="239"/>
        </w:trPr>
        <w:tc>
          <w:tcPr>
            <w:tcW w:w="62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Deferred income tax liabilities:</w:t>
            </w:r>
          </w:p>
        </w:tc>
        <w:tc>
          <w:tcPr>
            <w:tcW w:w="112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138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1360" w:type="dxa"/>
            <w:vAlign w:val="bottom"/>
            <w:shd w:val="clear" w:color="auto" w:fill="E2E2E2"/>
          </w:tcPr>
          <w:p>
            <w:pPr>
              <w:spacing w:after="0"/>
              <w:rPr>
                <w:sz w:val="20"/>
                <w:szCs w:val="20"/>
                <w:color w:val="auto"/>
              </w:rPr>
            </w:pPr>
          </w:p>
        </w:tc>
      </w:tr>
      <w:tr>
        <w:trPr>
          <w:trHeight w:val="244"/>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Equity method and other investments</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w:t>
            </w:r>
          </w:p>
        </w:tc>
      </w:tr>
      <w:tr>
        <w:trPr>
          <w:trHeight w:val="244"/>
        </w:trPr>
        <w:tc>
          <w:tcPr>
            <w:tcW w:w="62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Intangibles assets, net</w:t>
            </w:r>
          </w:p>
        </w:tc>
        <w:tc>
          <w:tcPr>
            <w:tcW w:w="11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(38,349)</w:t>
            </w:r>
          </w:p>
        </w:tc>
        <w:tc>
          <w:tcPr>
            <w:tcW w:w="1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(42,623)</w:t>
            </w:r>
          </w:p>
        </w:tc>
      </w:tr>
      <w:tr>
        <w:trPr>
          <w:trHeight w:val="244"/>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(15,099)</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(12,108)</w:t>
            </w:r>
          </w:p>
        </w:tc>
      </w:tr>
      <w:tr>
        <w:trPr>
          <w:trHeight w:val="264"/>
        </w:trPr>
        <w:tc>
          <w:tcPr>
            <w:tcW w:w="624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Right-of-use assets</w:t>
            </w:r>
          </w:p>
        </w:tc>
        <w:tc>
          <w:tcPr>
            <w:tcW w:w="112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(2,465)</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spacing w:after="0"/>
              <w:rPr>
                <w:sz w:val="22"/>
                <w:szCs w:val="22"/>
                <w:color w:val="auto"/>
              </w:rPr>
            </w:pPr>
          </w:p>
        </w:tc>
        <w:tc>
          <w:tcPr>
            <w:tcW w:w="13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(2,042)</w:t>
            </w:r>
          </w:p>
        </w:tc>
      </w:tr>
      <w:tr>
        <w:trPr>
          <w:trHeight w:val="219"/>
        </w:trPr>
        <w:tc>
          <w:tcPr>
            <w:tcW w:w="6240" w:type="dxa"/>
            <w:vAlign w:val="bottom"/>
            <w:tcBorders>
              <w:bottom w:val="single" w:sz="8" w:color="E2E2E2"/>
            </w:tcBorders>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deferred income tax liabilities</w:t>
            </w:r>
          </w:p>
        </w:tc>
        <w:tc>
          <w:tcPr>
            <w:tcW w:w="1120" w:type="dxa"/>
            <w:vAlign w:val="bottom"/>
            <w:tcBorders>
              <w:bottom w:val="single" w:sz="8" w:color="E2E2E2"/>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(55,913)</w:t>
            </w:r>
          </w:p>
        </w:tc>
        <w:tc>
          <w:tcPr>
            <w:tcW w:w="180" w:type="dxa"/>
            <w:vAlign w:val="bottom"/>
            <w:tcBorders>
              <w:bottom w:val="single" w:sz="8" w:color="E2E2E2"/>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(57,414)</w:t>
            </w:r>
          </w:p>
        </w:tc>
      </w:tr>
      <w:tr>
        <w:trPr>
          <w:trHeight w:val="259"/>
        </w:trPr>
        <w:tc>
          <w:tcPr>
            <w:tcW w:w="6240" w:type="dxa"/>
            <w:vAlign w:val="bottom"/>
            <w:tcBorders>
              <w:bottom w:val="single" w:sz="8" w:color="E2E2E2"/>
            </w:tcBorders>
            <w:shd w:val="clear" w:color="auto" w:fill="E2E2E2"/>
          </w:tcPr>
          <w:p>
            <w:pPr>
              <w:ind w:left="600"/>
              <w:spacing w:after="0"/>
              <w:rPr>
                <w:sz w:val="20"/>
                <w:szCs w:val="20"/>
                <w:color w:val="auto"/>
              </w:rPr>
            </w:pPr>
            <w:r>
              <w:rPr>
                <w:rFonts w:ascii="Times New Roman" w:cs="Times New Roman" w:eastAsia="Times New Roman" w:hAnsi="Times New Roman"/>
                <w:sz w:val="20"/>
                <w:szCs w:val="20"/>
                <w:b w:val="1"/>
                <w:bCs w:val="1"/>
                <w:color w:val="auto"/>
              </w:rPr>
              <w:t>Net deferred income tax assets</w:t>
            </w:r>
          </w:p>
        </w:tc>
        <w:tc>
          <w:tcPr>
            <w:tcW w:w="112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80,221</w:t>
            </w:r>
          </w:p>
        </w:tc>
        <w:tc>
          <w:tcPr>
            <w:tcW w:w="18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68,528</w:t>
            </w:r>
          </w:p>
        </w:tc>
      </w:tr>
      <w:tr>
        <w:trPr>
          <w:trHeight w:val="20"/>
        </w:trPr>
        <w:tc>
          <w:tcPr>
            <w:tcW w:w="6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540"/>
        <w:spacing w:after="0" w:line="247" w:lineRule="auto"/>
        <w:rPr>
          <w:sz w:val="20"/>
          <w:szCs w:val="20"/>
          <w:color w:val="auto"/>
        </w:rPr>
      </w:pPr>
      <w:r>
        <w:rPr>
          <w:rFonts w:ascii="Times New Roman" w:cs="Times New Roman" w:eastAsia="Times New Roman" w:hAnsi="Times New Roman"/>
          <w:sz w:val="20"/>
          <w:szCs w:val="20"/>
          <w:color w:val="auto"/>
        </w:rPr>
        <w:t>The Tax Cuts and Jobs Act of 2017 (“TCJA”) required the capitalization and amortization of domestic and foreign research and development (“R&amp;D”) expenditures over five and 15 years, respectively. On July 4, 2025, the OBBB was enacted and restored immediate expensing for domestic R&amp;D and provided a one-time Accelerated R&amp;D Amortization Election to deduct previously capitalized domestic R&amp;D over two years. In addition, Section 59(e) of the Internal Revenue Code of 1986, as amended (the “IRC”), allows an annual election to capitalize and amortized domestic R&amp;D expenditures over ten-years. The capitalized research and development costs deferred tax asset above represents the tax effect of the remaining cost to be amortized.</w:t>
      </w:r>
    </w:p>
    <w:p>
      <w:pPr>
        <w:spacing w:after="0" w:line="80"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The Company acquired NOL and research and development tax credit (“R&amp;D Credit”) carryforwards that are subject to limitations and valuation allowances. The IRC provides for a limitation of the annual use of NOLs, R&amp;D Credits, and other tax attributes following certain ownership changes that limit the ability to utilize NOL and R&amp;D Credit carryforwards. Under IRC Sections 382 and 383, an ownership change is generally defined as a greater than 50% change (by value) in its equity ownership over a three-year period.</w:t>
      </w:r>
    </w:p>
    <w:p>
      <w:pPr>
        <w:spacing w:after="0" w:line="77"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NOLs and capital losses may be available to reduce future taxable income. As of March 27, 2026, the Company had net Federal NOLs of $ 2,857 that were generated after December 31, 2017, and therefore carryforward indefinitely. State NOL carryforwards have been fully utilized. As of March 27, 2026, the Company had deferred tax assets (“DTAs”) related to capital losses, equity method of accounting, and state R&amp;D Credit carryforwards of $ 1,457, $1,352, and $3,290, respectively. The Company has established valuation allowances of $5,779 to fully offset the capital losses and equity method of accounts DTAs and most of the state R&amp;D Credit.</w:t>
      </w:r>
    </w:p>
    <w:p>
      <w:pPr>
        <w:spacing w:after="0" w:line="77" w:lineRule="exact"/>
        <w:rPr>
          <w:sz w:val="20"/>
          <w:szCs w:val="20"/>
          <w:color w:val="auto"/>
        </w:rPr>
      </w:pPr>
    </w:p>
    <w:p>
      <w:pPr>
        <w:jc w:val="both"/>
        <w:ind w:firstLine="540"/>
        <w:spacing w:after="0" w:line="277" w:lineRule="auto"/>
        <w:rPr>
          <w:sz w:val="20"/>
          <w:szCs w:val="20"/>
          <w:color w:val="auto"/>
        </w:rPr>
      </w:pPr>
      <w:r>
        <w:rPr>
          <w:rFonts w:ascii="Times New Roman" w:cs="Times New Roman" w:eastAsia="Times New Roman" w:hAnsi="Times New Roman"/>
          <w:sz w:val="20"/>
          <w:szCs w:val="20"/>
          <w:color w:val="auto"/>
        </w:rPr>
        <w:t>As of March 27, 2026, the Company had net income taxes refunded for the year was $27,081, which consisted of a $30,889 federal refund offset by $3,324 in net foreign payments (including $2,217 paid to the Philippines) and $484 in net state payments.</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F-40</w:t>
      </w:r>
    </w:p>
    <w:p>
      <w:pPr>
        <w:sectPr>
          <w:pgSz w:w="12240" w:h="15840" w:orient="portrait"/>
          <w:cols w:equalWidth="0" w:num="1">
            <w:col w:w="10800"/>
          </w:cols>
          <w:pgMar w:left="720" w:top="696" w:right="720" w:bottom="187" w:gutter="0" w:footer="0" w:header="0"/>
          <w:type w:val="continuous"/>
        </w:sectPr>
      </w:pPr>
    </w:p>
    <w:bookmarkStart w:id="105" w:name="page106"/>
    <w:bookmarkEnd w:id="10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8"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Company’s intent is to permanently reinvest and use its existing foreign cash to fund its subsidiaries’ working capital needs, short-term and long-term capital projects, and to make investments and acquisitions.</w:t>
      </w:r>
    </w:p>
    <w:p>
      <w:pPr>
        <w:spacing w:after="0" w:line="49"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Company filed carryback claims allowable under the Coronavirus Aid, Relief and Economic Security Act (“the CARES Act”) to utilize NOLs and carryover credits generated during fiscal year 2021. As of March 27, 2026, the Company has $11,468 tax receivables, primarily related to the CARES Act, of which $7,375 is classified as current.</w:t>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Uncertain Tax Positions</w:t>
      </w:r>
    </w:p>
    <w:p>
      <w:pPr>
        <w:spacing w:after="0" w:line="118"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As of March 27, 2026, March 28, 2025 and March 29, 2024, the Company had gross uncertain tax positions which would impact the effective tax rate, if recognized. These amounts are recorded as a long-term liability, as the Company does not anticipate payment within one year.</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r>
      <w:tr>
        <w:trPr>
          <w:trHeight w:val="160"/>
        </w:trPr>
        <w:tc>
          <w:tcPr>
            <w:tcW w:w="5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306"/>
              <w:spacing w:after="0" w:line="160"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306"/>
              <w:spacing w:after="0" w:line="160"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06"/>
              <w:spacing w:after="0" w:line="160"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80" w:type="dxa"/>
            <w:vAlign w:val="bottom"/>
          </w:tcPr>
          <w:p>
            <w:pPr>
              <w:spacing w:after="0"/>
              <w:rPr>
                <w:sz w:val="13"/>
                <w:szCs w:val="13"/>
                <w:color w:val="auto"/>
              </w:rPr>
            </w:pPr>
          </w:p>
        </w:tc>
      </w:tr>
      <w:tr>
        <w:trPr>
          <w:trHeight w:val="203"/>
        </w:trPr>
        <w:tc>
          <w:tcPr>
            <w:tcW w:w="5540" w:type="dxa"/>
            <w:vAlign w:val="bottom"/>
            <w:tcBorders>
              <w:bottom w:val="single" w:sz="8" w:color="E2E2E2"/>
            </w:tcBorders>
          </w:tcPr>
          <w:p>
            <w:pPr>
              <w:spacing w:after="0"/>
              <w:rPr>
                <w:sz w:val="17"/>
                <w:szCs w:val="17"/>
                <w:color w:val="auto"/>
              </w:rPr>
            </w:pPr>
          </w:p>
        </w:tc>
        <w:tc>
          <w:tcPr>
            <w:tcW w:w="76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E2E2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r>
      <w:tr>
        <w:trPr>
          <w:trHeight w:val="225"/>
        </w:trPr>
        <w:tc>
          <w:tcPr>
            <w:tcW w:w="554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Beginning balance</w:t>
            </w:r>
          </w:p>
        </w:tc>
        <w:tc>
          <w:tcPr>
            <w:tcW w:w="760" w:type="dxa"/>
            <w:vAlign w:val="bottom"/>
            <w:shd w:val="clear" w:color="auto" w:fill="E2E2E2"/>
          </w:tcPr>
          <w:p>
            <w:pPr>
              <w:spacing w:after="0"/>
              <w:rPr>
                <w:sz w:val="19"/>
                <w:szCs w:val="19"/>
                <w:color w:val="auto"/>
              </w:rPr>
            </w:pPr>
          </w:p>
        </w:tc>
        <w:tc>
          <w:tcPr>
            <w:tcW w:w="2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E2E2E2"/>
          </w:tcPr>
          <w:p>
            <w:pPr>
              <w:jc w:val="right"/>
              <w:ind w:right="6"/>
              <w:spacing w:after="0" w:line="225" w:lineRule="exact"/>
              <w:rPr>
                <w:sz w:val="20"/>
                <w:szCs w:val="20"/>
                <w:color w:val="auto"/>
              </w:rPr>
            </w:pPr>
            <w:r>
              <w:rPr>
                <w:rFonts w:ascii="Times New Roman" w:cs="Times New Roman" w:eastAsia="Times New Roman" w:hAnsi="Times New Roman"/>
                <w:sz w:val="20"/>
                <w:szCs w:val="20"/>
                <w:color w:val="auto"/>
              </w:rPr>
              <w:t>4,797</w:t>
            </w:r>
          </w:p>
        </w:tc>
        <w:tc>
          <w:tcPr>
            <w:tcW w:w="16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2E2E2"/>
          </w:tcPr>
          <w:p>
            <w:pPr>
              <w:jc w:val="right"/>
              <w:ind w:right="6"/>
              <w:spacing w:after="0" w:line="225" w:lineRule="exact"/>
              <w:rPr>
                <w:sz w:val="20"/>
                <w:szCs w:val="20"/>
                <w:color w:val="auto"/>
              </w:rPr>
            </w:pPr>
            <w:r>
              <w:rPr>
                <w:rFonts w:ascii="Times New Roman" w:cs="Times New Roman" w:eastAsia="Times New Roman" w:hAnsi="Times New Roman"/>
                <w:sz w:val="20"/>
                <w:szCs w:val="20"/>
                <w:color w:val="auto"/>
              </w:rPr>
              <w:t>4,980</w:t>
            </w:r>
          </w:p>
        </w:tc>
        <w:tc>
          <w:tcPr>
            <w:tcW w:w="160" w:type="dxa"/>
            <w:vAlign w:val="bottom"/>
            <w:shd w:val="clear" w:color="auto" w:fill="E2E2E2"/>
          </w:tcPr>
          <w:p>
            <w:pPr>
              <w:spacing w:after="0"/>
              <w:rPr>
                <w:sz w:val="19"/>
                <w:szCs w:val="19"/>
                <w:color w:val="auto"/>
              </w:rPr>
            </w:pPr>
          </w:p>
        </w:tc>
        <w:tc>
          <w:tcPr>
            <w:tcW w:w="2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2,408</w:t>
            </w:r>
          </w:p>
        </w:tc>
        <w:tc>
          <w:tcPr>
            <w:tcW w:w="80" w:type="dxa"/>
            <w:vAlign w:val="bottom"/>
            <w:shd w:val="clear" w:color="auto" w:fill="E2E2E2"/>
          </w:tcPr>
          <w:p>
            <w:pPr>
              <w:spacing w:after="0"/>
              <w:rPr>
                <w:sz w:val="19"/>
                <w:szCs w:val="19"/>
                <w:color w:val="auto"/>
              </w:rPr>
            </w:pPr>
          </w:p>
        </w:tc>
      </w:tr>
      <w:tr>
        <w:trPr>
          <w:trHeight w:val="244"/>
        </w:trPr>
        <w:tc>
          <w:tcPr>
            <w:tcW w:w="5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Gross increases - tax positions for prior periods</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2,210</w:t>
            </w:r>
          </w:p>
        </w:tc>
        <w:tc>
          <w:tcPr>
            <w:tcW w:w="80" w:type="dxa"/>
            <w:vAlign w:val="bottom"/>
          </w:tcPr>
          <w:p>
            <w:pPr>
              <w:spacing w:after="0"/>
              <w:rPr>
                <w:sz w:val="21"/>
                <w:szCs w:val="21"/>
                <w:color w:val="auto"/>
              </w:rPr>
            </w:pPr>
          </w:p>
        </w:tc>
      </w:tr>
      <w:tr>
        <w:trPr>
          <w:trHeight w:val="244"/>
        </w:trPr>
        <w:tc>
          <w:tcPr>
            <w:tcW w:w="55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Gross increases - tax positions for current period</w:t>
            </w:r>
          </w:p>
        </w:tc>
        <w:tc>
          <w:tcPr>
            <w:tcW w:w="760" w:type="dxa"/>
            <w:vAlign w:val="bottom"/>
            <w:shd w:val="clear" w:color="auto" w:fill="E2E2E2"/>
          </w:tcPr>
          <w:p>
            <w:pPr>
              <w:spacing w:after="0"/>
              <w:rPr>
                <w:sz w:val="21"/>
                <w:szCs w:val="21"/>
                <w:color w:val="auto"/>
              </w:rPr>
            </w:pPr>
          </w:p>
        </w:tc>
        <w:tc>
          <w:tcPr>
            <w:tcW w:w="200" w:type="dxa"/>
            <w:vAlign w:val="bottom"/>
            <w:shd w:val="clear" w:color="auto" w:fill="E2E2E2"/>
          </w:tcPr>
          <w:p>
            <w:pPr>
              <w:spacing w:after="0"/>
              <w:rPr>
                <w:sz w:val="21"/>
                <w:szCs w:val="21"/>
                <w:color w:val="auto"/>
              </w:rPr>
            </w:pPr>
          </w:p>
        </w:tc>
        <w:tc>
          <w:tcPr>
            <w:tcW w:w="1200" w:type="dxa"/>
            <w:vAlign w:val="bottom"/>
            <w:shd w:val="clear" w:color="auto" w:fill="E2E2E2"/>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2E2E2"/>
          </w:tcPr>
          <w:p>
            <w:pPr>
              <w:spacing w:after="0"/>
              <w:rPr>
                <w:sz w:val="21"/>
                <w:szCs w:val="21"/>
                <w:color w:val="auto"/>
              </w:rPr>
            </w:pPr>
          </w:p>
        </w:tc>
        <w:tc>
          <w:tcPr>
            <w:tcW w:w="200" w:type="dxa"/>
            <w:vAlign w:val="bottom"/>
            <w:shd w:val="clear" w:color="auto" w:fill="E2E2E2"/>
          </w:tcPr>
          <w:p>
            <w:pPr>
              <w:spacing w:after="0"/>
              <w:rPr>
                <w:sz w:val="21"/>
                <w:szCs w:val="21"/>
                <w:color w:val="auto"/>
              </w:rPr>
            </w:pPr>
          </w:p>
        </w:tc>
        <w:tc>
          <w:tcPr>
            <w:tcW w:w="1200" w:type="dxa"/>
            <w:vAlign w:val="bottom"/>
            <w:shd w:val="clear" w:color="auto" w:fill="E2E2E2"/>
          </w:tcPr>
          <w:p>
            <w:pPr>
              <w:jc w:val="right"/>
              <w:ind w:right="6"/>
              <w:spacing w:after="0"/>
              <w:rPr>
                <w:sz w:val="20"/>
                <w:szCs w:val="20"/>
                <w:color w:val="auto"/>
              </w:rPr>
            </w:pPr>
            <w:r>
              <w:rPr>
                <w:rFonts w:ascii="Times New Roman" w:cs="Times New Roman" w:eastAsia="Times New Roman" w:hAnsi="Times New Roman"/>
                <w:sz w:val="20"/>
                <w:szCs w:val="20"/>
                <w:color w:val="auto"/>
              </w:rPr>
              <w:t>149</w:t>
            </w:r>
          </w:p>
        </w:tc>
        <w:tc>
          <w:tcPr>
            <w:tcW w:w="160" w:type="dxa"/>
            <w:vAlign w:val="bottom"/>
            <w:shd w:val="clear" w:color="auto" w:fill="E2E2E2"/>
          </w:tcPr>
          <w:p>
            <w:pPr>
              <w:spacing w:after="0"/>
              <w:rPr>
                <w:sz w:val="21"/>
                <w:szCs w:val="21"/>
                <w:color w:val="auto"/>
              </w:rPr>
            </w:pPr>
          </w:p>
        </w:tc>
        <w:tc>
          <w:tcPr>
            <w:tcW w:w="200" w:type="dxa"/>
            <w:vAlign w:val="bottom"/>
            <w:shd w:val="clear" w:color="auto" w:fill="E2E2E2"/>
          </w:tcPr>
          <w:p>
            <w:pPr>
              <w:spacing w:after="0"/>
              <w:rPr>
                <w:sz w:val="21"/>
                <w:szCs w:val="21"/>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80" w:type="dxa"/>
            <w:vAlign w:val="bottom"/>
            <w:shd w:val="clear" w:color="auto" w:fill="E2E2E2"/>
          </w:tcPr>
          <w:p>
            <w:pPr>
              <w:spacing w:after="0"/>
              <w:rPr>
                <w:sz w:val="21"/>
                <w:szCs w:val="21"/>
                <w:color w:val="auto"/>
              </w:rPr>
            </w:pPr>
          </w:p>
        </w:tc>
      </w:tr>
      <w:tr>
        <w:trPr>
          <w:trHeight w:val="244"/>
        </w:trPr>
        <w:tc>
          <w:tcPr>
            <w:tcW w:w="554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Gross decreases lapse of applicable statutes of limitations</w:t>
            </w:r>
          </w:p>
        </w:tc>
        <w:tc>
          <w:tcPr>
            <w:tcW w:w="760" w:type="dxa"/>
            <w:vAlign w:val="bottom"/>
            <w:tcBorders>
              <w:bottom w:val="single" w:sz="8" w:color="E2E2E2"/>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160" w:type="dxa"/>
            <w:vAlign w:val="bottom"/>
            <w:tcBorders>
              <w:bottom w:val="single" w:sz="8" w:color="E2E2E2"/>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160" w:type="dxa"/>
            <w:vAlign w:val="bottom"/>
            <w:tcBorders>
              <w:bottom w:val="single" w:sz="8" w:color="E2E2E2"/>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w:t>
            </w:r>
          </w:p>
        </w:tc>
      </w:tr>
      <w:tr>
        <w:trPr>
          <w:trHeight w:val="245"/>
        </w:trPr>
        <w:tc>
          <w:tcPr>
            <w:tcW w:w="5540" w:type="dxa"/>
            <w:vAlign w:val="bottom"/>
            <w:tcBorders>
              <w:bottom w:val="single" w:sz="8" w:color="E2E2E2"/>
            </w:tcBorders>
            <w:shd w:val="clear" w:color="auto" w:fill="E2E2E2"/>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Ending balance</w:t>
            </w:r>
          </w:p>
        </w:tc>
        <w:tc>
          <w:tcPr>
            <w:tcW w:w="760" w:type="dxa"/>
            <w:vAlign w:val="bottom"/>
            <w:tcBorders>
              <w:bottom w:val="single" w:sz="8" w:color="E2E2E2"/>
            </w:tcBorders>
            <w:shd w:val="clear" w:color="auto" w:fill="E2E2E2"/>
          </w:tcPr>
          <w:p>
            <w:pPr>
              <w:spacing w:after="0"/>
              <w:rPr>
                <w:sz w:val="21"/>
                <w:szCs w:val="21"/>
                <w:color w:val="auto"/>
              </w:rPr>
            </w:pPr>
          </w:p>
        </w:tc>
        <w:tc>
          <w:tcPr>
            <w:tcW w:w="2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E2E2E2"/>
          </w:tcPr>
          <w:p>
            <w:pPr>
              <w:jc w:val="right"/>
              <w:ind w:right="6"/>
              <w:spacing w:after="0" w:line="225" w:lineRule="exact"/>
              <w:rPr>
                <w:sz w:val="20"/>
                <w:szCs w:val="20"/>
                <w:color w:val="auto"/>
              </w:rPr>
            </w:pPr>
            <w:r>
              <w:rPr>
                <w:rFonts w:ascii="Times New Roman" w:cs="Times New Roman" w:eastAsia="Times New Roman" w:hAnsi="Times New Roman"/>
                <w:sz w:val="20"/>
                <w:szCs w:val="20"/>
                <w:color w:val="auto"/>
              </w:rPr>
              <w:t>4,679</w:t>
            </w:r>
          </w:p>
        </w:tc>
        <w:tc>
          <w:tcPr>
            <w:tcW w:w="160" w:type="dxa"/>
            <w:vAlign w:val="bottom"/>
            <w:tcBorders>
              <w:bottom w:val="single" w:sz="8" w:color="E2E2E2"/>
            </w:tcBorders>
            <w:shd w:val="clear" w:color="auto" w:fill="E2E2E2"/>
          </w:tcPr>
          <w:p>
            <w:pPr>
              <w:spacing w:after="0"/>
              <w:rPr>
                <w:sz w:val="21"/>
                <w:szCs w:val="21"/>
                <w:color w:val="auto"/>
              </w:rPr>
            </w:pPr>
          </w:p>
        </w:tc>
        <w:tc>
          <w:tcPr>
            <w:tcW w:w="200" w:type="dxa"/>
            <w:vAlign w:val="bottom"/>
            <w:tcBorders>
              <w:bottom w:val="single" w:sz="8" w:color="auto"/>
            </w:tcBorders>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E2E2E2"/>
          </w:tcPr>
          <w:p>
            <w:pPr>
              <w:jc w:val="right"/>
              <w:ind w:right="6"/>
              <w:spacing w:after="0" w:line="225" w:lineRule="exact"/>
              <w:rPr>
                <w:sz w:val="20"/>
                <w:szCs w:val="20"/>
                <w:color w:val="auto"/>
              </w:rPr>
            </w:pPr>
            <w:r>
              <w:rPr>
                <w:rFonts w:ascii="Times New Roman" w:cs="Times New Roman" w:eastAsia="Times New Roman" w:hAnsi="Times New Roman"/>
                <w:sz w:val="20"/>
                <w:szCs w:val="20"/>
                <w:color w:val="auto"/>
              </w:rPr>
              <w:t>4,797</w:t>
            </w:r>
          </w:p>
        </w:tc>
        <w:tc>
          <w:tcPr>
            <w:tcW w:w="160" w:type="dxa"/>
            <w:vAlign w:val="bottom"/>
            <w:tcBorders>
              <w:bottom w:val="single" w:sz="8" w:color="E2E2E2"/>
            </w:tcBorders>
            <w:shd w:val="clear" w:color="auto" w:fill="E2E2E2"/>
          </w:tcPr>
          <w:p>
            <w:pPr>
              <w:spacing w:after="0"/>
              <w:rPr>
                <w:sz w:val="21"/>
                <w:szCs w:val="21"/>
                <w:color w:val="auto"/>
              </w:rPr>
            </w:pPr>
          </w:p>
        </w:tc>
        <w:tc>
          <w:tcPr>
            <w:tcW w:w="2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4,980</w:t>
            </w:r>
          </w:p>
        </w:tc>
        <w:tc>
          <w:tcPr>
            <w:tcW w:w="80" w:type="dxa"/>
            <w:vAlign w:val="bottom"/>
            <w:tcBorders>
              <w:bottom w:val="single" w:sz="8" w:color="auto"/>
            </w:tcBorders>
            <w:shd w:val="clear" w:color="auto" w:fill="E2E2E2"/>
          </w:tcPr>
          <w:p>
            <w:pPr>
              <w:spacing w:after="0"/>
              <w:rPr>
                <w:sz w:val="21"/>
                <w:szCs w:val="21"/>
                <w:color w:val="auto"/>
              </w:rPr>
            </w:pPr>
          </w:p>
        </w:tc>
      </w:tr>
      <w:tr>
        <w:trPr>
          <w:trHeight w:val="20"/>
        </w:trPr>
        <w:tc>
          <w:tcPr>
            <w:tcW w:w="5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-1061720</wp:posOffset>
            </wp:positionV>
            <wp:extent cx="284734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1">
                      <a:extLst>
                        <a:ext uri="{28A0092B-C50C-407E-A947-70E740481C1C}"/>
                      </a:extLst>
                    </a:blip>
                    <a:srcRect/>
                    <a:stretch>
                      <a:fillRect/>
                    </a:stretch>
                  </pic:blipFill>
                  <pic:spPr bwMode="auto">
                    <a:xfrm>
                      <a:off x="0" y="0"/>
                      <a:ext cx="2847340" cy="38100"/>
                    </a:xfrm>
                    <a:prstGeom prst="rect">
                      <a:avLst/>
                    </a:prstGeom>
                    <a:noFill/>
                  </pic:spPr>
                </pic:pic>
              </a:graphicData>
            </a:graphic>
          </wp:anchor>
        </w:drawing>
      </w:r>
    </w:p>
    <w:p>
      <w:pPr>
        <w:spacing w:after="0" w:line="99"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Company believes that all tax positions are adequately provided for; amounts asserted by tax authorities could be greater or less than the accrued position. Accordingly, the Company’s provisions for federal, state and foreign tax related matters to be recorded in the future might change as revised estimates are made, or the underlying matters are settled or otherwise resolved.</w:t>
      </w:r>
    </w:p>
    <w:p>
      <w:pPr>
        <w:spacing w:after="0" w:line="68"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The Company’s policy is to classify interest expense and penalties, if any, as components of the income tax (benefit) provision in the consolidated statements of operations. The Company recorded net increases of $ 305, $323 and $826 in interest, penalties and releases during fiscal years 2026, 2025 and 2024, respectively. As of March 27, 2026 and March 28, 2025, the amount of accrued interest and penalties totaled approximately $1,534 and $1,230, respectively.</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Examinations by Tax Authorities</w:t>
      </w:r>
    </w:p>
    <w:p>
      <w:pPr>
        <w:spacing w:after="0" w:line="118"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The Company and its subsidiaries are routinely subject to examination by taxing authorities in the United States and the foreign jurisdictions in which it does business. Currently, the Internal Revenue Service is auditing the CARES Act carryback claim for fiscal years 2016 through 2021, and the Bureau of Internal Revenue is auditing our Philippine subsidiary for tax year 2019. U.S. and material foreign jurisdictions statutes of limitation remain open as of 2016.</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F-41</w:t>
      </w:r>
    </w:p>
    <w:p>
      <w:pPr>
        <w:sectPr>
          <w:pgSz w:w="12240" w:h="15840" w:orient="portrait"/>
          <w:cols w:equalWidth="0" w:num="1">
            <w:col w:w="10800"/>
          </w:cols>
          <w:pgMar w:left="720" w:top="696" w:right="720" w:bottom="187" w:gutter="0" w:footer="0" w:header="0"/>
          <w:type w:val="continuous"/>
        </w:sectPr>
      </w:pPr>
    </w:p>
    <w:bookmarkStart w:id="106" w:name="page107"/>
    <w:bookmarkEnd w:id="10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4" w:lineRule="exact"/>
        <w:rPr>
          <w:sz w:val="20"/>
          <w:szCs w:val="20"/>
          <w:color w:val="auto"/>
        </w:rPr>
      </w:pPr>
    </w:p>
    <w:p>
      <w:pPr>
        <w:ind w:left="540" w:hanging="540"/>
        <w:spacing w:after="0"/>
        <w:tabs>
          <w:tab w:leader="none" w:pos="54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Restructurings</w:t>
      </w:r>
    </w:p>
    <w:p>
      <w:pPr>
        <w:spacing w:after="0" w:line="126" w:lineRule="exact"/>
        <w:rPr>
          <w:rFonts w:ascii="Times New Roman" w:cs="Times New Roman" w:eastAsia="Times New Roman" w:hAnsi="Times New Roman"/>
          <w:sz w:val="20"/>
          <w:szCs w:val="20"/>
          <w:b w:val="1"/>
          <w:bCs w:val="1"/>
          <w:color w:val="auto"/>
        </w:rPr>
      </w:pPr>
    </w:p>
    <w:p>
      <w:pPr>
        <w:ind w:left="5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January 2025 Restructuring</w:t>
      </w:r>
    </w:p>
    <w:p>
      <w:pPr>
        <w:spacing w:after="0" w:line="118"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In January 2025, management committed to a plan that included repositioning to high-growth and lower cost regions and further consolidation of leased facilities in an effort to optimize its cost structure (the “January 2025 Restructuring”). In connection with the plan, the Company incurred $3,085 and $5,760 of total charges for the fiscal years ended March 27, 2026 and March 28, 2025, respectively. The Company incurred $1,562 and $5,121 related to employee severance and other employee-related benefit charges for the fiscal years ended March 27, 2026 and March 28, 2025, respectively. The Company does not expect to incur additional material charges related to the January 2025 Restructuring.</w:t>
      </w:r>
    </w:p>
    <w:p>
      <w:pPr>
        <w:spacing w:after="0" w:line="80"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following table presents restructuring, exit costs and other charges, net as included in the Company’s consolidated statement of operations for the fiscal years ended March 27, 2026 and March 28, 2025 related to the January 2025 Restructuring.</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Cost of goods sold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-151130</wp:posOffset>
                </wp:positionV>
                <wp:extent cx="4666615" cy="18796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6615" cy="187960"/>
                        </a:xfrm>
                        <a:prstGeom prst="rect">
                          <a:avLst/>
                        </a:prstGeom>
                        <a:solidFill>
                          <a:srgbClr val="E2E2E2"/>
                        </a:solidFill>
                      </wps:spPr>
                      <wps:bodyPr/>
                    </wps:wsp>
                  </a:graphicData>
                </a:graphic>
              </wp:anchor>
            </w:drawing>
          </mc:Choice>
          <mc:Fallback>
            <w:pict>
              <v:rect id="Shape 70" o:spid="_x0000_s1095" style="position:absolute;margin-left:0pt;margin-top:-11.8999pt;width:367.45pt;height:14.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p>
      <w:pPr>
        <w:spacing w:after="0" w:line="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Selling, general and administrative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60" w:type="dxa"/>
            <w:vAlign w:val="bottom"/>
          </w:tcPr>
          <w:p>
            <w:pPr>
              <w:spacing w:after="0"/>
              <w:rPr>
                <w:sz w:val="17"/>
                <w:szCs w:val="17"/>
                <w:color w:val="auto"/>
              </w:rPr>
            </w:pPr>
          </w:p>
        </w:tc>
        <w:tc>
          <w:tcPr>
            <w:tcW w:w="3200" w:type="dxa"/>
            <w:vAlign w:val="bottom"/>
            <w:gridSpan w:val="4"/>
          </w:tcPr>
          <w:p>
            <w:pPr>
              <w:jc w:val="right"/>
              <w:ind w:right="1047"/>
              <w:spacing w:after="0"/>
              <w:rPr>
                <w:sz w:val="20"/>
                <w:szCs w:val="20"/>
                <w:color w:val="auto"/>
              </w:rPr>
            </w:pPr>
            <w:r>
              <w:rPr>
                <w:rFonts w:ascii="Times New Roman" w:cs="Times New Roman" w:eastAsia="Times New Roman" w:hAnsi="Times New Roman"/>
                <w:sz w:val="16"/>
                <w:szCs w:val="16"/>
                <w:b w:val="1"/>
                <w:bCs w:val="1"/>
                <w:color w:val="auto"/>
              </w:rPr>
              <w:t>Fiscal Year Ended</w:t>
            </w:r>
          </w:p>
        </w:tc>
      </w:tr>
      <w:tr>
        <w:trPr>
          <w:trHeight w:val="184"/>
        </w:trPr>
        <w:tc>
          <w:tcPr>
            <w:tcW w:w="260" w:type="dxa"/>
            <w:vAlign w:val="bottom"/>
          </w:tcPr>
          <w:p>
            <w:pPr>
              <w:spacing w:after="0"/>
              <w:rPr>
                <w:sz w:val="16"/>
                <w:szCs w:val="16"/>
                <w:color w:val="auto"/>
              </w:rPr>
            </w:pPr>
          </w:p>
        </w:tc>
        <w:tc>
          <w:tcPr>
            <w:tcW w:w="1400" w:type="dxa"/>
            <w:vAlign w:val="bottom"/>
          </w:tcPr>
          <w:p>
            <w:pPr>
              <w:jc w:val="right"/>
              <w:ind w:right="449"/>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March 28,</w:t>
            </w:r>
          </w:p>
        </w:tc>
      </w:tr>
      <w:tr>
        <w:trPr>
          <w:trHeight w:val="203"/>
        </w:trPr>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E2E2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78"/>
        </w:trPr>
        <w:tc>
          <w:tcPr>
            <w:tcW w:w="26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shd w:val="clear" w:color="auto" w:fill="E2E2E2"/>
          </w:tcPr>
          <w:p>
            <w:pPr>
              <w:jc w:val="right"/>
              <w:ind w:right="29"/>
              <w:spacing w:after="0"/>
              <w:rPr>
                <w:sz w:val="20"/>
                <w:szCs w:val="20"/>
                <w:color w:val="auto"/>
              </w:rPr>
            </w:pPr>
            <w:r>
              <w:rPr>
                <w:rFonts w:ascii="Times New Roman" w:cs="Times New Roman" w:eastAsia="Times New Roman" w:hAnsi="Times New Roman"/>
                <w:sz w:val="20"/>
                <w:szCs w:val="20"/>
                <w:color w:val="auto"/>
              </w:rPr>
              <w:t>301</w:t>
            </w:r>
          </w:p>
        </w:tc>
        <w:tc>
          <w:tcPr>
            <w:tcW w:w="180" w:type="dxa"/>
            <w:vAlign w:val="bottom"/>
            <w:shd w:val="clear" w:color="auto" w:fill="E2E2E2"/>
          </w:tcPr>
          <w:p>
            <w:pPr>
              <w:spacing w:after="0"/>
              <w:rPr>
                <w:sz w:val="24"/>
                <w:szCs w:val="24"/>
                <w:color w:val="auto"/>
              </w:rPr>
            </w:pPr>
          </w:p>
        </w:tc>
        <w:tc>
          <w:tcPr>
            <w:tcW w:w="26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1,365</w:t>
            </w:r>
          </w:p>
        </w:tc>
      </w:tr>
      <w:tr>
        <w:trPr>
          <w:trHeight w:val="299"/>
        </w:trPr>
        <w:tc>
          <w:tcPr>
            <w:tcW w:w="260" w:type="dxa"/>
            <w:vAlign w:val="bottom"/>
          </w:tcPr>
          <w:p>
            <w:pPr>
              <w:spacing w:after="0"/>
              <w:rPr>
                <w:sz w:val="24"/>
                <w:szCs w:val="24"/>
                <w:color w:val="auto"/>
              </w:rPr>
            </w:pP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auto"/>
              </w:rPr>
              <w:t>1,801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2,585</w:t>
            </w:r>
          </w:p>
        </w:tc>
      </w:tr>
      <w:tr>
        <w:trPr>
          <w:trHeight w:val="266"/>
        </w:trPr>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20"/>
                <w:szCs w:val="20"/>
                <w:color w:val="auto"/>
              </w:rPr>
              <w:t>983</w:t>
            </w:r>
          </w:p>
        </w:tc>
        <w:tc>
          <w:tcPr>
            <w:tcW w:w="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1,810</w:t>
            </w:r>
          </w:p>
        </w:tc>
      </w:tr>
      <w:tr>
        <w:trPr>
          <w:trHeight w:val="278"/>
        </w:trPr>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auto"/>
              </w:rPr>
              <w:t>3,085</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5,760</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-4660265</wp:posOffset>
                </wp:positionH>
                <wp:positionV relativeFrom="paragraph">
                  <wp:posOffset>-396240</wp:posOffset>
                </wp:positionV>
                <wp:extent cx="6857365" cy="17907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79070"/>
                        </a:xfrm>
                        <a:prstGeom prst="rect">
                          <a:avLst/>
                        </a:prstGeom>
                        <a:solidFill>
                          <a:srgbClr val="E2E2E2"/>
                        </a:solidFill>
                      </wps:spPr>
                      <wps:bodyPr/>
                    </wps:wsp>
                  </a:graphicData>
                </a:graphic>
              </wp:anchor>
            </w:drawing>
          </mc:Choice>
          <mc:Fallback>
            <w:pict>
              <v:rect id="Shape 71" o:spid="_x0000_s1096" style="position:absolute;margin-left:-366.9499pt;margin-top:-31.1999pt;width:539.95pt;height:14.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01" w:lineRule="exact"/>
        <w:rPr>
          <w:sz w:val="20"/>
          <w:szCs w:val="20"/>
          <w:color w:val="auto"/>
        </w:rPr>
      </w:pPr>
    </w:p>
    <w:p>
      <w:pPr>
        <w:sectPr>
          <w:pgSz w:w="12240" w:h="15840" w:orient="portrait"/>
          <w:cols w:equalWidth="0" w:num="2">
            <w:col w:w="6620" w:space="720"/>
            <w:col w:w="3460"/>
          </w:cols>
          <w:pgMar w:left="720" w:top="696" w:right="720" w:bottom="187" w:gutter="0" w:footer="0" w:header="0"/>
          <w:type w:val="continuous"/>
        </w:sectPr>
      </w:pPr>
    </w:p>
    <w:p>
      <w:pPr>
        <w:ind w:left="540"/>
        <w:spacing w:after="0"/>
        <w:rPr>
          <w:sz w:val="20"/>
          <w:szCs w:val="20"/>
          <w:color w:val="auto"/>
        </w:rPr>
      </w:pPr>
      <w:r>
        <w:rPr>
          <w:rFonts w:ascii="Times New Roman" w:cs="Times New Roman" w:eastAsia="Times New Roman" w:hAnsi="Times New Roman"/>
          <w:sz w:val="20"/>
          <w:szCs w:val="20"/>
          <w:color w:val="auto"/>
        </w:rPr>
        <w:t>A summary of changes in the Company’s accrual for employee severance and related expenses related to the January 2025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Restructuring was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40" w:type="dxa"/>
            <w:vAlign w:val="bottom"/>
            <w:tcBorders>
              <w:bottom w:val="single" w:sz="8" w:color="E2E2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Severance</w:t>
            </w:r>
          </w:p>
        </w:tc>
      </w:tr>
      <w:tr>
        <w:trPr>
          <w:trHeight w:val="239"/>
        </w:trPr>
        <w:tc>
          <w:tcPr>
            <w:tcW w:w="88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Balance as of March 29, 2024</w:t>
            </w:r>
          </w:p>
        </w:tc>
        <w:tc>
          <w:tcPr>
            <w:tcW w:w="340" w:type="dxa"/>
            <w:vAlign w:val="bottom"/>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62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8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Costs incurred</w:t>
            </w:r>
          </w:p>
        </w:tc>
        <w:tc>
          <w:tcPr>
            <w:tcW w:w="340" w:type="dxa"/>
            <w:vAlign w:val="bottom"/>
          </w:tcPr>
          <w:p>
            <w:pPr>
              <w:spacing w:after="0"/>
              <w:rPr>
                <w:sz w:val="21"/>
                <w:szCs w:val="21"/>
                <w:color w:val="auto"/>
              </w:rPr>
            </w:pP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5,121</w:t>
            </w:r>
          </w:p>
        </w:tc>
      </w:tr>
      <w:tr>
        <w:trPr>
          <w:trHeight w:val="244"/>
        </w:trPr>
        <w:tc>
          <w:tcPr>
            <w:tcW w:w="88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Cash disbursements</w:t>
            </w:r>
          </w:p>
        </w:tc>
        <w:tc>
          <w:tcPr>
            <w:tcW w:w="340" w:type="dxa"/>
            <w:vAlign w:val="bottom"/>
            <w:shd w:val="clear" w:color="auto" w:fill="E2E2E2"/>
          </w:tcPr>
          <w:p>
            <w:pPr>
              <w:spacing w:after="0"/>
              <w:rPr>
                <w:sz w:val="21"/>
                <w:szCs w:val="21"/>
                <w:color w:val="auto"/>
              </w:rPr>
            </w:pPr>
          </w:p>
        </w:tc>
        <w:tc>
          <w:tcPr>
            <w:tcW w:w="1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(3,910)</w:t>
            </w:r>
          </w:p>
        </w:tc>
      </w:tr>
      <w:tr>
        <w:trPr>
          <w:trHeight w:val="244"/>
        </w:trPr>
        <w:tc>
          <w:tcPr>
            <w:tcW w:w="884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3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436</w:t>
            </w:r>
          </w:p>
        </w:tc>
      </w:tr>
      <w:tr>
        <w:trPr>
          <w:trHeight w:val="239"/>
        </w:trPr>
        <w:tc>
          <w:tcPr>
            <w:tcW w:w="88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Balance as of March 28, 2025</w:t>
            </w:r>
          </w:p>
        </w:tc>
        <w:tc>
          <w:tcPr>
            <w:tcW w:w="340" w:type="dxa"/>
            <w:vAlign w:val="bottom"/>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62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1,647</w:t>
            </w:r>
          </w:p>
        </w:tc>
      </w:tr>
      <w:tr>
        <w:trPr>
          <w:trHeight w:val="244"/>
        </w:trPr>
        <w:tc>
          <w:tcPr>
            <w:tcW w:w="8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Costs incurred</w:t>
            </w:r>
          </w:p>
        </w:tc>
        <w:tc>
          <w:tcPr>
            <w:tcW w:w="340" w:type="dxa"/>
            <w:vAlign w:val="bottom"/>
          </w:tcPr>
          <w:p>
            <w:pPr>
              <w:spacing w:after="0"/>
              <w:rPr>
                <w:sz w:val="21"/>
                <w:szCs w:val="21"/>
                <w:color w:val="auto"/>
              </w:rPr>
            </w:pP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1,562</w:t>
            </w:r>
          </w:p>
        </w:tc>
      </w:tr>
      <w:tr>
        <w:trPr>
          <w:trHeight w:val="244"/>
        </w:trPr>
        <w:tc>
          <w:tcPr>
            <w:tcW w:w="884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Cash disbursements</w:t>
            </w:r>
          </w:p>
        </w:tc>
        <w:tc>
          <w:tcPr>
            <w:tcW w:w="340" w:type="dxa"/>
            <w:vAlign w:val="bottom"/>
            <w:shd w:val="clear" w:color="auto" w:fill="E2E2E2"/>
          </w:tcPr>
          <w:p>
            <w:pPr>
              <w:spacing w:after="0"/>
              <w:rPr>
                <w:sz w:val="21"/>
                <w:szCs w:val="21"/>
                <w:color w:val="auto"/>
              </w:rPr>
            </w:pPr>
          </w:p>
        </w:tc>
        <w:tc>
          <w:tcPr>
            <w:tcW w:w="1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(5,114)</w:t>
            </w:r>
          </w:p>
        </w:tc>
      </w:tr>
      <w:tr>
        <w:trPr>
          <w:trHeight w:val="244"/>
        </w:trPr>
        <w:tc>
          <w:tcPr>
            <w:tcW w:w="884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3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2,067</w:t>
            </w:r>
          </w:p>
        </w:tc>
      </w:tr>
      <w:tr>
        <w:trPr>
          <w:trHeight w:val="259"/>
        </w:trPr>
        <w:tc>
          <w:tcPr>
            <w:tcW w:w="884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Balance as of March 27, 2026</w:t>
            </w:r>
          </w:p>
        </w:tc>
        <w:tc>
          <w:tcPr>
            <w:tcW w:w="340" w:type="dxa"/>
            <w:vAlign w:val="bottom"/>
            <w:tcBorders>
              <w:bottom w:val="single" w:sz="8" w:color="auto"/>
            </w:tcBorders>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620" w:type="dxa"/>
            <w:vAlign w:val="bottom"/>
            <w:tcBorders>
              <w:bottom w:val="single" w:sz="8" w:color="auto"/>
            </w:tcBorders>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162</w:t>
            </w:r>
          </w:p>
        </w:tc>
      </w:tr>
      <w:tr>
        <w:trPr>
          <w:trHeight w:val="20"/>
        </w:trPr>
        <w:tc>
          <w:tcPr>
            <w:tcW w:w="8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June 2025 Restructuring</w:t>
      </w:r>
    </w:p>
    <w:p>
      <w:pPr>
        <w:spacing w:after="0" w:line="118"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In June 2025, the Company further consolidated leased facilities and optimized its cost structure through repositioning its workforce to high -growth markets and rebalancing its workforce to lower cost markets (the “June 2025 Restructuring”). In connection with the plan, the Company incurred $10,274 of total charges for the fiscal years ended March 27, 2026 of which $4,826 related to employee severance and other employee-related benefit charges, and $5,027 related to real estate actions. The Company does not expect to incur additional material charges related to the June 2025 Restructuring.</w:t>
      </w:r>
    </w:p>
    <w:p>
      <w:pPr>
        <w:spacing w:after="0" w:line="77" w:lineRule="exact"/>
        <w:rPr>
          <w:sz w:val="20"/>
          <w:szCs w:val="20"/>
          <w:color w:val="auto"/>
        </w:rPr>
      </w:pPr>
    </w:p>
    <w:p>
      <w:pPr>
        <w:jc w:val="both"/>
        <w:ind w:firstLine="547"/>
        <w:spacing w:after="0" w:line="277" w:lineRule="auto"/>
        <w:rPr>
          <w:sz w:val="20"/>
          <w:szCs w:val="20"/>
          <w:color w:val="auto"/>
        </w:rPr>
      </w:pPr>
      <w:r>
        <w:rPr>
          <w:rFonts w:ascii="Times New Roman" w:cs="Times New Roman" w:eastAsia="Times New Roman" w:hAnsi="Times New Roman"/>
          <w:sz w:val="20"/>
          <w:szCs w:val="20"/>
          <w:color w:val="auto"/>
        </w:rPr>
        <w:t>The following table presents restructuring, exit costs and other charges, net as included in the Company’s consolidated statement of operations for the fiscal year ended March 27, 2026 related to the June 2025 Restructuring.</w:t>
      </w:r>
    </w:p>
    <w:p>
      <w:pPr>
        <w:sectPr>
          <w:pgSz w:w="12240" w:h="15840" w:orient="portrait"/>
          <w:cols w:equalWidth="0" w:num="1">
            <w:col w:w="10800"/>
          </w:cols>
          <w:pgMar w:left="720" w:top="696" w:right="720" w:bottom="1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Cost of goods sold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-151130</wp:posOffset>
                </wp:positionV>
                <wp:extent cx="5623560" cy="16383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23560" cy="163830"/>
                        </a:xfrm>
                        <a:prstGeom prst="rect">
                          <a:avLst/>
                        </a:prstGeom>
                        <a:solidFill>
                          <a:srgbClr val="E2E2E2"/>
                        </a:solidFill>
                      </wps:spPr>
                      <wps:bodyPr/>
                    </wps:wsp>
                  </a:graphicData>
                </a:graphic>
              </wp:anchor>
            </w:drawing>
          </mc:Choice>
          <mc:Fallback>
            <w:pict>
              <v:rect id="Shape 72" o:spid="_x0000_s1097" style="position:absolute;margin-left:0pt;margin-top:-11.8999pt;width:442.8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wp:posOffset>
                </wp:positionV>
                <wp:extent cx="6858000" cy="15430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54305"/>
                        </a:xfrm>
                        <a:prstGeom prst="rect">
                          <a:avLst/>
                        </a:prstGeom>
                        <a:solidFill>
                          <a:srgbClr val="E2E2E2"/>
                        </a:solidFill>
                      </wps:spPr>
                      <wps:bodyPr/>
                    </wps:wsp>
                  </a:graphicData>
                </a:graphic>
              </wp:anchor>
            </w:drawing>
          </mc:Choice>
          <mc:Fallback>
            <w:pict>
              <v:rect id="Shape 73" o:spid="_x0000_s1098" style="position:absolute;margin-left:0pt;margin-top:-0.0999pt;width:540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ind w:left="200"/>
        <w:spacing w:after="0"/>
        <w:rPr>
          <w:sz w:val="20"/>
          <w:szCs w:val="20"/>
          <w:color w:val="auto"/>
        </w:rPr>
      </w:pPr>
      <w:r>
        <w:rPr>
          <w:rFonts w:ascii="Times New Roman" w:cs="Times New Roman" w:eastAsia="Times New Roman" w:hAnsi="Times New Roman"/>
          <w:sz w:val="19"/>
          <w:szCs w:val="19"/>
          <w:color w:val="auto"/>
        </w:rPr>
        <w:t>Selling, general and administrative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r>
      <w:tr>
        <w:trPr>
          <w:trHeight w:val="174"/>
        </w:trPr>
        <w:tc>
          <w:tcPr>
            <w:tcW w:w="200" w:type="dxa"/>
            <w:vAlign w:val="bottom"/>
          </w:tcPr>
          <w:p>
            <w:pPr>
              <w:spacing w:after="0"/>
              <w:rPr>
                <w:sz w:val="15"/>
                <w:szCs w:val="15"/>
                <w:color w:val="auto"/>
              </w:rPr>
            </w:pPr>
          </w:p>
        </w:tc>
        <w:tc>
          <w:tcPr>
            <w:tcW w:w="1740" w:type="dxa"/>
            <w:vAlign w:val="bottom"/>
          </w:tcPr>
          <w:p>
            <w:pPr>
              <w:jc w:val="center"/>
              <w:ind w:right="189"/>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March 27,</w:t>
            </w:r>
          </w:p>
        </w:tc>
      </w:tr>
      <w:tr>
        <w:trPr>
          <w:trHeight w:val="203"/>
        </w:trPr>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6"/>
                <w:szCs w:val="16"/>
                <w:b w:val="1"/>
                <w:bCs w:val="1"/>
                <w:color w:val="auto"/>
                <w:w w:val="99"/>
              </w:rPr>
              <w:t>2026</w:t>
            </w:r>
          </w:p>
        </w:tc>
      </w:tr>
      <w:tr>
        <w:trPr>
          <w:trHeight w:val="239"/>
        </w:trPr>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1,559</w:t>
            </w:r>
          </w:p>
        </w:tc>
      </w:tr>
      <w:tr>
        <w:trPr>
          <w:trHeight w:val="239"/>
        </w:trPr>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2,931</w:t>
            </w:r>
          </w:p>
        </w:tc>
      </w:tr>
      <w:tr>
        <w:trPr>
          <w:trHeight w:val="249"/>
        </w:trPr>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5,784</w:t>
            </w:r>
          </w:p>
        </w:tc>
      </w:tr>
      <w:tr>
        <w:trPr>
          <w:trHeight w:val="239"/>
        </w:trPr>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10,274</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8140" w:space="720"/>
            <w:col w:w="1940"/>
          </w:cols>
          <w:pgMar w:left="720" w:top="696" w:right="720" w:bottom="1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F-42</w:t>
      </w:r>
    </w:p>
    <w:p>
      <w:pPr>
        <w:sectPr>
          <w:pgSz w:w="12240" w:h="15840" w:orient="portrait"/>
          <w:cols w:equalWidth="0" w:num="1">
            <w:col w:w="10800"/>
          </w:cols>
          <w:pgMar w:left="720" w:top="696" w:right="720" w:bottom="187" w:gutter="0" w:footer="0" w:header="0"/>
          <w:type w:val="continuous"/>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 summary of changes in the Company’s accrual for employee severance and related expenses related to the June 2025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Restructuring was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60" w:type="dxa"/>
            <w:vAlign w:val="bottom"/>
            <w:tcBorders>
              <w:bottom w:val="single" w:sz="8" w:color="E2E2E2"/>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Severance</w:t>
            </w:r>
          </w:p>
        </w:tc>
      </w:tr>
      <w:tr>
        <w:trPr>
          <w:trHeight w:val="239"/>
        </w:trPr>
        <w:tc>
          <w:tcPr>
            <w:tcW w:w="88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Balance as of March 28, 2025</w:t>
            </w:r>
          </w:p>
        </w:tc>
        <w:tc>
          <w:tcPr>
            <w:tcW w:w="340" w:type="dxa"/>
            <w:vAlign w:val="bottom"/>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8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Costs incurred</w:t>
            </w:r>
          </w:p>
        </w:tc>
        <w:tc>
          <w:tcPr>
            <w:tcW w:w="340" w:type="dxa"/>
            <w:vAlign w:val="bottom"/>
          </w:tcPr>
          <w:p>
            <w:pPr>
              <w:spacing w:after="0"/>
              <w:rPr>
                <w:sz w:val="21"/>
                <w:szCs w:val="21"/>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4,826</w:t>
            </w:r>
          </w:p>
        </w:tc>
      </w:tr>
      <w:tr>
        <w:trPr>
          <w:trHeight w:val="244"/>
        </w:trPr>
        <w:tc>
          <w:tcPr>
            <w:tcW w:w="88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Cash disbursements</w:t>
            </w:r>
          </w:p>
        </w:tc>
        <w:tc>
          <w:tcPr>
            <w:tcW w:w="340" w:type="dxa"/>
            <w:vAlign w:val="bottom"/>
            <w:shd w:val="clear" w:color="auto" w:fill="E2E2E2"/>
          </w:tcPr>
          <w:p>
            <w:pPr>
              <w:spacing w:after="0"/>
              <w:rPr>
                <w:sz w:val="21"/>
                <w:szCs w:val="21"/>
                <w:color w:val="auto"/>
              </w:rPr>
            </w:pPr>
          </w:p>
        </w:tc>
        <w:tc>
          <w:tcPr>
            <w:tcW w:w="16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(2,726)</w:t>
            </w:r>
          </w:p>
        </w:tc>
      </w:tr>
      <w:tr>
        <w:trPr>
          <w:trHeight w:val="244"/>
        </w:trPr>
        <w:tc>
          <w:tcPr>
            <w:tcW w:w="886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3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w:t>
            </w:r>
          </w:p>
        </w:tc>
      </w:tr>
      <w:tr>
        <w:trPr>
          <w:trHeight w:val="239"/>
        </w:trPr>
        <w:tc>
          <w:tcPr>
            <w:tcW w:w="88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Balance as of March 27, 2026</w:t>
            </w:r>
          </w:p>
        </w:tc>
        <w:tc>
          <w:tcPr>
            <w:tcW w:w="340" w:type="dxa"/>
            <w:vAlign w:val="bottom"/>
            <w:tcBorders>
              <w:bottom w:val="single" w:sz="8" w:color="auto"/>
            </w:tcBorders>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tcBorders>
              <w:bottom w:val="single" w:sz="8" w:color="auto"/>
            </w:tcBorders>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auto"/>
              </w:rPr>
              <w:t>1,817</w:t>
            </w:r>
          </w:p>
        </w:tc>
      </w:tr>
      <w:tr>
        <w:trPr>
          <w:trHeight w:val="20"/>
        </w:trPr>
        <w:tc>
          <w:tcPr>
            <w:tcW w:w="8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540" w:hanging="540"/>
        <w:spacing w:after="0"/>
        <w:tabs>
          <w:tab w:leader="none" w:pos="54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w:t>
      </w:r>
    </w:p>
    <w:p>
      <w:pPr>
        <w:spacing w:after="0" w:line="126" w:lineRule="exact"/>
        <w:rPr>
          <w:rFonts w:ascii="Times New Roman" w:cs="Times New Roman" w:eastAsia="Times New Roman" w:hAnsi="Times New Roman"/>
          <w:sz w:val="20"/>
          <w:szCs w:val="20"/>
          <w:b w:val="1"/>
          <w:bCs w:val="1"/>
          <w:color w:val="auto"/>
        </w:rPr>
      </w:pPr>
    </w:p>
    <w:p>
      <w:pPr>
        <w:ind w:left="5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Share repurchase transactions with Sanken</w:t>
      </w:r>
    </w:p>
    <w:p>
      <w:pPr>
        <w:spacing w:after="0" w:line="118" w:lineRule="exact"/>
        <w:rPr>
          <w:sz w:val="20"/>
          <w:szCs w:val="20"/>
          <w:color w:val="auto"/>
        </w:rPr>
      </w:pP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On July 23, 2024, the Company entered into a share repurchase agreement with Sanken (the “Share Repurchase Agreement”) pursuant to which the Company agreed to repurchase 38,767,315 shares of the Company’s common stock from Sanken in a privately negotiated transaction at a price per share equal to the price per share at which the underwriters in a public underwritten equity offering of shares of our common stock would purchase the shares (the “Equity Offering”). The repurchase of shares of common stock occurred in two separate closings, with the first closing taking place after the closing of the Equity Offering (the “First Closing”) and the second closing (the “Second Closing”) occurring after the receipt of the proceeds from the borrowings under the Refinanced 2023 Term Loan Facility. The First Closing of the share repurchase was conditioned upon the closing of the Equity Offering and certain other conditions, and the Second Closing of the share repurchase was conditioned upon the receipt of net proceeds of no less than $300,000 from incremental term loans under the Refinanced 2023 Term Loan Facility. Pursuant to the terms of the Share Repurchase Agreement, Sanken reimbursed the Company for the expenses incurred by the Company in connection with the transactions contemplated by the Share Repurchase Agreement, and paid a facilitation fee of $35,000, which was recorded within additional paid-in-capital with the consolidated statements of changes in equity.</w:t>
      </w:r>
    </w:p>
    <w:p>
      <w:pPr>
        <w:spacing w:after="0" w:line="86" w:lineRule="exact"/>
        <w:rPr>
          <w:sz w:val="20"/>
          <w:szCs w:val="20"/>
          <w:color w:val="auto"/>
        </w:rPr>
      </w:pPr>
    </w:p>
    <w:p>
      <w:pPr>
        <w:jc w:val="both"/>
        <w:ind w:firstLine="547"/>
        <w:spacing w:after="0" w:line="247" w:lineRule="auto"/>
        <w:rPr>
          <w:sz w:val="20"/>
          <w:szCs w:val="20"/>
          <w:color w:val="auto"/>
        </w:rPr>
      </w:pPr>
      <w:r>
        <w:rPr>
          <w:rFonts w:ascii="Times New Roman" w:cs="Times New Roman" w:eastAsia="Times New Roman" w:hAnsi="Times New Roman"/>
          <w:sz w:val="20"/>
          <w:szCs w:val="20"/>
          <w:color w:val="auto"/>
        </w:rPr>
        <w:t>To fund the First Closing, the Company entered into an underwriting agreement (the “Underwriting Agreement”) with Barclays Capital Inc. and Morgan Stanley &amp; Co. LLC, as representatives of the several underwriters (the “Underwriters”), on July 24, 2024, pursuant to which the Company agreed to sell 25,000,000 shares of the Company’s common stock to the Underwriters at a price of $23.16 per share. Under the terms of the Underwriting Agreement, the Company granted the Underwriters a 30-day option to purchase up to an additional 3,750,000 shares of the Company’s common stock at the same purchase price, which option was exercised in full prior to the closing of the Equity Offering.</w:t>
      </w:r>
    </w:p>
    <w:p>
      <w:pPr>
        <w:spacing w:after="0" w:line="80"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On July 26, 2024, the Company completed the Equity Offering pursuant to the Underwriting Agreement of 28,750,000 shares of its common stock at a public offering price of $24.00 per share resulting in net proceeds to the Company of approximately $665,850, after deducting $24,150 of underwriting discounts. As described above, the Company used the net proceeds of the Equity Offering to complete the First Closing under the Share Repurchase Agreement.</w:t>
      </w:r>
    </w:p>
    <w:p>
      <w:pPr>
        <w:spacing w:after="0" w:line="74"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On July 29, 2024, the Company completed the First Closing under the Share Repurchase Agreement, repurchasing 28,750,000 shares of the Company’s common stock for aggregate consideration of $628,256, which was the Equity Offering price, less the facilitation fee of $35,000, underwriting discounts, and reimbursable transaction expenses. The shares repurchased in the First Closing were retired.</w:t>
      </w:r>
    </w:p>
    <w:p>
      <w:pPr>
        <w:spacing w:after="0" w:line="74"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On August 7, 2024, the Company completed the Second Closing under the Share Repurchase Agreement, repurchasing 10,017,315 shares of the Company’s common stock for aggregate cash consideration of $225,549, which was the Equity Offering price, less underwriting discounts and reimbursable transaction expenses. The Company used a portion of the proceeds from the Refinanced 2023 Term Loan Facility and existing cash on hand to complete the Second Closing. The shares repurchased in the Second Closing were also retired.</w:t>
      </w:r>
    </w:p>
    <w:p>
      <w:pPr>
        <w:spacing w:after="0" w:line="77"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The Share Repurchase Agreement was accounted for as a forward repurchase contract as there were certain terms that could have caused the obligation not to be fulfilled. Accordingly, the contract was initially recorded as a liability at its fair value with subsequent remeasurements recognized in loss on change in fair value of forward repurchase contract until the completion of the First Closing and Second Closing. The Company recognized a loss of $34,752 as a result of the fair value forward repurchase contract in the consolidated statements of operations.</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F-43</w:t>
      </w:r>
    </w:p>
    <w:p>
      <w:pPr>
        <w:sectPr>
          <w:pgSz w:w="12240" w:h="15840" w:orient="portrait"/>
          <w:cols w:equalWidth="0" w:num="1">
            <w:col w:w="10800"/>
          </w:cols>
          <w:pgMar w:left="720" w:top="696" w:right="720" w:bottom="187" w:gutter="0" w:footer="0" w:header="0"/>
          <w:type w:val="continuous"/>
        </w:sectPr>
      </w:pPr>
    </w:p>
    <w:bookmarkStart w:id="108" w:name="page109"/>
    <w:bookmarkEnd w:id="10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48" w:lineRule="exact"/>
        <w:rPr>
          <w:sz w:val="20"/>
          <w:szCs w:val="20"/>
          <w:color w:val="auto"/>
        </w:rPr>
      </w:pPr>
    </w:p>
    <w:p>
      <w:pPr>
        <w:jc w:val="both"/>
        <w:ind w:firstLine="547"/>
        <w:spacing w:after="0" w:line="249" w:lineRule="auto"/>
        <w:rPr>
          <w:sz w:val="20"/>
          <w:szCs w:val="20"/>
          <w:color w:val="auto"/>
        </w:rPr>
      </w:pPr>
      <w:r>
        <w:rPr>
          <w:rFonts w:ascii="Times New Roman" w:cs="Times New Roman" w:eastAsia="Times New Roman" w:hAnsi="Times New Roman"/>
          <w:sz w:val="20"/>
          <w:szCs w:val="20"/>
          <w:color w:val="auto"/>
        </w:rPr>
        <w:t>In connection with the Share Repurchase Agreement, the Company entered into a Second Amended and Restated Stockholders Agreement with Sanken (the “Second Amended and Restated Stockholders Agreement”), which amended and restated the Amended and Restated Stockholders Agreement, dated as of June 16, 2022, by and among the Company, Sanken and OEP SKNA, L.P. (“OEP”). The Second Amended and Restated Stockholders Agreement, which became effective in accordance with its terms on July 29, 2024, removed OEP as a party and amended certain rights and obligations of the Company and Sanken.</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Other transactions involving Sanken</w:t>
      </w:r>
    </w:p>
    <w:p>
      <w:pPr>
        <w:spacing w:after="0" w:line="118" w:lineRule="exact"/>
        <w:rPr>
          <w:sz w:val="20"/>
          <w:szCs w:val="20"/>
          <w:color w:val="auto"/>
        </w:rPr>
      </w:pPr>
    </w:p>
    <w:p>
      <w:pPr>
        <w:jc w:val="both"/>
        <w:ind w:firstLine="547"/>
        <w:spacing w:after="0" w:line="252" w:lineRule="auto"/>
        <w:rPr>
          <w:sz w:val="20"/>
          <w:szCs w:val="20"/>
          <w:color w:val="auto"/>
        </w:rPr>
      </w:pPr>
      <w:r>
        <w:rPr>
          <w:rFonts w:ascii="Times New Roman" w:cs="Times New Roman" w:eastAsia="Times New Roman" w:hAnsi="Times New Roman"/>
          <w:sz w:val="20"/>
          <w:szCs w:val="20"/>
          <w:color w:val="auto"/>
        </w:rPr>
        <w:t>Net sales of the Company’s products to Sanken totaled $6,161 for the fiscal year ended March 29, 2024, and are included in net sales to related party in the consolidated statements of operations. Although certain costs are shared or allocated, cost of goods sold and gross margins attributable to related party sales are consistent with those of third-party customers. There were no trade accounts receivable, net from Sanken as of March 27, 2026 or March 28, 2025.</w:t>
      </w:r>
    </w:p>
    <w:p>
      <w:pPr>
        <w:spacing w:after="0" w:line="74" w:lineRule="exact"/>
        <w:rPr>
          <w:sz w:val="20"/>
          <w:szCs w:val="20"/>
          <w:color w:val="auto"/>
        </w:rPr>
      </w:pPr>
    </w:p>
    <w:p>
      <w:pPr>
        <w:ind w:left="540" w:right="1140"/>
        <w:spacing w:after="0" w:line="365" w:lineRule="auto"/>
        <w:rPr>
          <w:sz w:val="20"/>
          <w:szCs w:val="20"/>
          <w:color w:val="auto"/>
        </w:rPr>
      </w:pPr>
      <w:r>
        <w:rPr>
          <w:rFonts w:ascii="Times New Roman" w:cs="Times New Roman" w:eastAsia="Times New Roman" w:hAnsi="Times New Roman"/>
          <w:sz w:val="20"/>
          <w:szCs w:val="20"/>
          <w:color w:val="auto"/>
        </w:rPr>
        <w:t xml:space="preserve">As of March 27, 2026, Sanken held approximately 32.2% of the Company’s outstanding shares of common stock. </w:t>
      </w:r>
      <w:r>
        <w:rPr>
          <w:rFonts w:ascii="Times New Roman" w:cs="Times New Roman" w:eastAsia="Times New Roman" w:hAnsi="Times New Roman"/>
          <w:sz w:val="20"/>
          <w:szCs w:val="20"/>
          <w:i w:val="1"/>
          <w:iCs w:val="1"/>
          <w:color w:val="auto"/>
        </w:rPr>
        <w:t>Sanken Distribution Agreement</w:t>
      </w:r>
    </w:p>
    <w:p>
      <w:pPr>
        <w:jc w:val="both"/>
        <w:ind w:firstLine="547"/>
        <w:spacing w:after="0" w:line="243" w:lineRule="auto"/>
        <w:rPr>
          <w:sz w:val="20"/>
          <w:szCs w:val="20"/>
          <w:color w:val="auto"/>
        </w:rPr>
      </w:pPr>
      <w:r>
        <w:rPr>
          <w:rFonts w:ascii="Times New Roman" w:cs="Times New Roman" w:eastAsia="Times New Roman" w:hAnsi="Times New Roman"/>
          <w:sz w:val="20"/>
          <w:szCs w:val="20"/>
          <w:color w:val="auto"/>
        </w:rPr>
        <w:t>On March 30, 2023, the Company entered into a termination of the distribution agreement with Sanken (the “Termination Agreement”). The Termination Agreement formally terminated the distribution agreement dated as of July 5, 2007, by and between the Company and Sanken (the “Distribution Agreement”), effective March 31, 2023. In connection with the termination of the Distribution Agreement, and, as provided for in the Termination Agreement, the Company made a one-time payment of $5,000 to Sanken in exchange for the cancellation of Sanken’s exclusive distribution rights in Japan. Concurrent with the Termination Agreement, AML and Sanken also entered into a short-term, non-exclusive distribution agreement (as amended, the “Short-Term Distribution Agreement”) and a consulting agreement (the “Consulting Agreement”), each of which were effective April 1, 2023. In addition, the Company allowed a one-time sales return from Sanken of resalable inventory of $4,200. The Short-Term Distribution Agreement provided for the management and sale of Company product inventory for a period of 24 months from April 1, 2023. Under the terms of the Consulting Agreement, Sanken agreed to continue to provide transition services for a period of six months from April 1, 2023 to a strategic customer as orders for the customer were transitioned from Sanken to the Company, and the Company agreed to pay Sanken for providing these transition services.</w:t>
      </w:r>
    </w:p>
    <w:p>
      <w:pPr>
        <w:spacing w:after="0" w:line="86" w:lineRule="exact"/>
        <w:rPr>
          <w:sz w:val="20"/>
          <w:szCs w:val="20"/>
          <w:color w:val="auto"/>
        </w:rPr>
      </w:pPr>
    </w:p>
    <w:p>
      <w:pPr>
        <w:jc w:val="both"/>
        <w:ind w:firstLine="547"/>
        <w:spacing w:after="0" w:line="258" w:lineRule="auto"/>
        <w:rPr>
          <w:sz w:val="20"/>
          <w:szCs w:val="20"/>
          <w:color w:val="auto"/>
        </w:rPr>
      </w:pPr>
      <w:r>
        <w:rPr>
          <w:rFonts w:ascii="Times New Roman" w:cs="Times New Roman" w:eastAsia="Times New Roman" w:hAnsi="Times New Roman"/>
          <w:sz w:val="20"/>
          <w:szCs w:val="20"/>
          <w:color w:val="auto"/>
        </w:rPr>
        <w:t>On March 31, 2025, the Company and Sanken entered into an amendment to the Short-Term Distribution Agreement to extend the term by twelve months. During the fiscal year ended March 27, 2026, no payments were made by the Company to Sanken under the Short-Term Distribution Agreement or the Consulting Agreement.</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Transactions involving Polar Semiconductor, LLC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PSL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t>
      </w:r>
    </w:p>
    <w:p>
      <w:pPr>
        <w:spacing w:after="0" w:line="120"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19"/>
          <w:szCs w:val="19"/>
          <w:color w:val="auto"/>
        </w:rPr>
        <w:t>On April 25, 2024, the Company, Sanken, PSL and PS Investment Aggregator, L.P. (“Subscriber”) entered into a Sale and Subscription Agreement (the “PSL Agreement”), pursuant to which Subscriber and certain of its affiliates agreed to make capital contributions to PSL of $175,000 in exchange for equity interests in PSL, which closed on September 20, 2024 (the “PSL Closing”). As contemplated by the PSL Agreement, the Company agreed to discharge all outstanding PSL Promissory Notes held by the Company for a value of $10,350 in exchange for PSL equity interests. Following the PSL Closing, the Company owned approximately 10.2% of PSL. As a result of PSL’s share issuance to Subscriber, the Company recognized a net loss of $2,804 primarily related to the difference between the selling price per share and its carrying amount per share and after a gain from the conversion of the PSL Promissory Notes. The loss is included in Other income (expense), net in the consolidated statements of operations.</w:t>
      </w:r>
    </w:p>
    <w:p>
      <w:pPr>
        <w:spacing w:after="0" w:line="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For the fiscal year ended March 27, 2026, the Company made advanced payments for products of $15,000.</w:t>
      </w:r>
    </w:p>
    <w:p>
      <w:pPr>
        <w:spacing w:after="0" w:line="120"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At the PSL Closing, the Company, Sanken and Subscriber entered into an amended and restated limited partnership agreement (the “Limited Partnership Agreement”) with Polar Semiconductor GP I, LLC. The Limited Partnership Agreement contains representations, warranties and covenants of the parties customary for a transaction of this type, the reimbursement of expenses and costs, and restrictions on transfers.</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F-44</w:t>
      </w:r>
    </w:p>
    <w:p>
      <w:pPr>
        <w:sectPr>
          <w:pgSz w:w="12240" w:h="15840" w:orient="portrait"/>
          <w:cols w:equalWidth="0" w:num="1">
            <w:col w:w="10800"/>
          </w:cols>
          <w:pgMar w:left="720" w:top="696" w:right="720" w:bottom="187" w:gutter="0" w:footer="0" w:header="0"/>
          <w:type w:val="continuous"/>
        </w:sectPr>
      </w:pPr>
    </w:p>
    <w:bookmarkStart w:id="109" w:name="page110"/>
    <w:bookmarkEnd w:id="10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Notes Receivable from PSL</w:t>
      </w:r>
    </w:p>
    <w:p>
      <w:pPr>
        <w:spacing w:after="0" w:line="118" w:lineRule="exact"/>
        <w:rPr>
          <w:sz w:val="20"/>
          <w:szCs w:val="20"/>
          <w:color w:val="auto"/>
        </w:rPr>
      </w:pPr>
    </w:p>
    <w:p>
      <w:pPr>
        <w:jc w:val="both"/>
        <w:ind w:firstLine="540"/>
        <w:spacing w:after="0" w:line="245" w:lineRule="auto"/>
        <w:rPr>
          <w:sz w:val="20"/>
          <w:szCs w:val="20"/>
          <w:color w:val="auto"/>
        </w:rPr>
      </w:pPr>
      <w:r>
        <w:rPr>
          <w:rFonts w:ascii="Times New Roman" w:cs="Times New Roman" w:eastAsia="Times New Roman" w:hAnsi="Times New Roman"/>
          <w:sz w:val="20"/>
          <w:szCs w:val="20"/>
          <w:color w:val="auto"/>
        </w:rPr>
        <w:t>On December 2, 2021, AML entered into a loan agreement with PSL wherein PSL provided an initial promissory note to AML for a principal amount of $7,500 (the “Initial PSL Loan”). The Initial PSL Loan was to be repaid in equal installments, comprised of principal and interest accrued at 1.26% per annum, over a term of four years, with payments due on the first day of each calendar year quarter (April 1, July 1, October 1, and January 1). On July 1, 2022, PSL borrowed an additional $7,500 under the same terms of the Initial PSL Loan (the “Secondary PSL Loan” and, together with the Initial PSL Loan, the “PSL Promissory Notes”). The Secondary PSL Loan was to be repaid in equal installments, comprised of principal and interest accrued at 2.99% per annum, over a term of four years, with payments due on the first day of each calendar year quarter (April 1, July 1, October 1, and January 1). The PSL Promissory Notes were discharged in full in connection with the PSL Closing.</w:t>
      </w:r>
    </w:p>
    <w:p>
      <w:pPr>
        <w:spacing w:after="0" w:line="82"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Prior to the discharge, during the year ended March 28, 2025, PSL made required quarterly payments to AML totaling $1,964, which included $89 of interest. The remaining outstanding principal balance and accrued interest on the PSL Promissory Notes of $6,596 was discharged in full in connection with the PSL Agreement.</w:t>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Other Transactions involving PSL</w:t>
      </w:r>
    </w:p>
    <w:p>
      <w:pPr>
        <w:spacing w:after="0" w:line="118"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Company purchases products from PSL. Purchases of various products from PSL totaled $62,468, $55,001 and $60,426 for the fiscal years ended March 27, 2026, March 28, 2025, and March 29, 2024, respectively. Accounts payable to PSL included in amounts due to related party totaled $4,794 and $6,535 as of March 27, 2026 and March 28, 2025, respectively.</w:t>
      </w:r>
    </w:p>
    <w:p>
      <w:pPr>
        <w:spacing w:after="0" w:line="68"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Company recorded a net loss of $9,399, net gain of $1,176, and net loss of $538 for the fiscal years ended March 27, 2026, March 28, 2025, and March 29, 2024, respectively, related to the Company’s partnership investment in PSL included in (loss) income in earnings of equity investment.</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F-45</w:t>
      </w:r>
    </w:p>
    <w:p>
      <w:pPr>
        <w:sectPr>
          <w:pgSz w:w="12240" w:h="15840" w:orient="portrait"/>
          <w:cols w:equalWidth="0" w:num="1">
            <w:col w:w="10800"/>
          </w:cols>
          <w:pgMar w:left="720" w:top="696" w:right="720" w:bottom="187" w:gutter="0" w:footer="0" w:header="0"/>
          <w:type w:val="continuous"/>
        </w:sectPr>
      </w:pPr>
    </w:p>
    <w:bookmarkStart w:id="110" w:name="page111"/>
    <w:bookmarkEnd w:id="110"/>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971550</wp:posOffset>
                </wp:positionH>
                <wp:positionV relativeFrom="page">
                  <wp:posOffset>1532890</wp:posOffset>
                </wp:positionV>
                <wp:extent cx="103505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50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6.5pt,120.7pt" to="158pt,120.7pt" o:allowincell="f" strokecolor="#000000" strokeweight="1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LEADERSHIP TEAM</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Michael C. Doogue</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President and Chief Executive Officer</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Derek P. D’Antilio</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EVP, Chief Financial Officer and Treasurer</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Sharon S. Briansky</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SVP, General Counsel and Secretary</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Troy T. Coleman</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SVP, General Manager, Products</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Erin E. Hagen</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SVP, Chief Human Resources Officer</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lan Kent</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SVP, Operations</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Richard A. Madormo</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SVP, Worldwide Sales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255905</wp:posOffset>
                </wp:positionV>
                <wp:extent cx="63373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7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20.15pt" to="54.4pt,20.15pt" o:allowincell="f" strokecolor="#000000" strokeweight="1pt"/>
            </w:pict>
          </mc:Fallback>
        </mc:AlternateContent>
      </w:r>
    </w:p>
    <w:p>
      <w:pPr>
        <w:spacing w:after="0" w:line="200" w:lineRule="exact"/>
        <w:rPr>
          <w:sz w:val="20"/>
          <w:szCs w:val="20"/>
          <w:color w:val="auto"/>
        </w:rPr>
      </w:pPr>
    </w:p>
    <w:p>
      <w:pPr>
        <w:spacing w:after="0" w:line="24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DIRECTORS</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Joseph (Joe) R. Martin</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Chairman</w:t>
      </w:r>
    </w:p>
    <w:p>
      <w:pPr>
        <w:spacing w:after="0" w:line="33" w:lineRule="exact"/>
        <w:rPr>
          <w:sz w:val="20"/>
          <w:szCs w:val="20"/>
          <w:color w:val="auto"/>
        </w:rPr>
      </w:pPr>
    </w:p>
    <w:p>
      <w:pPr>
        <w:ind w:left="100" w:right="1040"/>
        <w:spacing w:after="0" w:line="312" w:lineRule="auto"/>
        <w:rPr>
          <w:sz w:val="20"/>
          <w:szCs w:val="20"/>
          <w:color w:val="auto"/>
        </w:rPr>
      </w:pPr>
      <w:r>
        <w:rPr>
          <w:rFonts w:ascii="Arial" w:cs="Arial" w:eastAsia="Arial" w:hAnsi="Arial"/>
          <w:sz w:val="17"/>
          <w:szCs w:val="17"/>
          <w:color w:val="auto"/>
        </w:rPr>
        <w:t>Former Co-Chairman and Vice Chairman, Fairchild Semiconductor International, Inc.</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Michael C. Doogue</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President and Chief Executive Officer,</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Allegro MicroSystems, Inc.</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Katsumi Kawashima</w:t>
      </w:r>
    </w:p>
    <w:p>
      <w:pPr>
        <w:spacing w:after="0" w:line="49" w:lineRule="exact"/>
        <w:rPr>
          <w:sz w:val="20"/>
          <w:szCs w:val="20"/>
          <w:color w:val="auto"/>
        </w:rPr>
      </w:pPr>
    </w:p>
    <w:p>
      <w:pPr>
        <w:ind w:left="100" w:right="240"/>
        <w:spacing w:after="0" w:line="281" w:lineRule="auto"/>
        <w:rPr>
          <w:sz w:val="20"/>
          <w:szCs w:val="20"/>
          <w:color w:val="auto"/>
        </w:rPr>
      </w:pPr>
      <w:r>
        <w:rPr>
          <w:rFonts w:ascii="Arial" w:cs="Arial" w:eastAsia="Arial" w:hAnsi="Arial"/>
          <w:sz w:val="18"/>
          <w:szCs w:val="18"/>
          <w:color w:val="auto"/>
        </w:rPr>
        <w:t>Senior Vice President and Head of Corporate Design, Sanken Electric Co., Ltd.</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Richard (Dick) R. Lury</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Life Partner, Kelley Drye &amp; Warren LLP</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Susan D. Lynch</w:t>
      </w:r>
    </w:p>
    <w:p>
      <w:pPr>
        <w:spacing w:after="0" w:line="49" w:lineRule="exact"/>
        <w:rPr>
          <w:sz w:val="20"/>
          <w:szCs w:val="20"/>
          <w:color w:val="auto"/>
        </w:rPr>
      </w:pPr>
    </w:p>
    <w:p>
      <w:pPr>
        <w:ind w:left="80"/>
        <w:spacing w:after="0" w:line="281" w:lineRule="auto"/>
        <w:rPr>
          <w:sz w:val="20"/>
          <w:szCs w:val="20"/>
          <w:color w:val="auto"/>
        </w:rPr>
      </w:pPr>
      <w:r>
        <w:rPr>
          <w:rFonts w:ascii="Arial" w:cs="Arial" w:eastAsia="Arial" w:hAnsi="Arial"/>
          <w:sz w:val="18"/>
          <w:szCs w:val="18"/>
          <w:color w:val="auto"/>
        </w:rPr>
        <w:t>Former Senior Vice President and Chief Financial Officer, V2X, Inc.</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8"/>
          <w:szCs w:val="18"/>
          <w:color w:val="auto"/>
        </w:rPr>
        <w:t>Krishna G. Palepu</w:t>
      </w:r>
    </w:p>
    <w:p>
      <w:pPr>
        <w:spacing w:after="0" w:line="49" w:lineRule="exact"/>
        <w:rPr>
          <w:sz w:val="20"/>
          <w:szCs w:val="20"/>
          <w:color w:val="auto"/>
        </w:rPr>
      </w:pPr>
    </w:p>
    <w:p>
      <w:pPr>
        <w:jc w:val="both"/>
        <w:ind w:left="80" w:right="80"/>
        <w:spacing w:after="0" w:line="303" w:lineRule="auto"/>
        <w:rPr>
          <w:sz w:val="20"/>
          <w:szCs w:val="20"/>
          <w:color w:val="auto"/>
        </w:rPr>
      </w:pPr>
      <w:r>
        <w:rPr>
          <w:rFonts w:ascii="Arial" w:cs="Arial" w:eastAsia="Arial" w:hAnsi="Arial"/>
          <w:sz w:val="17"/>
          <w:szCs w:val="17"/>
          <w:color w:val="auto"/>
        </w:rPr>
        <w:t>Baker Foundation Professor of Business Administration, and Senior Associate Dean, Business in Global Society, at the Harvard Business School</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Mary G. Puma</w:t>
      </w:r>
    </w:p>
    <w:p>
      <w:pPr>
        <w:spacing w:after="0" w:line="49" w:lineRule="exact"/>
        <w:rPr>
          <w:sz w:val="20"/>
          <w:szCs w:val="20"/>
          <w:color w:val="auto"/>
        </w:rPr>
      </w:pPr>
    </w:p>
    <w:p>
      <w:pPr>
        <w:ind w:left="80" w:right="820"/>
        <w:spacing w:after="0" w:line="281" w:lineRule="auto"/>
        <w:rPr>
          <w:sz w:val="20"/>
          <w:szCs w:val="20"/>
          <w:color w:val="auto"/>
        </w:rPr>
      </w:pPr>
      <w:r>
        <w:rPr>
          <w:rFonts w:ascii="Arial" w:cs="Arial" w:eastAsia="Arial" w:hAnsi="Arial"/>
          <w:sz w:val="18"/>
          <w:szCs w:val="18"/>
          <w:color w:val="auto"/>
        </w:rPr>
        <w:t>Former President and Chief Executive Officer, Axcelis Technologies, Inc.</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8"/>
          <w:szCs w:val="18"/>
          <w:color w:val="auto"/>
        </w:rPr>
        <w:t>Jennie M. Raubacher</w:t>
      </w:r>
    </w:p>
    <w:p>
      <w:pPr>
        <w:spacing w:after="0" w:line="49"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Former Managing Director,</w:t>
      </w:r>
    </w:p>
    <w:p>
      <w:pPr>
        <w:spacing w:after="0" w:line="33" w:lineRule="exact"/>
        <w:rPr>
          <w:sz w:val="20"/>
          <w:szCs w:val="20"/>
          <w:color w:val="auto"/>
        </w:rPr>
      </w:pPr>
    </w:p>
    <w:p>
      <w:pPr>
        <w:ind w:left="80"/>
        <w:spacing w:after="0"/>
        <w:rPr>
          <w:sz w:val="20"/>
          <w:szCs w:val="20"/>
          <w:color w:val="auto"/>
        </w:rPr>
      </w:pPr>
      <w:r>
        <w:rPr>
          <w:rFonts w:ascii="Arial" w:cs="Arial" w:eastAsia="Arial" w:hAnsi="Arial"/>
          <w:sz w:val="18"/>
          <w:szCs w:val="18"/>
          <w:color w:val="auto"/>
        </w:rPr>
        <w:t>Wells Fargo &amp;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Yoshihiro (Zen) 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1014095</wp:posOffset>
            </wp:positionH>
            <wp:positionV relativeFrom="paragraph">
              <wp:posOffset>-1148080</wp:posOffset>
            </wp:positionV>
            <wp:extent cx="1845945" cy="4711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2">
                      <a:extLst>
                        <a:ext uri="{28A0092B-C50C-407E-A947-70E740481C1C}"/>
                      </a:extLst>
                    </a:blip>
                    <a:srcRect/>
                    <a:stretch>
                      <a:fillRect/>
                    </a:stretch>
                  </pic:blipFill>
                  <pic:spPr bwMode="auto">
                    <a:xfrm>
                      <a:off x="0" y="0"/>
                      <a:ext cx="1845945" cy="47117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Former Senior Vice President, Sanken Electric Co., Ltd.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Brian C. White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Former Chief Financial Officer,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Ambarella, Inc.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Robert J. Willett</w:t>
      </w:r>
    </w:p>
    <w:p>
      <w:pPr>
        <w:spacing w:after="0" w:line="49" w:lineRule="exact"/>
        <w:rPr>
          <w:sz w:val="20"/>
          <w:szCs w:val="20"/>
          <w:color w:val="auto"/>
        </w:rPr>
      </w:pPr>
    </w:p>
    <w:p>
      <w:pPr>
        <w:ind w:right="1020"/>
        <w:spacing w:after="0" w:line="281" w:lineRule="auto"/>
        <w:rPr>
          <w:sz w:val="20"/>
          <w:szCs w:val="20"/>
          <w:color w:val="auto"/>
        </w:rPr>
      </w:pPr>
      <w:r>
        <w:rPr>
          <w:rFonts w:ascii="Arial" w:cs="Arial" w:eastAsia="Arial" w:hAnsi="Arial"/>
          <w:sz w:val="18"/>
          <w:szCs w:val="18"/>
          <w:color w:val="auto"/>
        </w:rPr>
        <w:t>Former President and Chief Executive Officer, Cognex Corporation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219075</wp:posOffset>
                </wp:positionV>
                <wp:extent cx="118300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300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25pt" to="93.15pt,17.25pt" o:allowincell="f" strokecolor="#000000" strokeweight="1pt"/>
            </w:pict>
          </mc:Fallback>
        </mc:AlternateConten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BOARD COMMITTEES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Susan D. Lynch (Chair)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Joseph (Joe) R. Martin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Jennie M. Raubacher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Brian C. White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Robert J. Willett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Mary G. Puma (Chair)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Richard (Dick) R. Lury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Susan D. Lynch</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Brian C. White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Robert J. Willett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Nominating and Governance Committee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Krishna G. Palepu (Chair)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Richard (Dick) R. Lury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Joseph (Joe) R. Martin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Mary G. Puma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243840</wp:posOffset>
                </wp:positionV>
                <wp:extent cx="154241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24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2pt" to="121.45pt,19.2pt" o:allowincell="f" strokecolor="#000000" strokeweight="1pt"/>
            </w:pict>
          </mc:Fallback>
        </mc:AlternateConten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CORPORATE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Corporate Headquarters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955 Perimeter Road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Manchester, NH 03103 USA</w:t>
      </w:r>
    </w:p>
    <w:p>
      <w:pPr>
        <w:spacing w:after="0" w:line="123" w:lineRule="exact"/>
        <w:rPr>
          <w:sz w:val="20"/>
          <w:szCs w:val="20"/>
          <w:color w:val="auto"/>
        </w:rPr>
      </w:pPr>
    </w:p>
    <w:p>
      <w:pPr>
        <w:ind w:right="240"/>
        <w:spacing w:after="0" w:line="281" w:lineRule="auto"/>
        <w:rPr>
          <w:sz w:val="20"/>
          <w:szCs w:val="20"/>
          <w:color w:val="auto"/>
        </w:rPr>
      </w:pPr>
      <w:r>
        <w:rPr>
          <w:rFonts w:ascii="Arial" w:cs="Arial" w:eastAsia="Arial" w:hAnsi="Arial"/>
          <w:sz w:val="18"/>
          <w:szCs w:val="18"/>
          <w:color w:val="auto"/>
        </w:rPr>
        <w:t>For more information about Allegro MicroSystems, Inc., please visit our website at allegromicro.com</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Transfer Agent</w:t>
      </w:r>
    </w:p>
    <w:p>
      <w:pPr>
        <w:spacing w:after="0" w:line="49" w:lineRule="exact"/>
        <w:rPr>
          <w:sz w:val="20"/>
          <w:szCs w:val="20"/>
          <w:color w:val="auto"/>
        </w:rPr>
      </w:pPr>
    </w:p>
    <w:p>
      <w:pPr>
        <w:ind w:right="1940"/>
        <w:spacing w:after="0" w:line="278" w:lineRule="auto"/>
        <w:rPr>
          <w:sz w:val="20"/>
          <w:szCs w:val="20"/>
          <w:color w:val="auto"/>
        </w:rPr>
      </w:pPr>
      <w:r>
        <w:rPr>
          <w:rFonts w:ascii="Arial" w:cs="Arial" w:eastAsia="Arial" w:hAnsi="Arial"/>
          <w:sz w:val="18"/>
          <w:szCs w:val="18"/>
          <w:color w:val="auto"/>
        </w:rPr>
        <w:t>Computershare Investor Services P.O. Box 43006</w:t>
      </w:r>
    </w:p>
    <w:p>
      <w:pPr>
        <w:ind w:right="1880"/>
        <w:spacing w:after="0" w:line="281" w:lineRule="auto"/>
        <w:rPr>
          <w:sz w:val="20"/>
          <w:szCs w:val="20"/>
          <w:color w:val="auto"/>
        </w:rPr>
      </w:pPr>
      <w:r>
        <w:rPr>
          <w:rFonts w:ascii="Arial" w:cs="Arial" w:eastAsia="Arial" w:hAnsi="Arial"/>
          <w:sz w:val="18"/>
          <w:szCs w:val="18"/>
          <w:color w:val="auto"/>
        </w:rPr>
        <w:t>Providence, RI, 02940-3006, USA 1-800-736-3001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Stock Exchange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Allegro MicroSystems, Inc.</w:t>
      </w:r>
    </w:p>
    <w:p>
      <w:pPr>
        <w:spacing w:after="0" w:line="33" w:lineRule="exact"/>
        <w:rPr>
          <w:sz w:val="20"/>
          <w:szCs w:val="20"/>
          <w:color w:val="auto"/>
        </w:rPr>
      </w:pPr>
    </w:p>
    <w:p>
      <w:pPr>
        <w:ind w:right="440"/>
        <w:spacing w:after="0" w:line="281" w:lineRule="auto"/>
        <w:rPr>
          <w:sz w:val="20"/>
          <w:szCs w:val="20"/>
          <w:color w:val="auto"/>
        </w:rPr>
      </w:pPr>
      <w:r>
        <w:rPr>
          <w:rFonts w:ascii="Arial" w:cs="Arial" w:eastAsia="Arial" w:hAnsi="Arial"/>
          <w:sz w:val="18"/>
          <w:szCs w:val="18"/>
          <w:color w:val="auto"/>
        </w:rPr>
        <w:t>Common Stock trades on the NASDAQ Global Select Market, symbol ALGM</w:t>
      </w:r>
    </w:p>
    <w:p>
      <w:pPr>
        <w:sectPr>
          <w:pgSz w:w="12240" w:h="15840" w:orient="portrait"/>
          <w:cols w:equalWidth="0" w:num="2">
            <w:col w:w="4400" w:space="460"/>
            <w:col w:w="4500"/>
          </w:cols>
          <w:pgMar w:left="1440" w:top="1440" w:right="1440" w:bottom="997"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273050</wp:posOffset>
            </wp:positionV>
            <wp:extent cx="7226300" cy="9512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3">
                      <a:extLst>
                        <a:ext uri="{28A0092B-C50C-407E-A947-70E740481C1C}"/>
                      </a:extLst>
                    </a:blip>
                    <a:srcRect/>
                    <a:stretch>
                      <a:fillRect/>
                    </a:stretch>
                  </pic:blipFill>
                  <pic:spPr bwMode="auto">
                    <a:xfrm>
                      <a:off x="0" y="0"/>
                      <a:ext cx="7226300" cy="951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FFFFFF"/>
        </w:rPr>
        <w:t>I N N O V AT I O N W I T H P U R P O S E</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շ"/>
      <w:numFmt w:val="bullet"/>
      <w:start w:val="1"/>
    </w:lvl>
  </w:abstractNum>
  <w:abstractNum w:abstractNumId="1">
    <w:nsid w:val="2443A858"/>
    <w:multiLevelType w:val="hybridMultilevel"/>
    <w:lvl w:ilvl="0">
      <w:lvlJc w:val="left"/>
      <w:lvlText w:val="ն"/>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lowerRoman"/>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2"/>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3"/>
    </w:lvl>
  </w:abstractNum>
  <w:abstractNum w:abstractNumId="24">
    <w:nsid w:val="614FD4A1"/>
    <w:multiLevelType w:val="hybridMultilevel"/>
    <w:lvl w:ilvl="0">
      <w:lvlJc w:val="left"/>
      <w:lvlText w:val="%1."/>
      <w:numFmt w:val="decimal"/>
      <w:start w:val="4"/>
    </w:lvl>
  </w:abstractNum>
  <w:abstractNum w:abstractNumId="25">
    <w:nsid w:val="419AC241"/>
    <w:multiLevelType w:val="hybridMultilevel"/>
    <w:lvl w:ilvl="0">
      <w:lvlJc w:val="left"/>
      <w:lvlText w:val="%1."/>
      <w:numFmt w:val="decimal"/>
      <w:start w:val="5"/>
    </w:lvl>
  </w:abstractNum>
  <w:abstractNum w:abstractNumId="26">
    <w:nsid w:val="5577F8E1"/>
    <w:multiLevelType w:val="hybridMultilevel"/>
    <w:lvl w:ilvl="0">
      <w:lvlJc w:val="left"/>
      <w:lvlText w:val="%1."/>
      <w:numFmt w:val="decimal"/>
      <w:start w:val="6"/>
    </w:lvl>
  </w:abstractNum>
  <w:abstractNum w:abstractNumId="27">
    <w:nsid w:val="440BADFC"/>
    <w:multiLevelType w:val="hybridMultilevel"/>
    <w:lvl w:ilvl="0">
      <w:lvlJc w:val="left"/>
      <w:lvlText w:val="%1."/>
      <w:numFmt w:val="decimal"/>
      <w:start w:val="7"/>
    </w:lvl>
  </w:abstractNum>
  <w:abstractNum w:abstractNumId="28">
    <w:nsid w:val="5072367"/>
    <w:multiLevelType w:val="hybridMultilevel"/>
    <w:lvl w:ilvl="0">
      <w:lvlJc w:val="left"/>
      <w:lvlText w:val="%1."/>
      <w:numFmt w:val="decimal"/>
      <w:start w:val="8"/>
    </w:lvl>
  </w:abstractNum>
  <w:abstractNum w:abstractNumId="29">
    <w:nsid w:val="3804823E"/>
    <w:multiLevelType w:val="hybridMultilevel"/>
    <w:lvl w:ilvl="0">
      <w:lvlJc w:val="left"/>
      <w:lvlText w:val="%1."/>
      <w:numFmt w:val="decimal"/>
      <w:start w:val="9"/>
    </w:lvl>
  </w:abstractNum>
  <w:abstractNum w:abstractNumId="30">
    <w:nsid w:val="77465F01"/>
    <w:multiLevelType w:val="hybridMultilevel"/>
    <w:lvl w:ilvl="0">
      <w:lvlJc w:val="left"/>
      <w:lvlText w:val="%1."/>
      <w:numFmt w:val="decimal"/>
      <w:start w:val="10"/>
    </w:lvl>
  </w:abstractNum>
  <w:abstractNum w:abstractNumId="31">
    <w:nsid w:val="7724C67E"/>
    <w:multiLevelType w:val="hybridMultilevel"/>
    <w:lvl w:ilvl="0">
      <w:lvlJc w:val="left"/>
      <w:lvlText w:val="%1."/>
      <w:numFmt w:val="decimal"/>
      <w:start w:val="11"/>
    </w:lvl>
  </w:abstractNum>
  <w:abstractNum w:abstractNumId="32">
    <w:nsid w:val="5C482A97"/>
    <w:multiLevelType w:val="hybridMultilevel"/>
    <w:lvl w:ilvl="0">
      <w:lvlJc w:val="left"/>
      <w:lvlText w:val="%1."/>
      <w:numFmt w:val="decimal"/>
      <w:start w:val="12"/>
    </w:lvl>
  </w:abstractNum>
  <w:abstractNum w:abstractNumId="33">
    <w:nsid w:val="2463B9EA"/>
    <w:multiLevelType w:val="hybridMultilevel"/>
    <w:lvl w:ilvl="0">
      <w:lvlJc w:val="left"/>
      <w:lvlText w:val="(%1)"/>
      <w:numFmt w:val="lowerLetter"/>
      <w:start w:val="25"/>
    </w:lvl>
  </w:abstractNum>
  <w:abstractNum w:abstractNumId="34">
    <w:nsid w:val="5E884ADC"/>
    <w:multiLevelType w:val="hybridMultilevel"/>
    <w:lvl w:ilvl="0">
      <w:lvlJc w:val="left"/>
      <w:lvlText w:val="%1."/>
      <w:numFmt w:val="decimal"/>
      <w:start w:val="14"/>
    </w:lvl>
  </w:abstractNum>
  <w:abstractNum w:abstractNumId="35">
    <w:nsid w:val="51EAD36B"/>
    <w:multiLevelType w:val="hybridMultilevel"/>
    <w:lvl w:ilvl="0">
      <w:lvlJc w:val="left"/>
      <w:lvlText w:val="%1."/>
      <w:numFmt w:val="decimal"/>
      <w:start w:val="15"/>
    </w:lvl>
  </w:abstractNum>
  <w:abstractNum w:abstractNumId="36">
    <w:nsid w:val="2D517796"/>
    <w:multiLevelType w:val="hybridMultilevel"/>
    <w:lvl w:ilvl="0">
      <w:lvlJc w:val="left"/>
      <w:lvlText w:val="%1."/>
      <w:numFmt w:val="decimal"/>
      <w:start w:val="16"/>
    </w:lvl>
  </w:abstractNum>
  <w:abstractNum w:abstractNumId="37">
    <w:nsid w:val="580BD78F"/>
    <w:multiLevelType w:val="hybridMultilevel"/>
    <w:lvl w:ilvl="0">
      <w:lvlJc w:val="left"/>
      <w:lvlText w:val="%1."/>
      <w:numFmt w:val="decimal"/>
      <w:start w:val="17"/>
    </w:lvl>
  </w:abstractNum>
  <w:abstractNum w:abstractNumId="38">
    <w:nsid w:val="153EA438"/>
    <w:multiLevelType w:val="hybridMultilevel"/>
    <w:lvl w:ilvl="0">
      <w:lvlJc w:val="left"/>
      <w:lvlText w:val="%1."/>
      <w:numFmt w:val="decimal"/>
      <w:start w:val="18"/>
    </w:lvl>
  </w:abstractNum>
  <w:abstractNum w:abstractNumId="39">
    <w:nsid w:val="3855585C"/>
    <w:multiLevelType w:val="hybridMultilevel"/>
    <w:lvl w:ilvl="0">
      <w:lvlJc w:val="left"/>
      <w:lvlText w:val="%1."/>
      <w:numFmt w:val="decimal"/>
      <w:start w:val="19"/>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20"/>
    </w:lvl>
  </w:abstractNum>
  <w:abstractNum w:abstractNumId="42">
    <w:nsid w:val="2A487CB0"/>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2026-06-24T06:37:59Z</dcterms:created>
  <dcterms:modified xsi:type="dcterms:W3CDTF">2026-06-24T06:37:59Z</dcterms:modified>
</cp:coreProperties>
</file>