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wp:posOffset>
            </wp:positionH>
            <wp:positionV relativeFrom="page">
              <wp:posOffset>868680</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894080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1"/>
          <w:szCs w:val="21"/>
          <w:b w:val="1"/>
          <w:bCs w:val="1"/>
          <w:color w:val="auto"/>
        </w:rPr>
        <w:t>UNITED STATES</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19"/>
        <w:spacing w:after="0" w:line="237" w:lineRule="auto"/>
        <w:rPr>
          <w:sz w:val="20"/>
          <w:szCs w:val="20"/>
          <w:color w:val="auto"/>
        </w:rPr>
      </w:pPr>
      <w:r>
        <w:rPr>
          <w:rFonts w:ascii="Arial" w:cs="Arial" w:eastAsia="Arial" w:hAnsi="Arial"/>
          <w:sz w:val="16"/>
          <w:szCs w:val="16"/>
          <w:b w:val="1"/>
          <w:bCs w:val="1"/>
          <w:color w:val="auto"/>
        </w:rPr>
        <w:t>Washington, D.C. 20549</w:t>
      </w:r>
    </w:p>
    <w:p>
      <w:pPr>
        <w:ind w:left="4880"/>
        <w:spacing w:after="0"/>
        <w:rPr>
          <w:sz w:val="20"/>
          <w:szCs w:val="20"/>
          <w:color w:val="auto"/>
        </w:rPr>
      </w:pPr>
      <w:r>
        <w:rPr>
          <w:rFonts w:ascii="Arial" w:cs="Arial" w:eastAsia="Arial" w:hAnsi="Arial"/>
          <w:sz w:val="18"/>
          <w:szCs w:val="18"/>
          <w:color w:val="auto"/>
        </w:rPr>
        <w:t>_________________</w:t>
      </w:r>
    </w:p>
    <w:p>
      <w:pPr>
        <w:jc w:val="center"/>
        <w:ind w:right="-19"/>
        <w:spacing w:after="0" w:line="230" w:lineRule="auto"/>
        <w:rPr>
          <w:sz w:val="20"/>
          <w:szCs w:val="20"/>
          <w:color w:val="auto"/>
        </w:rPr>
      </w:pPr>
      <w:r>
        <w:rPr>
          <w:rFonts w:ascii="Arial" w:cs="Arial" w:eastAsia="Arial" w:hAnsi="Arial"/>
          <w:sz w:val="21"/>
          <w:szCs w:val="21"/>
          <w:b w:val="1"/>
          <w:bCs w:val="1"/>
          <w:color w:val="auto"/>
        </w:rPr>
        <w:t>FORM 8-K</w:t>
      </w:r>
    </w:p>
    <w:p>
      <w:pPr>
        <w:jc w:val="center"/>
        <w:ind w:right="-19"/>
        <w:spacing w:after="0" w:line="238" w:lineRule="auto"/>
        <w:rPr>
          <w:sz w:val="20"/>
          <w:szCs w:val="20"/>
          <w:color w:val="auto"/>
        </w:rPr>
      </w:pPr>
      <w:r>
        <w:rPr>
          <w:rFonts w:ascii="Arial" w:cs="Arial" w:eastAsia="Arial" w:hAnsi="Arial"/>
          <w:sz w:val="16"/>
          <w:szCs w:val="16"/>
          <w:b w:val="1"/>
          <w:bCs w:val="1"/>
          <w:color w:val="auto"/>
        </w:rPr>
        <w:t>CURRENT REPORT</w:t>
      </w:r>
    </w:p>
    <w:p>
      <w:pPr>
        <w:ind w:left="4880"/>
        <w:spacing w:after="0" w:line="233" w:lineRule="auto"/>
        <w:rPr>
          <w:sz w:val="20"/>
          <w:szCs w:val="20"/>
          <w:color w:val="auto"/>
        </w:rPr>
      </w:pPr>
      <w:r>
        <w:rPr>
          <w:rFonts w:ascii="Arial" w:cs="Arial" w:eastAsia="Arial" w:hAnsi="Arial"/>
          <w:sz w:val="18"/>
          <w:szCs w:val="18"/>
          <w:color w:val="auto"/>
        </w:rPr>
        <w:t>_________________</w:t>
      </w:r>
    </w:p>
    <w:p>
      <w:pPr>
        <w:jc w:val="center"/>
        <w:ind w:right="-7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001-39675</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5"/>
          <w:szCs w:val="15"/>
          <w:b w:val="1"/>
          <w:bCs w:val="1"/>
          <w:color w:val="auto"/>
        </w:rPr>
        <w:t>May 5, 2021</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ALLEGRO MICROSYSTEMS, INC.</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ind w:left="4880"/>
        <w:spacing w:after="0"/>
        <w:rPr>
          <w:sz w:val="20"/>
          <w:szCs w:val="20"/>
          <w:color w:val="auto"/>
        </w:rPr>
      </w:pPr>
      <w:r>
        <w:rPr>
          <w:rFonts w:ascii="Arial" w:cs="Arial" w:eastAsia="Arial" w:hAnsi="Arial"/>
          <w:sz w:val="18"/>
          <w:szCs w:val="18"/>
          <w:color w:val="auto"/>
        </w:rPr>
        <w:t>_________________</w:t>
      </w:r>
    </w:p>
    <w:p>
      <w:pPr>
        <w:spacing w:after="0" w:line="77" w:lineRule="exact"/>
        <w:rPr>
          <w:sz w:val="24"/>
          <w:szCs w:val="24"/>
          <w:color w:val="auto"/>
        </w:rPr>
      </w:pPr>
    </w:p>
    <w:tbl>
      <w:tblPr>
        <w:tblLayout w:type="fixed"/>
        <w:tblInd w:w="2160" w:type="dxa"/>
        <w:tblCellMar>
          <w:top w:w="0" w:type="dxa"/>
          <w:left w:w="0" w:type="dxa"/>
          <w:bottom w:w="0" w:type="dxa"/>
          <w:right w:w="0" w:type="dxa"/>
        </w:tblCellMar>
      </w:tblPr>
      <w:tr>
        <w:trPr>
          <w:trHeight w:val="229"/>
        </w:trPr>
        <w:tc>
          <w:tcPr>
            <w:tcW w:w="1120" w:type="dxa"/>
            <w:vAlign w:val="bottom"/>
          </w:tcPr>
          <w:p>
            <w:pPr>
              <w:spacing w:after="0"/>
              <w:rPr>
                <w:sz w:val="19"/>
                <w:szCs w:val="19"/>
                <w:color w:val="auto"/>
              </w:rPr>
            </w:pPr>
          </w:p>
        </w:tc>
        <w:tc>
          <w:tcPr>
            <w:tcW w:w="3260" w:type="dxa"/>
            <w:vAlign w:val="bottom"/>
          </w:tcPr>
          <w:p>
            <w:pPr>
              <w:jc w:val="center"/>
              <w:ind w:right="2092"/>
              <w:spacing w:after="0"/>
              <w:rPr>
                <w:sz w:val="20"/>
                <w:szCs w:val="20"/>
                <w:color w:val="auto"/>
              </w:rPr>
            </w:pPr>
            <w:r>
              <w:rPr>
                <w:rFonts w:ascii="Arial" w:cs="Arial" w:eastAsia="Arial" w:hAnsi="Arial"/>
                <w:sz w:val="18"/>
                <w:szCs w:val="18"/>
                <w:b w:val="1"/>
                <w:bCs w:val="1"/>
                <w:color w:val="auto"/>
                <w:w w:val="91"/>
              </w:rPr>
              <w:t>Delaware</w:t>
            </w:r>
          </w:p>
        </w:tc>
        <w:tc>
          <w:tcPr>
            <w:tcW w:w="2020" w:type="dxa"/>
            <w:vAlign w:val="bottom"/>
          </w:tcPr>
          <w:p>
            <w:pPr>
              <w:jc w:val="right"/>
              <w:ind w:right="39"/>
              <w:spacing w:after="0"/>
              <w:rPr>
                <w:sz w:val="20"/>
                <w:szCs w:val="20"/>
                <w:color w:val="auto"/>
              </w:rPr>
            </w:pPr>
            <w:r>
              <w:rPr>
                <w:rFonts w:ascii="Arial" w:cs="Arial" w:eastAsia="Arial" w:hAnsi="Arial"/>
                <w:sz w:val="18"/>
                <w:szCs w:val="18"/>
                <w:b w:val="1"/>
                <w:bCs w:val="1"/>
                <w:color w:val="auto"/>
              </w:rPr>
              <w:t>46-2405937</w:t>
            </w:r>
          </w:p>
        </w:tc>
      </w:tr>
      <w:tr>
        <w:trPr>
          <w:trHeight w:val="159"/>
        </w:trPr>
        <w:tc>
          <w:tcPr>
            <w:tcW w:w="4380" w:type="dxa"/>
            <w:vAlign w:val="bottom"/>
            <w:gridSpan w:val="2"/>
          </w:tcPr>
          <w:p>
            <w:pPr>
              <w:jc w:val="center"/>
              <w:ind w:right="972"/>
              <w:spacing w:after="0" w:line="159" w:lineRule="exact"/>
              <w:rPr>
                <w:sz w:val="20"/>
                <w:szCs w:val="20"/>
                <w:color w:val="auto"/>
              </w:rPr>
            </w:pPr>
            <w:r>
              <w:rPr>
                <w:rFonts w:ascii="Arial" w:cs="Arial" w:eastAsia="Arial" w:hAnsi="Arial"/>
                <w:sz w:val="14"/>
                <w:szCs w:val="14"/>
                <w:b w:val="1"/>
                <w:bCs w:val="1"/>
                <w:color w:val="auto"/>
                <w:w w:val="91"/>
              </w:rPr>
              <w:t>(State or other jurisdiction of</w:t>
            </w:r>
          </w:p>
        </w:tc>
        <w:tc>
          <w:tcPr>
            <w:tcW w:w="2020" w:type="dxa"/>
            <w:vAlign w:val="bottom"/>
          </w:tcPr>
          <w:p>
            <w:pPr>
              <w:jc w:val="center"/>
              <w:ind w:left="839"/>
              <w:spacing w:after="0" w:line="159" w:lineRule="exact"/>
              <w:rPr>
                <w:sz w:val="20"/>
                <w:szCs w:val="20"/>
                <w:color w:val="auto"/>
              </w:rPr>
            </w:pPr>
            <w:r>
              <w:rPr>
                <w:rFonts w:ascii="Arial" w:cs="Arial" w:eastAsia="Arial" w:hAnsi="Arial"/>
                <w:sz w:val="14"/>
                <w:szCs w:val="14"/>
                <w:b w:val="1"/>
                <w:bCs w:val="1"/>
                <w:color w:val="auto"/>
                <w:w w:val="94"/>
              </w:rPr>
              <w:t>(I.R.S. Employer</w:t>
            </w:r>
          </w:p>
        </w:tc>
      </w:tr>
      <w:tr>
        <w:trPr>
          <w:trHeight w:val="183"/>
        </w:trPr>
        <w:tc>
          <w:tcPr>
            <w:tcW w:w="4380" w:type="dxa"/>
            <w:vAlign w:val="bottom"/>
            <w:gridSpan w:val="2"/>
          </w:tcPr>
          <w:p>
            <w:pPr>
              <w:jc w:val="center"/>
              <w:ind w:right="972"/>
              <w:spacing w:after="0"/>
              <w:rPr>
                <w:sz w:val="20"/>
                <w:szCs w:val="20"/>
                <w:color w:val="auto"/>
              </w:rPr>
            </w:pPr>
            <w:r>
              <w:rPr>
                <w:rFonts w:ascii="Arial" w:cs="Arial" w:eastAsia="Arial" w:hAnsi="Arial"/>
                <w:sz w:val="14"/>
                <w:szCs w:val="14"/>
                <w:b w:val="1"/>
                <w:bCs w:val="1"/>
                <w:color w:val="auto"/>
                <w:w w:val="92"/>
              </w:rPr>
              <w:t>incorporation or organization)</w:t>
            </w:r>
          </w:p>
        </w:tc>
        <w:tc>
          <w:tcPr>
            <w:tcW w:w="2020" w:type="dxa"/>
            <w:vAlign w:val="bottom"/>
          </w:tcPr>
          <w:p>
            <w:pPr>
              <w:jc w:val="center"/>
              <w:ind w:left="839"/>
              <w:spacing w:after="0"/>
              <w:rPr>
                <w:sz w:val="20"/>
                <w:szCs w:val="20"/>
                <w:color w:val="auto"/>
              </w:rPr>
            </w:pPr>
            <w:r>
              <w:rPr>
                <w:rFonts w:ascii="Arial" w:cs="Arial" w:eastAsia="Arial" w:hAnsi="Arial"/>
                <w:sz w:val="14"/>
                <w:szCs w:val="14"/>
                <w:b w:val="1"/>
                <w:bCs w:val="1"/>
                <w:color w:val="auto"/>
                <w:w w:val="92"/>
              </w:rPr>
              <w:t>Identification No.)</w:t>
            </w:r>
          </w:p>
        </w:tc>
      </w:tr>
      <w:tr>
        <w:trPr>
          <w:trHeight w:val="313"/>
        </w:trPr>
        <w:tc>
          <w:tcPr>
            <w:tcW w:w="4380" w:type="dxa"/>
            <w:vAlign w:val="bottom"/>
            <w:gridSpan w:val="2"/>
          </w:tcPr>
          <w:p>
            <w:pPr>
              <w:jc w:val="center"/>
              <w:ind w:right="972"/>
              <w:spacing w:after="0"/>
              <w:rPr>
                <w:sz w:val="20"/>
                <w:szCs w:val="20"/>
                <w:color w:val="auto"/>
              </w:rPr>
            </w:pPr>
            <w:r>
              <w:rPr>
                <w:rFonts w:ascii="Arial" w:cs="Arial" w:eastAsia="Arial" w:hAnsi="Arial"/>
                <w:sz w:val="18"/>
                <w:szCs w:val="18"/>
                <w:b w:val="1"/>
                <w:bCs w:val="1"/>
                <w:color w:val="auto"/>
                <w:w w:val="90"/>
              </w:rPr>
              <w:t>955 Perimeter Road</w:t>
            </w:r>
          </w:p>
        </w:tc>
        <w:tc>
          <w:tcPr>
            <w:tcW w:w="2020" w:type="dxa"/>
            <w:vAlign w:val="bottom"/>
          </w:tcPr>
          <w:p>
            <w:pPr>
              <w:jc w:val="right"/>
              <w:ind w:right="239"/>
              <w:spacing w:after="0"/>
              <w:rPr>
                <w:sz w:val="20"/>
                <w:szCs w:val="20"/>
                <w:color w:val="auto"/>
              </w:rPr>
            </w:pPr>
            <w:r>
              <w:rPr>
                <w:rFonts w:ascii="Arial" w:cs="Arial" w:eastAsia="Arial" w:hAnsi="Arial"/>
                <w:sz w:val="18"/>
                <w:szCs w:val="18"/>
                <w:b w:val="1"/>
                <w:bCs w:val="1"/>
                <w:color w:val="auto"/>
              </w:rPr>
              <w:t>03103</w:t>
            </w:r>
          </w:p>
        </w:tc>
      </w:tr>
      <w:tr>
        <w:trPr>
          <w:trHeight w:val="224"/>
        </w:trPr>
        <w:tc>
          <w:tcPr>
            <w:tcW w:w="1120" w:type="dxa"/>
            <w:vAlign w:val="bottom"/>
          </w:tcPr>
          <w:p>
            <w:pPr>
              <w:spacing w:after="0"/>
              <w:rPr>
                <w:sz w:val="20"/>
                <w:szCs w:val="20"/>
                <w:color w:val="auto"/>
              </w:rPr>
            </w:pPr>
            <w:r>
              <w:rPr>
                <w:rFonts w:ascii="Arial" w:cs="Arial" w:eastAsia="Arial" w:hAnsi="Arial"/>
                <w:sz w:val="18"/>
                <w:szCs w:val="18"/>
                <w:b w:val="1"/>
                <w:bCs w:val="1"/>
                <w:color w:val="auto"/>
              </w:rPr>
              <w:t>Manchester,</w:t>
            </w:r>
          </w:p>
        </w:tc>
        <w:tc>
          <w:tcPr>
            <w:tcW w:w="3260" w:type="dxa"/>
            <w:vAlign w:val="bottom"/>
          </w:tcPr>
          <w:p>
            <w:pPr>
              <w:ind w:left="1120"/>
              <w:spacing w:after="0"/>
              <w:rPr>
                <w:sz w:val="20"/>
                <w:szCs w:val="20"/>
                <w:color w:val="auto"/>
              </w:rPr>
            </w:pPr>
            <w:r>
              <w:rPr>
                <w:rFonts w:ascii="Arial" w:cs="Arial" w:eastAsia="Arial" w:hAnsi="Arial"/>
                <w:sz w:val="18"/>
                <w:szCs w:val="18"/>
                <w:b w:val="1"/>
                <w:bCs w:val="1"/>
                <w:color w:val="auto"/>
              </w:rPr>
              <w:t>New Hampshire</w:t>
            </w:r>
          </w:p>
        </w:tc>
        <w:tc>
          <w:tcPr>
            <w:tcW w:w="2020" w:type="dxa"/>
            <w:vAlign w:val="bottom"/>
          </w:tcPr>
          <w:p>
            <w:pPr>
              <w:jc w:val="center"/>
              <w:ind w:left="839"/>
              <w:spacing w:after="0"/>
              <w:rPr>
                <w:sz w:val="20"/>
                <w:szCs w:val="20"/>
                <w:color w:val="auto"/>
              </w:rPr>
            </w:pPr>
            <w:r>
              <w:rPr>
                <w:rFonts w:ascii="Arial" w:cs="Arial" w:eastAsia="Arial" w:hAnsi="Arial"/>
                <w:sz w:val="18"/>
                <w:szCs w:val="18"/>
                <w:b w:val="1"/>
                <w:bCs w:val="1"/>
                <w:color w:val="auto"/>
                <w:w w:val="92"/>
              </w:rPr>
              <w:t>(Zip Code)</w:t>
            </w:r>
          </w:p>
        </w:tc>
      </w:tr>
      <w:tr>
        <w:trPr>
          <w:trHeight w:val="229"/>
        </w:trPr>
        <w:tc>
          <w:tcPr>
            <w:tcW w:w="4380" w:type="dxa"/>
            <w:vAlign w:val="bottom"/>
            <w:gridSpan w:val="2"/>
          </w:tcPr>
          <w:p>
            <w:pPr>
              <w:jc w:val="center"/>
              <w:ind w:right="972"/>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020" w:type="dxa"/>
            <w:vAlign w:val="bottom"/>
          </w:tcPr>
          <w:p>
            <w:pPr>
              <w:spacing w:after="0"/>
              <w:rPr>
                <w:sz w:val="19"/>
                <w:szCs w:val="19"/>
                <w:color w:val="auto"/>
              </w:rPr>
            </w:pPr>
          </w:p>
        </w:tc>
      </w:tr>
    </w:tbl>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(603) 626-2300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jc w:val="center"/>
        <w:ind w:right="-19"/>
        <w:spacing w:after="0" w:line="220" w:lineRule="auto"/>
        <w:rPr>
          <w:sz w:val="20"/>
          <w:szCs w:val="20"/>
          <w:color w:val="auto"/>
        </w:rPr>
      </w:pPr>
      <w:r>
        <w:rPr>
          <w:rFonts w:ascii="Arial" w:cs="Arial" w:eastAsia="Arial" w:hAnsi="Arial"/>
          <w:sz w:val="18"/>
          <w:szCs w:val="18"/>
          <w:b w:val="1"/>
          <w:bCs w:val="1"/>
          <w:color w:val="auto"/>
        </w:rPr>
        <w:t>N/A</w:t>
      </w:r>
    </w:p>
    <w:p>
      <w:pPr>
        <w:jc w:val="center"/>
        <w:ind w:right="-19"/>
        <w:spacing w:after="0" w:line="228" w:lineRule="auto"/>
        <w:rPr>
          <w:sz w:val="20"/>
          <w:szCs w:val="20"/>
          <w:color w:val="auto"/>
        </w:rPr>
      </w:pPr>
      <w:r>
        <w:rPr>
          <w:rFonts w:ascii="Arial" w:cs="Arial" w:eastAsia="Arial" w:hAnsi="Arial"/>
          <w:sz w:val="14"/>
          <w:szCs w:val="14"/>
          <w:b w:val="1"/>
          <w:bCs w:val="1"/>
          <w:color w:val="auto"/>
        </w:rPr>
        <w:t>(Former Name or Former Address, if Changed Since Last Report)</w:t>
      </w:r>
    </w:p>
    <w:p>
      <w:pPr>
        <w:ind w:left="4880"/>
        <w:spacing w:after="0" w:line="233" w:lineRule="auto"/>
        <w:rPr>
          <w:sz w:val="20"/>
          <w:szCs w:val="20"/>
          <w:color w:val="auto"/>
        </w:rPr>
      </w:pPr>
      <w:r>
        <w:rPr>
          <w:rFonts w:ascii="Arial" w:cs="Arial" w:eastAsia="Arial" w:hAnsi="Arial"/>
          <w:sz w:val="18"/>
          <w:szCs w:val="18"/>
          <w:color w:val="auto"/>
        </w:rPr>
        <w:t>_________________</w:t>
      </w: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02" w:lineRule="exact"/>
        <w:rPr>
          <w:sz w:val="24"/>
          <w:szCs w:val="24"/>
          <w:color w:val="auto"/>
        </w:rPr>
      </w:pPr>
    </w:p>
    <w:p>
      <w:pPr>
        <w:ind w:left="1180" w:hanging="1141"/>
        <w:spacing w:after="0"/>
        <w:tabs>
          <w:tab w:leader="none" w:pos="11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04" w:lineRule="exact"/>
        <w:rPr>
          <w:rFonts w:ascii="MS PGothic" w:cs="MS PGothic" w:eastAsia="MS PGothic" w:hAnsi="MS PGothic"/>
          <w:sz w:val="16"/>
          <w:szCs w:val="16"/>
          <w:color w:val="auto"/>
        </w:rPr>
      </w:pPr>
    </w:p>
    <w:p>
      <w:pPr>
        <w:ind w:left="1180" w:hanging="1141"/>
        <w:spacing w:after="0"/>
        <w:tabs>
          <w:tab w:leader="none" w:pos="11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04" w:lineRule="exact"/>
        <w:rPr>
          <w:rFonts w:ascii="MS PGothic" w:cs="MS PGothic" w:eastAsia="MS PGothic" w:hAnsi="MS PGothic"/>
          <w:sz w:val="16"/>
          <w:szCs w:val="16"/>
          <w:color w:val="auto"/>
        </w:rPr>
      </w:pPr>
    </w:p>
    <w:p>
      <w:pPr>
        <w:ind w:left="1180" w:hanging="1141"/>
        <w:spacing w:after="0"/>
        <w:tabs>
          <w:tab w:leader="none" w:pos="11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04" w:lineRule="exact"/>
        <w:rPr>
          <w:rFonts w:ascii="MS PGothic" w:cs="MS PGothic" w:eastAsia="MS PGothic" w:hAnsi="MS PGothic"/>
          <w:sz w:val="16"/>
          <w:szCs w:val="16"/>
          <w:color w:val="auto"/>
        </w:rPr>
      </w:pPr>
    </w:p>
    <w:p>
      <w:pPr>
        <w:ind w:left="1180" w:hanging="1141"/>
        <w:spacing w:after="0"/>
        <w:tabs>
          <w:tab w:leader="none" w:pos="11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4200" w:type="dxa"/>
            <w:vAlign w:val="bottom"/>
          </w:tcPr>
          <w:p>
            <w:pPr>
              <w:ind w:left="20"/>
              <w:spacing w:after="0"/>
              <w:rPr>
                <w:sz w:val="20"/>
                <w:szCs w:val="20"/>
                <w:color w:val="auto"/>
              </w:rPr>
            </w:pPr>
            <w:r>
              <w:rPr>
                <w:rFonts w:ascii="Arial" w:cs="Arial" w:eastAsia="Arial" w:hAnsi="Arial"/>
                <w:sz w:val="16"/>
                <w:szCs w:val="16"/>
                <w:color w:val="auto"/>
              </w:rPr>
              <w:t>Securities registered pursuant to Section 12(b) of the Act:</w:t>
            </w:r>
          </w:p>
        </w:tc>
        <w:tc>
          <w:tcPr>
            <w:tcW w:w="24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211"/>
        </w:trPr>
        <w:tc>
          <w:tcPr>
            <w:tcW w:w="4200" w:type="dxa"/>
            <w:vAlign w:val="bottom"/>
          </w:tcPr>
          <w:p>
            <w:pPr>
              <w:jc w:val="center"/>
              <w:ind w:right="261"/>
              <w:spacing w:after="0"/>
              <w:rPr>
                <w:sz w:val="20"/>
                <w:szCs w:val="20"/>
                <w:color w:val="auto"/>
              </w:rPr>
            </w:pPr>
            <w:r>
              <w:rPr>
                <w:rFonts w:ascii="Arial" w:cs="Arial" w:eastAsia="Arial" w:hAnsi="Arial"/>
                <w:sz w:val="16"/>
                <w:szCs w:val="16"/>
                <w:color w:val="auto"/>
                <w:w w:val="88"/>
              </w:rPr>
              <w:t>Title of each class</w:t>
            </w:r>
          </w:p>
        </w:tc>
        <w:tc>
          <w:tcPr>
            <w:tcW w:w="2420" w:type="dxa"/>
            <w:vAlign w:val="bottom"/>
          </w:tcPr>
          <w:p>
            <w:pPr>
              <w:jc w:val="center"/>
              <w:ind w:right="301"/>
              <w:spacing w:after="0"/>
              <w:rPr>
                <w:sz w:val="20"/>
                <w:szCs w:val="20"/>
                <w:color w:val="auto"/>
              </w:rPr>
            </w:pPr>
            <w:r>
              <w:rPr>
                <w:rFonts w:ascii="Arial" w:cs="Arial" w:eastAsia="Arial" w:hAnsi="Arial"/>
                <w:sz w:val="16"/>
                <w:szCs w:val="16"/>
                <w:color w:val="auto"/>
                <w:w w:val="92"/>
              </w:rPr>
              <w:t>Trading Symbol</w:t>
            </w:r>
          </w:p>
        </w:tc>
        <w:tc>
          <w:tcPr>
            <w:tcW w:w="4600" w:type="dxa"/>
            <w:vAlign w:val="bottom"/>
          </w:tcPr>
          <w:p>
            <w:pPr>
              <w:jc w:val="center"/>
              <w:spacing w:after="0"/>
              <w:rPr>
                <w:sz w:val="20"/>
                <w:szCs w:val="20"/>
                <w:color w:val="auto"/>
              </w:rPr>
            </w:pPr>
            <w:r>
              <w:rPr>
                <w:rFonts w:ascii="Arial" w:cs="Arial" w:eastAsia="Arial" w:hAnsi="Arial"/>
                <w:sz w:val="16"/>
                <w:szCs w:val="16"/>
                <w:color w:val="auto"/>
                <w:w w:val="89"/>
              </w:rPr>
              <w:t>Name of each exchange on which registered</w:t>
            </w: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r>
      <w:tr>
        <w:trPr>
          <w:trHeight w:val="198"/>
        </w:trPr>
        <w:tc>
          <w:tcPr>
            <w:tcW w:w="4200" w:type="dxa"/>
            <w:vAlign w:val="bottom"/>
          </w:tcPr>
          <w:p>
            <w:pPr>
              <w:jc w:val="center"/>
              <w:ind w:right="261"/>
              <w:spacing w:after="0"/>
              <w:rPr>
                <w:sz w:val="20"/>
                <w:szCs w:val="20"/>
                <w:color w:val="auto"/>
              </w:rPr>
            </w:pPr>
            <w:r>
              <w:rPr>
                <w:rFonts w:ascii="Arial" w:cs="Arial" w:eastAsia="Arial" w:hAnsi="Arial"/>
                <w:sz w:val="16"/>
                <w:szCs w:val="16"/>
                <w:color w:val="auto"/>
                <w:w w:val="88"/>
              </w:rPr>
              <w:t>Common Stock, par value $0.01 per share</w:t>
            </w:r>
          </w:p>
        </w:tc>
        <w:tc>
          <w:tcPr>
            <w:tcW w:w="2420" w:type="dxa"/>
            <w:vAlign w:val="bottom"/>
          </w:tcPr>
          <w:p>
            <w:pPr>
              <w:jc w:val="center"/>
              <w:ind w:right="301"/>
              <w:spacing w:after="0"/>
              <w:rPr>
                <w:sz w:val="20"/>
                <w:szCs w:val="20"/>
                <w:color w:val="auto"/>
              </w:rPr>
            </w:pPr>
            <w:r>
              <w:rPr>
                <w:rFonts w:ascii="Arial" w:cs="Arial" w:eastAsia="Arial" w:hAnsi="Arial"/>
                <w:sz w:val="16"/>
                <w:szCs w:val="16"/>
                <w:color w:val="auto"/>
              </w:rPr>
              <w:t>ALGM</w:t>
            </w:r>
          </w:p>
        </w:tc>
        <w:tc>
          <w:tcPr>
            <w:tcW w:w="4600" w:type="dxa"/>
            <w:vAlign w:val="bottom"/>
          </w:tcPr>
          <w:p>
            <w:pPr>
              <w:jc w:val="center"/>
              <w:spacing w:after="0"/>
              <w:rPr>
                <w:sz w:val="20"/>
                <w:szCs w:val="20"/>
                <w:color w:val="auto"/>
              </w:rPr>
            </w:pPr>
            <w:r>
              <w:rPr>
                <w:rFonts w:ascii="Arial" w:cs="Arial" w:eastAsia="Arial" w:hAnsi="Arial"/>
                <w:sz w:val="16"/>
                <w:szCs w:val="16"/>
                <w:color w:val="auto"/>
                <w:w w:val="89"/>
              </w:rPr>
              <w:t>The Nasdaq Global Select Market</w:t>
            </w:r>
          </w:p>
        </w:tc>
      </w:tr>
    </w:tbl>
    <w:p>
      <w:pPr>
        <w:spacing w:after="0" w:line="327" w:lineRule="exact"/>
        <w:rPr>
          <w:sz w:val="24"/>
          <w:szCs w:val="24"/>
          <w:color w:val="auto"/>
        </w:rPr>
      </w:pPr>
    </w:p>
    <w:p>
      <w:pPr>
        <w:ind w:right="120"/>
        <w:spacing w:after="0" w:line="24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3" w:lineRule="exact"/>
        <w:rPr>
          <w:sz w:val="24"/>
          <w:szCs w:val="24"/>
          <w:color w:val="auto"/>
        </w:rPr>
      </w:pPr>
    </w:p>
    <w:p>
      <w:pPr>
        <w:ind w:right="200"/>
        <w:spacing w:after="0" w:line="19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819785</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43815</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Item 5.02. Departure of Directors or Certain Officers; Election of Directors; Appointment of Certain Officers; Compensatory Arrangements of Certain Officers</w:t>
      </w:r>
    </w:p>
    <w:p>
      <w:pPr>
        <w:spacing w:after="0" w:line="263" w:lineRule="exact"/>
        <w:rPr>
          <w:sz w:val="20"/>
          <w:szCs w:val="20"/>
          <w:color w:val="auto"/>
        </w:rPr>
      </w:pPr>
    </w:p>
    <w:p>
      <w:pPr>
        <w:jc w:val="both"/>
        <w:ind w:right="200" w:firstLine="380"/>
        <w:spacing w:after="0" w:line="239" w:lineRule="auto"/>
        <w:rPr>
          <w:sz w:val="20"/>
          <w:szCs w:val="20"/>
          <w:color w:val="auto"/>
        </w:rPr>
      </w:pPr>
      <w:r>
        <w:rPr>
          <w:rFonts w:ascii="Arial" w:cs="Arial" w:eastAsia="Arial" w:hAnsi="Arial"/>
          <w:sz w:val="18"/>
          <w:szCs w:val="18"/>
          <w:color w:val="auto"/>
        </w:rPr>
        <w:t>On May 5, 2021, the Compensation Committee of the Board of Directors of Allegro MicroSystems, Inc. acted to adjust base salary and target bonus as a percentage of base salary of President and Chief Executive Officer Ravi Vig as set forth below. The adjustment to base salary is effective retroactive to April 10,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80" w:type="dxa"/>
            <w:vAlign w:val="bottom"/>
            <w:tcBorders>
              <w:bottom w:val="single" w:sz="8" w:color="CCEEFF"/>
            </w:tcBorders>
          </w:tcPr>
          <w:p>
            <w:pPr>
              <w:spacing w:after="0"/>
              <w:rPr>
                <w:sz w:val="19"/>
                <w:szCs w:val="19"/>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Base Salary</w:t>
            </w:r>
          </w:p>
        </w:tc>
        <w:tc>
          <w:tcPr>
            <w:tcW w:w="80" w:type="dxa"/>
            <w:vAlign w:val="bottom"/>
            <w:tcBorders>
              <w:bottom w:val="single" w:sz="8" w:color="CCEEFF"/>
            </w:tcBorders>
          </w:tcPr>
          <w:p>
            <w:pPr>
              <w:spacing w:after="0"/>
              <w:rPr>
                <w:sz w:val="19"/>
                <w:szCs w:val="19"/>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Target Bonus</w:t>
            </w:r>
          </w:p>
        </w:tc>
      </w:tr>
      <w:tr>
        <w:trPr>
          <w:trHeight w:val="218"/>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Ravi Vig, President and Chief Executive Officer</w:t>
            </w:r>
          </w:p>
        </w:tc>
        <w:tc>
          <w:tcPr>
            <w:tcW w:w="26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$ 625,000</w:t>
            </w:r>
          </w:p>
        </w:tc>
        <w:tc>
          <w:tcPr>
            <w:tcW w:w="80" w:type="dxa"/>
            <w:vAlign w:val="bottom"/>
            <w:shd w:val="clear" w:color="auto" w:fill="CCEEFF"/>
          </w:tcPr>
          <w:p>
            <w:pPr>
              <w:spacing w:after="0"/>
              <w:rPr>
                <w:sz w:val="18"/>
                <w:szCs w:val="18"/>
                <w:color w:val="auto"/>
              </w:rPr>
            </w:pPr>
          </w:p>
        </w:tc>
        <w:tc>
          <w:tcPr>
            <w:tcW w:w="2800" w:type="dxa"/>
            <w:vAlign w:val="bottom"/>
            <w:shd w:val="clear" w:color="auto" w:fill="CCEEFF"/>
          </w:tcPr>
          <w:p>
            <w:pPr>
              <w:jc w:val="right"/>
              <w:ind w:right="1032"/>
              <w:spacing w:after="0"/>
              <w:rPr>
                <w:sz w:val="20"/>
                <w:szCs w:val="20"/>
                <w:color w:val="auto"/>
              </w:rPr>
            </w:pPr>
            <w:r>
              <w:rPr>
                <w:rFonts w:ascii="Arial" w:cs="Arial" w:eastAsia="Arial" w:hAnsi="Arial"/>
                <w:sz w:val="18"/>
                <w:szCs w:val="18"/>
                <w:color w:val="auto"/>
              </w:rPr>
              <w:t>125.0%</w:t>
            </w: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Exhibit No.</w:t>
            </w:r>
          </w:p>
        </w:tc>
        <w:tc>
          <w:tcPr>
            <w:tcW w:w="140" w:type="dxa"/>
            <w:vAlign w:val="bottom"/>
          </w:tcPr>
          <w:p>
            <w:pPr>
              <w:spacing w:after="0"/>
              <w:rPr>
                <w:sz w:val="20"/>
                <w:szCs w:val="20"/>
                <w:color w:val="auto"/>
              </w:rPr>
            </w:pPr>
          </w:p>
        </w:tc>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r>
      <w:tr>
        <w:trPr>
          <w:trHeight w:val="237"/>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Exhibit 104</w:t>
            </w:r>
          </w:p>
        </w:tc>
        <w:tc>
          <w:tcPr>
            <w:tcW w:w="7980" w:type="dxa"/>
            <w:vAlign w:val="bottom"/>
          </w:tcPr>
          <w:p>
            <w:pPr>
              <w:ind w:left="40"/>
              <w:spacing w:after="0"/>
              <w:rPr>
                <w:sz w:val="20"/>
                <w:szCs w:val="20"/>
                <w:color w:val="auto"/>
              </w:rPr>
            </w:pPr>
            <w:r>
              <w:rPr>
                <w:rFonts w:ascii="Arial" w:cs="Arial" w:eastAsia="Arial" w:hAnsi="Arial"/>
                <w:sz w:val="18"/>
                <w:szCs w:val="18"/>
                <w:color w:val="auto"/>
              </w:rPr>
              <w:t>Inline XBRL for the cover page of this Current Report on Form 8-K.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SIGNATURES</w:t>
      </w:r>
    </w:p>
    <w:p>
      <w:pPr>
        <w:spacing w:after="0" w:line="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Current Report on Form 8-K to be signed on its behalf by the undersigned thereunto duly authorized.</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ALLEGRO MICROSYSTEMS, INC.</w:t>
      </w:r>
    </w:p>
    <w:p>
      <w:pPr>
        <w:spacing w:after="0" w:line="297" w:lineRule="exact"/>
        <w:rPr>
          <w:sz w:val="20"/>
          <w:szCs w:val="20"/>
          <w:color w:val="auto"/>
        </w:rPr>
      </w:pPr>
    </w:p>
    <w:p>
      <w:pPr>
        <w:ind w:left="720"/>
        <w:spacing w:after="0"/>
        <w:tabs>
          <w:tab w:leader="none" w:pos="2340" w:val="left"/>
          <w:tab w:leader="none" w:pos="3760" w:val="left"/>
          <w:tab w:leader="none" w:pos="52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10,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Paul V. Walsh,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3290570</wp:posOffset>
            </wp:positionH>
            <wp:positionV relativeFrom="paragraph">
              <wp:posOffset>40640</wp:posOffset>
            </wp:positionV>
            <wp:extent cx="3797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97935" cy="8255"/>
                    </a:xfrm>
                    <a:prstGeom prst="rect">
                      <a:avLst/>
                    </a:prstGeom>
                    <a:noFill/>
                  </pic:spPr>
                </pic:pic>
              </a:graphicData>
            </a:graphic>
          </wp:anchor>
        </w:drawing>
      </w:r>
    </w:p>
    <w:p>
      <w:pPr>
        <w:spacing w:after="0" w:line="7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Paul V. Walsh, Jr.</w:t>
      </w:r>
    </w:p>
    <w:p>
      <w:pPr>
        <w:spacing w:after="0" w:line="4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Senior Vice President, Chief Financial Officer and Treasurer</w:t>
      </w:r>
    </w:p>
    <w:sectPr>
      <w:pgSz w:w="11900" w:h="16838" w:orient="portrait"/>
      <w:cols w:equalWidth="0" w:num="1">
        <w:col w:w="11340"/>
      </w:cols>
      <w:pgMar w:left="32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2021-05-10T16:48:19Z</dcterms:created>
  <dcterms:modified xsi:type="dcterms:W3CDTF">2021-05-10T16:48:19Z</dcterms:modified>
</cp:coreProperties>
</file>