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8-K</w:t>
      </w: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6"/>
          <w:szCs w:val="16"/>
          <w:b w:val="1"/>
          <w:bCs w:val="1"/>
          <w:color w:val="auto"/>
        </w:rPr>
        <w:t>July 28, 2022</w:t>
      </w:r>
    </w:p>
    <w:p>
      <w:pPr>
        <w:spacing w:after="0" w:line="2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ALLEGRO MICROSYSTEMS, INC.</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95" w:lineRule="exact"/>
        <w:rPr>
          <w:sz w:val="24"/>
          <w:szCs w:val="24"/>
          <w:color w:val="auto"/>
        </w:rPr>
      </w:pPr>
    </w:p>
    <w:tbl>
      <w:tblPr>
        <w:tblLayout w:type="fixed"/>
        <w:tblInd w:w="820" w:type="dxa"/>
        <w:tblCellMar>
          <w:top w:w="0" w:type="dxa"/>
          <w:left w:w="0" w:type="dxa"/>
          <w:bottom w:w="0" w:type="dxa"/>
          <w:right w:w="0" w:type="dxa"/>
        </w:tblCellMar>
      </w:tblPr>
      <w:tr>
        <w:trPr>
          <w:trHeight w:val="265"/>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Pr>
          <w:p>
            <w:pPr>
              <w:spacing w:after="0"/>
              <w:rPr>
                <w:sz w:val="23"/>
                <w:szCs w:val="23"/>
                <w:color w:val="auto"/>
              </w:rPr>
            </w:pPr>
          </w:p>
        </w:tc>
        <w:tc>
          <w:tcPr>
            <w:tcW w:w="18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001-39675</w:t>
            </w:r>
          </w:p>
        </w:tc>
        <w:tc>
          <w:tcPr>
            <w:tcW w:w="100" w:type="dxa"/>
            <w:vAlign w:val="bottom"/>
          </w:tcPr>
          <w:p>
            <w:pPr>
              <w:spacing w:after="0"/>
              <w:rPr>
                <w:sz w:val="23"/>
                <w:szCs w:val="23"/>
                <w:color w:val="auto"/>
              </w:rPr>
            </w:pPr>
          </w:p>
        </w:tc>
        <w:tc>
          <w:tcPr>
            <w:tcW w:w="3720" w:type="dxa"/>
            <w:vAlign w:val="bottom"/>
            <w:tcBorders>
              <w:bottom w:val="single" w:sz="8" w:color="auto"/>
            </w:tcBorders>
          </w:tcPr>
          <w:p>
            <w:pPr>
              <w:jc w:val="right"/>
              <w:ind w:right="1341"/>
              <w:spacing w:after="0"/>
              <w:rPr>
                <w:sz w:val="20"/>
                <w:szCs w:val="20"/>
                <w:color w:val="auto"/>
              </w:rPr>
            </w:pPr>
            <w:r>
              <w:rPr>
                <w:rFonts w:ascii="Times New Roman" w:cs="Times New Roman" w:eastAsia="Times New Roman" w:hAnsi="Times New Roman"/>
                <w:sz w:val="18"/>
                <w:szCs w:val="18"/>
                <w:b w:val="1"/>
                <w:bCs w:val="1"/>
                <w:color w:val="auto"/>
              </w:rPr>
              <w:t>46-2405937</w:t>
            </w:r>
          </w:p>
        </w:tc>
        <w:tc>
          <w:tcPr>
            <w:tcW w:w="0" w:type="dxa"/>
            <w:vAlign w:val="bottom"/>
          </w:tcPr>
          <w:p>
            <w:pPr>
              <w:spacing w:after="0"/>
              <w:rPr>
                <w:sz w:val="1"/>
                <w:szCs w:val="1"/>
                <w:color w:val="auto"/>
              </w:rPr>
            </w:pPr>
          </w:p>
        </w:tc>
      </w:tr>
      <w:tr>
        <w:trPr>
          <w:trHeight w:val="158"/>
        </w:trPr>
        <w:tc>
          <w:tcPr>
            <w:tcW w:w="37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0" w:type="dxa"/>
            <w:vAlign w:val="bottom"/>
          </w:tcPr>
          <w:p>
            <w:pPr>
              <w:spacing w:after="0"/>
              <w:rPr>
                <w:sz w:val="13"/>
                <w:szCs w:val="13"/>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
            </w:r>
            <w:r>
              <w:rPr>
                <w:rFonts w:ascii="Arial" w:cs="Arial" w:eastAsia="Arial" w:hAnsi="Arial"/>
                <w:sz w:val="14"/>
                <w:szCs w:val="14"/>
                <w:b w:val="1"/>
                <w:bCs w:val="1"/>
                <w:color w:val="auto"/>
              </w:rPr>
              <w:t>Commission File Number</w:t>
            </w:r>
            <w:r>
              <w:rPr>
                <w:rFonts w:ascii="Times New Roman" w:cs="Times New Roman" w:eastAsia="Times New Roman" w:hAnsi="Times New Roman"/>
                <w:sz w:val="14"/>
                <w:szCs w:val="14"/>
                <w:b w:val="1"/>
                <w:bCs w:val="1"/>
                <w:color w:val="auto"/>
              </w:rPr>
              <w:t>)</w:t>
            </w:r>
          </w:p>
        </w:tc>
        <w:tc>
          <w:tcPr>
            <w:tcW w:w="37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25"/>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955 Perimeter Road</w:t>
            </w: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Manchester, New Hampshire</w:t>
            </w:r>
          </w:p>
        </w:tc>
        <w:tc>
          <w:tcPr>
            <w:tcW w:w="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Borders>
              <w:bottom w:val="single" w:sz="8" w:color="auto"/>
            </w:tcBorders>
          </w:tcPr>
          <w:p>
            <w:pPr>
              <w:jc w:val="right"/>
              <w:ind w:right="1541"/>
              <w:spacing w:after="0"/>
              <w:rPr>
                <w:sz w:val="20"/>
                <w:szCs w:val="20"/>
                <w:color w:val="auto"/>
              </w:rPr>
            </w:pPr>
            <w:r>
              <w:rPr>
                <w:rFonts w:ascii="Times New Roman" w:cs="Times New Roman" w:eastAsia="Times New Roman" w:hAnsi="Times New Roman"/>
                <w:sz w:val="18"/>
                <w:szCs w:val="18"/>
                <w:b w:val="1"/>
                <w:bCs w:val="1"/>
                <w:color w:val="auto"/>
              </w:rPr>
              <w:t>03103</w:t>
            </w:r>
          </w:p>
        </w:tc>
        <w:tc>
          <w:tcPr>
            <w:tcW w:w="0" w:type="dxa"/>
            <w:vAlign w:val="bottom"/>
          </w:tcPr>
          <w:p>
            <w:pPr>
              <w:spacing w:after="0"/>
              <w:rPr>
                <w:sz w:val="1"/>
                <w:szCs w:val="1"/>
                <w:color w:val="auto"/>
              </w:rPr>
            </w:pP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3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(603) 626-2300</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w:t>
      </w:r>
    </w:p>
    <w:p>
      <w:pPr>
        <w:jc w:val="center"/>
        <w:ind w:right="-79"/>
        <w:spacing w:after="0" w:line="234" w:lineRule="auto"/>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ind w:left="4860"/>
        <w:spacing w:after="0" w:line="238" w:lineRule="auto"/>
        <w:rPr>
          <w:sz w:val="20"/>
          <w:szCs w:val="20"/>
          <w:color w:val="auto"/>
        </w:rPr>
      </w:pPr>
      <w:r>
        <w:rPr>
          <w:rFonts w:ascii="Times New Roman" w:cs="Times New Roman" w:eastAsia="Times New Roman" w:hAnsi="Times New Roman"/>
          <w:sz w:val="18"/>
          <w:szCs w:val="18"/>
          <w:color w:val="auto"/>
        </w:rPr>
        <w:t>_________________</w:t>
      </w: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11" w:lineRule="exact"/>
        <w:rPr>
          <w:sz w:val="24"/>
          <w:szCs w:val="24"/>
          <w:color w:val="auto"/>
        </w:rPr>
      </w:pPr>
    </w:p>
    <w:p>
      <w:pPr>
        <w:ind w:left="1140" w:hanging="1098"/>
        <w:spacing w:after="0"/>
        <w:tabs>
          <w:tab w:leader="none" w:pos="11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1140" w:hanging="1098"/>
        <w:spacing w:after="0"/>
        <w:tabs>
          <w:tab w:leader="none" w:pos="11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9" w:lineRule="exact"/>
        <w:rPr>
          <w:rFonts w:ascii="MS PGothic" w:cs="MS PGothic" w:eastAsia="MS PGothic" w:hAnsi="MS PGothic"/>
          <w:sz w:val="16"/>
          <w:szCs w:val="16"/>
          <w:color w:val="auto"/>
        </w:rPr>
      </w:pPr>
    </w:p>
    <w:p>
      <w:pPr>
        <w:ind w:left="1140" w:hanging="1098"/>
        <w:spacing w:after="0"/>
        <w:tabs>
          <w:tab w:leader="none" w:pos="11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left="1140" w:hanging="1098"/>
        <w:spacing w:after="0"/>
        <w:tabs>
          <w:tab w:leader="none" w:pos="11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14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16"/>
        </w:trPr>
        <w:tc>
          <w:tcPr>
            <w:tcW w:w="410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14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Trading Symbol</w:t>
            </w:r>
          </w:p>
        </w:tc>
        <w:tc>
          <w:tcPr>
            <w:tcW w:w="4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4"/>
        </w:trPr>
        <w:tc>
          <w:tcPr>
            <w:tcW w:w="410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14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w w:val="97"/>
              </w:rPr>
              <w:t>ALGM</w:t>
            </w:r>
          </w:p>
        </w:tc>
        <w:tc>
          <w:tcPr>
            <w:tcW w:w="4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208"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53" w:lineRule="exact"/>
        <w:rPr>
          <w:sz w:val="24"/>
          <w:szCs w:val="24"/>
          <w:color w:val="auto"/>
        </w:rPr>
      </w:pPr>
    </w:p>
    <w:p>
      <w:pPr>
        <w:ind w:right="52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86995</wp:posOffset>
            </wp:positionV>
            <wp:extent cx="7098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112395</wp:posOffset>
            </wp:positionV>
            <wp:extent cx="7098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line="8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28, 2022, Allegro MicroSystems, Inc. (the "Company") issued a press release announcing its financial results for the quarter ended June 24,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issued is furnished as Exhibit 99.1 to this Current Report on Form 8-K and is incorporated herein by reference.</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17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Exhibit No.</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3"/>
        </w:trPr>
        <w:tc>
          <w:tcPr>
            <w:tcW w:w="30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Exhibit 99.1</w:t>
            </w:r>
          </w:p>
        </w:tc>
        <w:tc>
          <w:tcPr>
            <w:tcW w:w="40" w:type="dxa"/>
            <w:vAlign w:val="bottom"/>
          </w:tcPr>
          <w:p>
            <w:pPr>
              <w:spacing w:after="0"/>
              <w:rPr>
                <w:sz w:val="17"/>
                <w:szCs w:val="17"/>
                <w:color w:val="auto"/>
              </w:rPr>
            </w:pPr>
          </w:p>
        </w:tc>
        <w:tc>
          <w:tcPr>
            <w:tcW w:w="500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issued by Allegro MicroSystems, Inc. on July 28, 2022</w:t>
            </w:r>
          </w:p>
        </w:tc>
        <w:tc>
          <w:tcPr>
            <w:tcW w:w="3200" w:type="dxa"/>
            <w:vAlign w:val="bottom"/>
          </w:tcPr>
          <w:p>
            <w:pPr>
              <w:spacing w:after="0"/>
              <w:rPr>
                <w:sz w:val="17"/>
                <w:szCs w:val="17"/>
                <w:color w:val="auto"/>
              </w:rPr>
            </w:pPr>
          </w:p>
        </w:tc>
      </w:tr>
      <w:tr>
        <w:trPr>
          <w:trHeight w:val="277"/>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104</w:t>
            </w:r>
          </w:p>
        </w:tc>
        <w:tc>
          <w:tcPr>
            <w:tcW w:w="40" w:type="dxa"/>
            <w:vAlign w:val="bottom"/>
          </w:tcPr>
          <w:p>
            <w:pPr>
              <w:spacing w:after="0"/>
              <w:rPr>
                <w:sz w:val="24"/>
                <w:szCs w:val="24"/>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Current Report on Form 8-K to be signed on its behalf by the undersigned thereunto duly authorized.</w:t>
      </w:r>
    </w:p>
    <w:p>
      <w:pPr>
        <w:spacing w:after="0" w:line="200" w:lineRule="exact"/>
        <w:rPr>
          <w:sz w:val="20"/>
          <w:szCs w:val="20"/>
          <w:color w:val="auto"/>
        </w:rPr>
      </w:pPr>
    </w:p>
    <w:p>
      <w:pPr>
        <w:spacing w:after="0" w:line="35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ALLEGRO MICROSYSTEMS, INC.</w:t>
      </w:r>
    </w:p>
    <w:p>
      <w:pPr>
        <w:spacing w:after="0" w:line="311" w:lineRule="exact"/>
        <w:rPr>
          <w:sz w:val="20"/>
          <w:szCs w:val="20"/>
          <w:color w:val="auto"/>
        </w:rPr>
      </w:pPr>
    </w:p>
    <w:p>
      <w:pPr>
        <w:ind w:left="40"/>
        <w:spacing w:after="0"/>
        <w:tabs>
          <w:tab w:leader="none" w:pos="1080" w:val="left"/>
          <w:tab w:leader="none" w:pos="3760" w:val="left"/>
          <w:tab w:leader="none" w:pos="52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July 28,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Derek P. D’Antilio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38735</wp:posOffset>
            </wp:positionV>
            <wp:extent cx="3780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Derek P. D’Antilio</w:t>
      </w:r>
    </w:p>
    <w:p>
      <w:pPr>
        <w:spacing w:after="0" w:line="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ectPr>
          <w:pgSz w:w="11900" w:h="16838" w:orient="portrait"/>
          <w:cols w:equalWidth="0" w:num="1">
            <w:col w:w="11240"/>
          </w:cols>
          <w:pgMar w:left="320" w:top="1440"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Allegro MicroSystems Reports First Quarter 2023 Results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--Company Achieves New Quarterly Sales Record--</w:t>
      </w:r>
    </w:p>
    <w:p>
      <w:pPr>
        <w:spacing w:after="0" w:line="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Manchester, NH, July 28, 2022 – </w:t>
      </w:r>
      <w:r>
        <w:rPr>
          <w:rFonts w:ascii="Times New Roman" w:cs="Times New Roman" w:eastAsia="Times New Roman" w:hAnsi="Times New Roman"/>
          <w:sz w:val="17"/>
          <w:szCs w:val="17"/>
          <w:color w:val="auto"/>
        </w:rPr>
        <w:t>Allegro MicroSystems, Inc. (“Allegro” or the “Company”) (Nasdaq:ALGM), a global leader in power and sensing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7"/>
          <w:szCs w:val="17"/>
          <w:color w:val="auto"/>
        </w:rPr>
        <w:t>semiconductor solutions for motion control and energy efficient systems, today announced financial results for its first quarter 2023 that ended June 24, 2022.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Highlights:</w:t>
      </w:r>
    </w:p>
    <w:p>
      <w:pPr>
        <w:spacing w:after="0" w:line="11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sales were a record $217.8 million, increasing 16%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net sales were a record $149.6 million, increasing 12%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net sales were a record $40.1 million, increasing 32%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54.4% and non-GAAP gross margin was 54.9%.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margin was 6.9% and on a non-GAAP basis was 25.3%.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earnings per share was $0.05 and non-GAAP diluted EPS was $0.24.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agreement to acquire Heyday Integrated Circuits, a leader in highly integrated gate drivers for high efficiency power applications.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“Allegro achieved another record quarter, highlighted by strong top-line growth and improving operating leverage that contributed to non-GAAP diluted EPS increasing 33% year-over-year,” said Vineet Nargolwala, President and CEO of Allegro MicroSystems. “Our first quarter results were driven by record sales in both our automotive and industrial markets, as we continued to work closely with our manufacturing partners to ramp supply in support of robust customer demand. Allegro’s strong alignment to secular mega-trends remains paramount to our increasing content and share gains as well as design win momentum in our strategic focus areas of E-Mobility (xEV and ADAS), Clean Energy, Data Centers and Industry 4.0. With leading positions in these high-growth market segments combined with our expanding supply capacity, we are raising our growth outlook for fiscal 2023 to approximately 20% year-over-year.”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Summary</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Automotive net sales increased 6% sequentially and 12% year-over-year and represented 69% of net sales in the quarter. Net sales was higher across all of the Company’s automotive end markets, led by strong demand in Allegro’s strategic growth areas of ADAS and xEV, which expanded to a record 38% of automotive net sales.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Industrial net sales increased 16% sequentially and 32% year-over-year to 18% of net sales in the quarter. Record industrial net sales in the quarter was primarily driven by continued momentum for the Company’s solutions in strategic end markets, including Clean Energy, Data Center, and Industry 4.0.</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First quarter net sales into Other markets, which includes computing, consumer and smart home, increased sequentially and year-over-year to $28.0 million, or 13% of total net sales.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Outlook</w:t>
      </w:r>
    </w:p>
    <w:p>
      <w:pPr>
        <w:spacing w:after="0" w:line="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second quarter ending September 23, 2022, the Company expects total net sales to be in the range of $220 million to $230 million. Non-GAAP gross margin is expected to be in the range of 54% to 55%, non-GAAP operating expenses are anticipated to be approximately 29% of net sales, and non-GAAP earnings per diluted share are expected to be in the range of $0.25 to $0.27.</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Allegro has not provided a reconciliation of its second fiscal quarter outlook for non-GAAP gross margin, non-GAAP operating expenses and non-GAAP earnings per diluted share because estimates of all of the reconciling items cannot be provided without unreasonable efforts. It is difficult to reasonably provide a forward-looking estimate between such forward-looking non-GAAP measures and the comparable forward-looking GAAP measures. Certain factors that are materially significant to Allegro’s ability to estimate these items are out of its control and/or cannot be reasonably predicted.</w:t>
      </w:r>
    </w:p>
    <w:p>
      <w:pPr>
        <w:sectPr>
          <w:pgSz w:w="11900" w:h="16838" w:orient="portrait"/>
          <w:cols w:equalWidth="0" w:num="1">
            <w:col w:w="11240"/>
          </w:cols>
          <w:pgMar w:left="320" w:top="1418" w:right="339" w:bottom="1440" w:gutter="0" w:footer="0" w:header="0"/>
        </w:sectPr>
      </w:pPr>
    </w:p>
    <w:bookmarkStart w:id="3" w:name="page4"/>
    <w:bookmarkEnd w:id="3"/>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Webcast</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webcast will be held on Thursday, July 28, 2022 at 8:30 a.m. Eastern time. Vineet Nargolwala, President and Chief Executive Officer, and Derek D’Antilio, Chief Financial Officer, will discuss Allegro’s financial results.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webcast will be available on the Investor Relations section of the Company’s website at </w:t>
      </w:r>
      <w:r>
        <w:rPr>
          <w:rFonts w:ascii="Times New Roman" w:cs="Times New Roman" w:eastAsia="Times New Roman" w:hAnsi="Times New Roman"/>
          <w:sz w:val="18"/>
          <w:szCs w:val="18"/>
          <w:color w:val="0563C1"/>
        </w:rPr>
        <w:t>investors.allegromicro.com</w:t>
      </w:r>
      <w:r>
        <w:rPr>
          <w:rFonts w:ascii="Times New Roman" w:cs="Times New Roman" w:eastAsia="Times New Roman" w:hAnsi="Times New Roman"/>
          <w:sz w:val="18"/>
          <w:szCs w:val="18"/>
          <w:color w:val="auto"/>
        </w:rPr>
        <w:t>. A recording of the webcast will be posted in the same location shortly after the call concludes and will be available for at least 30 days.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Allegro MicroSystems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Allegro MicroSystems is a leading global designer, developer, fabless manufacturer and marketer of sensor integrated circuits (“ICs”) and application-specific analog power ICs enabling emerging technologies in the automotive and industrial markets. Allegro’s diverse product portfolio provides efficient and reliable solutions for the electrification of vehicles, automotive ADAS safety features, automation for Industry 4.0 and power saving technologies for data centers and green energy applications.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our expected financial performance for our second fiscal quarter ending September 23, 2022. In some cases, you can identify forward-looking statements by terms such as “anticipate,” “believe,” “could,” “expect,” “should,” “plan,” “intend,” “estimate,” “target,” “mission,” “may,” “will,” “would,” “project,” “predict,” “contemplate,” “potential,” or the negative thereof and similar words and expressions.</w:t>
      </w:r>
    </w:p>
    <w:p>
      <w:pPr>
        <w:spacing w:after="0" w:line="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Forward-looking statements are based on management’s current expectations, beliefs and assumptions and on information currently available to us. Such statements are subject to a number of known and unknown risks, uncertainties and assumptions, and actual results may differ materially from those</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expressed or implied in the forward-looking statements due to various important factors, including, but not limited to: downturns or volatility in general economic conditions, including as a result of the COVID-19 pandemic, particularly in the automotive market; our ability to compete effectively, expand our market share and increase our net sales and profitability; our reliance on a limited number of third-party wafer fabrication facilities and suppliers of other materials; our failure to adjust purchase commitments and inventory management based on changing market conditions or customer demand; shifts in our product mix or customer mix, which could negatively impact our gross margin; the cyclical nature of the analog semiconductor industry; any downturn in the automotive market; our ability to compensate for decreases in average selling prices of our products and increases in input costs; any disruptions at our primary third-party wafer fabrication facilities; our ability to manage any sustained yield problems or other delays at our third-party wafer fabrication facilities or in the final assembly and test of our products; our ability to fully realize the benefits of past and potential future initiatives designed to improve our competitiveness, growth and profitability; our ability to accurately predict our quarterly net sales and operating results; our ability to adjust our supply chain volume to account for changing market conditions and customer demand; our reliance on a limited number of third-party wafer fabrication facilities and suppliers of other materials; our dependence on manufacturing operations in the Philippines; our reliance on distributors to generate sales; COVID-19 induced lock-downs and suppression on our supply chain and customer demand; our ability to develop new product features or new products in a timely and cost-effective manner; our ability to manage growth; any slowdown in the growth of our end markets; the loss of one or more significant customers; our ability to meet customers’ quality requirements; uncertainties related to the design win process and our ability to recover design and development expenses and to generate timely or sufficient net sales or margins; changes in government trade policies, including the imposition of tariffs and export restrictions; our exposures to warranty claims, product liability claims and product recalls; our dependence on international customers and operations; the availability of rebates, tax credits and other financial incentives on end-user demands for certain products; risks related to governmental regulation and other legal obligations, including privacy, data protection, information security, consumer protection, environmental and occupational health and safety, anti-corruption and anti-bribery, and trade controls; the volatility of currency exchange rates; our ability to raise capital to support our growth strategy; our indebtedness may limit our flexibility to operate our business; our ability to effectively manage our growth and to retain key and highly skilled personnel; our ability to protect our proprietary technology and inventions through patents or trade secrets; our ability to commercialize our products without infringing third-</w:t>
      </w:r>
    </w:p>
    <w:p>
      <w:pPr>
        <w:sectPr>
          <w:pgSz w:w="11900" w:h="16838" w:orient="portrait"/>
          <w:cols w:equalWidth="0" w:num="1">
            <w:col w:w="11240"/>
          </w:cols>
          <w:pgMar w:left="320" w:top="1440" w:right="339" w:bottom="1440" w:gutter="0" w:footer="0" w:header="0"/>
        </w:sectPr>
      </w:pPr>
    </w:p>
    <w:bookmarkStart w:id="4" w:name="page5"/>
    <w:bookmarkEnd w:id="4"/>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party intellectual property rights; disruptions or breaches of our information technology systems or those of our third-party service providers; our principal stockholders have substantial control over us; the inapplicability of the “corporate opportunity” doctrine to any director or stockholder who is not employed by us; the dilutive impact on the price of our shares upon future issuance by us or future sales by our stockholders; our lack of intent to declare or pay dividends for the foreseeable future; anti-takeover provisions in our organizational documents and under the General Corporation Law of the State of Delaware (the “DGCL”); the exclusive forum provision in our Certificate of Incorporation for disputes with stockholders; our inability to design, implement or maintain effective internal control over financial reporting; changes in tax rates or the adoption of new tax legislation; and other important factors discussed under the caption “Risk Factors” in our Annual Report on Form 10-K filed with the Securities and Exchange Commission (“SEC”) on May 18, 2022, as any such factors may be updated from time to time in our other filings with the SEC, which are accessible on the SEC’s website at </w:t>
      </w:r>
      <w:r>
        <w:rPr>
          <w:rFonts w:ascii="Times New Roman" w:cs="Times New Roman" w:eastAsia="Times New Roman" w:hAnsi="Times New Roman"/>
          <w:sz w:val="18"/>
          <w:szCs w:val="18"/>
          <w:i w:val="1"/>
          <w:iCs w:val="1"/>
          <w:color w:val="026DCE"/>
        </w:rPr>
        <w:t xml:space="preserve">www.sec.gov </w:t>
      </w:r>
      <w:r>
        <w:rPr>
          <w:rFonts w:ascii="Times New Roman" w:cs="Times New Roman" w:eastAsia="Times New Roman" w:hAnsi="Times New Roman"/>
          <w:sz w:val="18"/>
          <w:szCs w:val="18"/>
          <w:color w:val="000000"/>
        </w:rPr>
        <w:t>and the Investors Relations page of our website at</w:t>
      </w:r>
      <w:r>
        <w:rPr>
          <w:rFonts w:ascii="Times New Roman" w:cs="Times New Roman" w:eastAsia="Times New Roman" w:hAnsi="Times New Roman"/>
          <w:sz w:val="18"/>
          <w:szCs w:val="18"/>
          <w:i w:val="1"/>
          <w:iCs w:val="1"/>
          <w:color w:val="026DCE"/>
        </w:rPr>
        <w:t xml:space="preserve"> investors.allegromicro.com</w:t>
      </w:r>
      <w:r>
        <w:rPr>
          <w:rFonts w:ascii="Times New Roman" w:cs="Times New Roman" w:eastAsia="Times New Roman" w:hAnsi="Times New Roman"/>
          <w:sz w:val="18"/>
          <w:szCs w:val="18"/>
          <w:color w:val="000000"/>
        </w:rPr>
        <w:t>.</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press release and, except as required by applicable law, we do not plan to publicly update or revise any forward-looking statements contained herein, whether as a result of any new information, future events, changed circumstances or otherwise.</w:t>
      </w:r>
    </w:p>
    <w:p>
      <w:pPr>
        <w:sectPr>
          <w:pgSz w:w="11900" w:h="16838" w:orient="portrait"/>
          <w:cols w:equalWidth="0" w:num="1">
            <w:col w:w="11240"/>
          </w:cols>
          <w:pgMar w:left="320" w:top="1440" w:right="339" w:bottom="1440" w:gutter="0" w:footer="0" w:header="0"/>
        </w:sectPr>
      </w:pPr>
    </w:p>
    <w:bookmarkStart w:id="5" w:name="page6"/>
    <w:bookmarkEnd w:id="5"/>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240" w:type="dxa"/>
            <w:vAlign w:val="bottom"/>
          </w:tcPr>
          <w:p>
            <w:pPr>
              <w:spacing w:after="0"/>
              <w:rPr>
                <w:sz w:val="11"/>
                <w:szCs w:val="11"/>
                <w:color w:val="auto"/>
              </w:rPr>
            </w:pPr>
          </w:p>
        </w:tc>
        <w:tc>
          <w:tcPr>
            <w:tcW w:w="1100" w:type="dxa"/>
            <w:vAlign w:val="bottom"/>
          </w:tcPr>
          <w:p>
            <w:pPr>
              <w:jc w:val="right"/>
              <w:ind w:right="331"/>
              <w:spacing w:after="0" w:line="131" w:lineRule="exact"/>
              <w:rPr>
                <w:sz w:val="20"/>
                <w:szCs w:val="20"/>
                <w:color w:val="auto"/>
              </w:rPr>
            </w:pPr>
            <w:r>
              <w:rPr>
                <w:rFonts w:ascii="Times New Roman" w:cs="Times New Roman" w:eastAsia="Times New Roman" w:hAnsi="Times New Roman"/>
                <w:sz w:val="14"/>
                <w:szCs w:val="14"/>
                <w:b w:val="1"/>
                <w:bCs w:val="1"/>
                <w:color w:val="auto"/>
              </w:rPr>
              <w:t>June 25,</w:t>
            </w:r>
          </w:p>
        </w:tc>
        <w:tc>
          <w:tcPr>
            <w:tcW w:w="0" w:type="dxa"/>
            <w:vAlign w:val="bottom"/>
          </w:tcPr>
          <w:p>
            <w:pPr>
              <w:spacing w:after="0"/>
              <w:rPr>
                <w:sz w:val="1"/>
                <w:szCs w:val="1"/>
                <w:color w:val="auto"/>
              </w:rPr>
            </w:pPr>
          </w:p>
        </w:tc>
      </w:tr>
      <w:tr>
        <w:trPr>
          <w:trHeight w:val="195"/>
        </w:trPr>
        <w:tc>
          <w:tcPr>
            <w:tcW w:w="8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sales to related party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35,453</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188,142</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93,982</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94,160</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29,554</w:t>
            </w:r>
          </w:p>
        </w:tc>
        <w:tc>
          <w:tcPr>
            <w:tcW w:w="0" w:type="dxa"/>
            <w:vAlign w:val="bottom"/>
          </w:tcPr>
          <w:p>
            <w:pPr>
              <w:spacing w:after="0"/>
              <w:rPr>
                <w:sz w:val="1"/>
                <w:szCs w:val="1"/>
                <w:color w:val="auto"/>
              </w:rPr>
            </w:pPr>
          </w:p>
        </w:tc>
      </w:tr>
      <w:tr>
        <w:trPr>
          <w:trHeight w:val="229"/>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32,064</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61,918</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income in earnings of equity investment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27,707</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Allegro MicroSystems,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Allegro MicroSystems, Inc.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tcPr>
          <w:p>
            <w:pPr>
              <w:ind w:left="6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190,638,135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189,585,381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192,406,276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191,163,074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Schedule of Total Net Sales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total net sales by market within the Company’s unaudited consolidated statements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240" w:type="dxa"/>
            <w:vAlign w:val="bottom"/>
          </w:tcPr>
          <w:p>
            <w:pPr>
              <w:spacing w:after="0"/>
              <w:rPr>
                <w:sz w:val="16"/>
                <w:szCs w:val="16"/>
                <w:color w:val="auto"/>
              </w:rPr>
            </w:pPr>
          </w:p>
        </w:tc>
        <w:tc>
          <w:tcPr>
            <w:tcW w:w="164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18"/>
              <w:spacing w:after="0" w:line="131" w:lineRule="exact"/>
              <w:rPr>
                <w:sz w:val="20"/>
                <w:szCs w:val="20"/>
                <w:color w:val="auto"/>
              </w:rPr>
            </w:pPr>
            <w:r>
              <w:rPr>
                <w:rFonts w:ascii="Times New Roman" w:cs="Times New Roman" w:eastAsia="Times New Roman" w:hAnsi="Times New Roman"/>
                <w:sz w:val="14"/>
                <w:szCs w:val="14"/>
                <w:b w:val="1"/>
                <w:bCs w:val="1"/>
                <w:color w:val="auto"/>
              </w:rPr>
              <w:t>June 25,</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tcBorders>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3"/>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29,611</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Schedule of Stock-Based Compensation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unaudited consolidated statements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r>
      <w:tr>
        <w:trPr>
          <w:trHeight w:val="23"/>
        </w:trPr>
        <w:tc>
          <w:tcPr>
            <w:tcW w:w="8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24,</w:t>
            </w:r>
          </w:p>
        </w:tc>
        <w:tc>
          <w:tcPr>
            <w:tcW w:w="260" w:type="dxa"/>
            <w:vAlign w:val="bottom"/>
          </w:tcPr>
          <w:p>
            <w:pPr>
              <w:spacing w:after="0"/>
              <w:rPr>
                <w:sz w:val="18"/>
                <w:szCs w:val="18"/>
                <w:color w:val="auto"/>
              </w:rPr>
            </w:pPr>
          </w:p>
        </w:tc>
        <w:tc>
          <w:tcPr>
            <w:tcW w:w="10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June 25,</w:t>
            </w:r>
          </w:p>
        </w:tc>
      </w:tr>
      <w:tr>
        <w:trPr>
          <w:trHeight w:val="122"/>
        </w:trPr>
        <w:tc>
          <w:tcPr>
            <w:tcW w:w="84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38"/>
              <w:spacing w:after="0" w:line="12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36"/>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stock-based compensation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w:t>
            </w:r>
          </w:p>
        </w:tc>
      </w:tr>
      <w:tr>
        <w:trPr>
          <w:trHeight w:val="21"/>
        </w:trPr>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Schedule of Acquisition Related Intangible Amortization Costs</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intangible amortization expense related to its acquisition of Voxtel in the following expense categories of its unaudited consolidated statements of operations: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38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380" w:type="dxa"/>
            <w:vAlign w:val="bottom"/>
          </w:tcPr>
          <w:p>
            <w:pPr>
              <w:spacing w:after="0"/>
              <w:rPr>
                <w:sz w:val="16"/>
                <w:szCs w:val="16"/>
                <w:color w:val="auto"/>
              </w:rPr>
            </w:pPr>
          </w:p>
        </w:tc>
      </w:tr>
      <w:tr>
        <w:trPr>
          <w:trHeight w:val="23"/>
        </w:trPr>
        <w:tc>
          <w:tcPr>
            <w:tcW w:w="84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0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24,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25,</w:t>
            </w:r>
          </w:p>
        </w:tc>
        <w:tc>
          <w:tcPr>
            <w:tcW w:w="380" w:type="dxa"/>
            <w:vAlign w:val="bottom"/>
          </w:tcPr>
          <w:p>
            <w:pPr>
              <w:spacing w:after="0"/>
              <w:rPr>
                <w:sz w:val="18"/>
                <w:szCs w:val="18"/>
                <w:color w:val="auto"/>
              </w:rPr>
            </w:pPr>
          </w:p>
        </w:tc>
      </w:tr>
      <w:tr>
        <w:trPr>
          <w:trHeight w:val="122"/>
        </w:trPr>
        <w:tc>
          <w:tcPr>
            <w:tcW w:w="848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right"/>
              <w:ind w:right="81"/>
              <w:spacing w:after="0" w:line="12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right"/>
              <w:ind w:right="59"/>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0"/>
                <w:szCs w:val="10"/>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amortization</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24,</w:t>
            </w:r>
          </w:p>
        </w:tc>
        <w:tc>
          <w:tcPr>
            <w:tcW w:w="240" w:type="dxa"/>
            <w:vAlign w:val="bottom"/>
          </w:tcPr>
          <w:p>
            <w:pPr>
              <w:spacing w:after="0"/>
              <w:rPr>
                <w:sz w:val="14"/>
                <w:szCs w:val="14"/>
                <w:color w:val="auto"/>
              </w:rPr>
            </w:pPr>
          </w:p>
        </w:tc>
        <w:tc>
          <w:tcPr>
            <w:tcW w:w="11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March 26,</w:t>
            </w:r>
          </w:p>
        </w:tc>
      </w:tr>
      <w:tr>
        <w:trPr>
          <w:trHeight w:val="190"/>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0"/>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282,383</w:t>
            </w:r>
          </w:p>
        </w:tc>
      </w:tr>
      <w:tr>
        <w:trPr>
          <w:trHeight w:val="229"/>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r>
      <w:tr>
        <w:trPr>
          <w:trHeight w:val="176"/>
        </w:trPr>
        <w:tc>
          <w:tcPr>
            <w:tcW w:w="848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Trade accounts receivable, net of provision for expected credit losses of $149 and $105 at June 24, 2022 and</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March 25, 2022, respectively</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87,359</w:t>
            </w:r>
          </w:p>
        </w:tc>
      </w:tr>
      <w:tr>
        <w:trPr>
          <w:trHeight w:val="270"/>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 and other accounts receivable due from related party</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w:t>
            </w:r>
          </w:p>
        </w:tc>
      </w:tr>
      <w:tr>
        <w:trPr>
          <w:trHeight w:val="256"/>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r>
      <w:tr>
        <w:trPr>
          <w:trHeight w:val="230"/>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86,160</w:t>
            </w:r>
          </w:p>
        </w:tc>
      </w:tr>
      <w:tr>
        <w:trPr>
          <w:trHeight w:val="229"/>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14,995</w:t>
            </w:r>
          </w:p>
        </w:tc>
      </w:tr>
      <w:tr>
        <w:trPr>
          <w:trHeight w:val="229"/>
        </w:trPr>
        <w:tc>
          <w:tcPr>
            <w:tcW w:w="8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Current portion of related party note receivable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3"/>
        </w:trPr>
        <w:tc>
          <w:tcPr>
            <w:tcW w:w="8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511,692</w:t>
            </w:r>
          </w:p>
        </w:tc>
      </w:tr>
      <w:tr>
        <w:trPr>
          <w:trHeight w:val="229"/>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210,028</w:t>
            </w:r>
          </w:p>
        </w:tc>
      </w:tr>
      <w:tr>
        <w:trPr>
          <w:trHeight w:val="230"/>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w:t>
            </w:r>
          </w:p>
        </w:tc>
      </w:tr>
      <w:tr>
        <w:trPr>
          <w:trHeight w:val="229"/>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17,967</w:t>
            </w:r>
          </w:p>
        </w:tc>
      </w:tr>
      <w:tr>
        <w:trPr>
          <w:trHeight w:val="230"/>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20,009</w:t>
            </w:r>
          </w:p>
        </w:tc>
      </w:tr>
      <w:tr>
        <w:trPr>
          <w:trHeight w:val="230"/>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35,970</w:t>
            </w:r>
          </w:p>
        </w:tc>
      </w:tr>
      <w:tr>
        <w:trPr>
          <w:trHeight w:val="230"/>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Related party note receivable, less current portion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29"/>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investment in related party</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27,671</w:t>
            </w:r>
          </w:p>
        </w:tc>
      </w:tr>
      <w:tr>
        <w:trPr>
          <w:trHeight w:val="230"/>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47,609</w:t>
            </w:r>
          </w:p>
        </w:tc>
      </w:tr>
      <w:tr>
        <w:trPr>
          <w:trHeight w:val="223"/>
        </w:trPr>
        <w:tc>
          <w:tcPr>
            <w:tcW w:w="8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892,620</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Non-Controlling Interests and Stockholders' Equity</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29,836</w:t>
            </w:r>
          </w:p>
        </w:tc>
      </w:tr>
      <w:tr>
        <w:trPr>
          <w:trHeight w:val="230"/>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Amounts due to related party</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r>
      <w:tr>
        <w:trPr>
          <w:trHeight w:val="230"/>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65,459</w:t>
            </w:r>
          </w:p>
        </w:tc>
      </w:tr>
      <w:tr>
        <w:trPr>
          <w:trHeight w:val="270"/>
        </w:trPr>
        <w:tc>
          <w:tcPr>
            <w:tcW w:w="8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w:t>
            </w:r>
          </w:p>
        </w:tc>
      </w:tr>
      <w:tr>
        <w:trPr>
          <w:trHeight w:val="223"/>
        </w:trPr>
        <w:tc>
          <w:tcPr>
            <w:tcW w:w="8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104,223</w:t>
            </w:r>
          </w:p>
        </w:tc>
      </w:tr>
      <w:tr>
        <w:trPr>
          <w:trHeight w:val="230"/>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Obligations due under Senior Secured Credit Facilities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12,748</w:t>
            </w:r>
          </w:p>
        </w:tc>
      </w:tr>
      <w:tr>
        <w:trPr>
          <w:trHeight w:val="230"/>
        </w:trPr>
        <w:tc>
          <w:tcPr>
            <w:tcW w:w="8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15,286</w:t>
            </w:r>
          </w:p>
        </w:tc>
      </w:tr>
      <w:tr>
        <w:trPr>
          <w:trHeight w:val="223"/>
        </w:trPr>
        <w:tc>
          <w:tcPr>
            <w:tcW w:w="8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157,257</w:t>
            </w:r>
          </w:p>
        </w:tc>
      </w:tr>
      <w:tr>
        <w:trPr>
          <w:trHeight w:val="21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5"/>
        </w:trPr>
        <w:tc>
          <w:tcPr>
            <w:tcW w:w="848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Preferred Stock, $0.01 par value; 20,000,000 shares authorized, no shares issued or outstanding at June 24, 2022</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and March 25, 2022</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48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Common stock, $0.01 par value; 1,000,000,000 shares authorized, 191,180,179 shares issued and outstanding at</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June 24, 2022; 1,000,000,000 shares authorized, 190,473,595 issued and outstanding at March 25, 2022</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29"/>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627,792</w:t>
            </w:r>
          </w:p>
        </w:tc>
      </w:tr>
      <w:tr>
        <w:trPr>
          <w:trHeight w:val="229"/>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122,958</w:t>
            </w:r>
          </w:p>
        </w:tc>
      </w:tr>
      <w:tr>
        <w:trPr>
          <w:trHeight w:val="230"/>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w:t>
            </w:r>
          </w:p>
        </w:tc>
      </w:tr>
      <w:tr>
        <w:trPr>
          <w:trHeight w:val="223"/>
        </w:trPr>
        <w:tc>
          <w:tcPr>
            <w:tcW w:w="8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Equity attributable to Allegro MicroSystems, Inc.</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734,207</w:t>
            </w:r>
          </w:p>
        </w:tc>
      </w:tr>
      <w:tr>
        <w:trPr>
          <w:trHeight w:val="230"/>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23"/>
        </w:trPr>
        <w:tc>
          <w:tcPr>
            <w:tcW w:w="84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735,363</w:t>
            </w:r>
          </w:p>
        </w:tc>
      </w:tr>
      <w:tr>
        <w:trPr>
          <w:trHeight w:val="248"/>
        </w:trPr>
        <w:tc>
          <w:tcPr>
            <w:tcW w:w="8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non-controlling interest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892,620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260" w:type="dxa"/>
            <w:vAlign w:val="bottom"/>
          </w:tcPr>
          <w:p>
            <w:pPr>
              <w:spacing w:after="0"/>
              <w:rPr>
                <w:sz w:val="11"/>
                <w:szCs w:val="11"/>
                <w:color w:val="auto"/>
              </w:rPr>
            </w:pPr>
          </w:p>
        </w:tc>
        <w:tc>
          <w:tcPr>
            <w:tcW w:w="1080" w:type="dxa"/>
            <w:vAlign w:val="bottom"/>
          </w:tcPr>
          <w:p>
            <w:pPr>
              <w:jc w:val="right"/>
              <w:ind w:right="339"/>
              <w:spacing w:after="0" w:line="131" w:lineRule="exact"/>
              <w:rPr>
                <w:sz w:val="20"/>
                <w:szCs w:val="20"/>
                <w:color w:val="auto"/>
              </w:rPr>
            </w:pPr>
            <w:r>
              <w:rPr>
                <w:rFonts w:ascii="Times New Roman" w:cs="Times New Roman" w:eastAsia="Times New Roman" w:hAnsi="Times New Roman"/>
                <w:sz w:val="14"/>
                <w:szCs w:val="14"/>
                <w:b w:val="1"/>
                <w:bCs w:val="1"/>
                <w:color w:val="auto"/>
              </w:rPr>
              <w:t>June 25,</w:t>
            </w:r>
          </w:p>
        </w:tc>
        <w:tc>
          <w:tcPr>
            <w:tcW w:w="0" w:type="dxa"/>
            <w:vAlign w:val="bottom"/>
          </w:tcPr>
          <w:p>
            <w:pPr>
              <w:spacing w:after="0"/>
              <w:rPr>
                <w:sz w:val="1"/>
                <w:szCs w:val="1"/>
                <w:color w:val="auto"/>
              </w:rPr>
            </w:pPr>
          </w:p>
        </w:tc>
      </w:tr>
      <w:tr>
        <w:trPr>
          <w:trHeight w:val="195"/>
        </w:trPr>
        <w:tc>
          <w:tcPr>
            <w:tcW w:w="8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27,707</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84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0" w:type="dxa"/>
            <w:vAlign w:val="bottom"/>
          </w:tcPr>
          <w:p>
            <w:pPr>
              <w:spacing w:after="0"/>
              <w:rPr>
                <w:sz w:val="1"/>
                <w:szCs w:val="1"/>
                <w:color w:val="auto"/>
              </w:rPr>
            </w:pPr>
          </w:p>
        </w:tc>
      </w:tr>
      <w:tr>
        <w:trPr>
          <w:trHeight w:val="213"/>
        </w:trPr>
        <w:tc>
          <w:tcPr>
            <w:tcW w:w="84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Gain on disposal of assets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(Gain) loss on contingent consideration change in fair value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3"/>
        </w:trPr>
        <w:tc>
          <w:tcPr>
            <w:tcW w:w="84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Provisions for inventory and expected credit losses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(9,956)</w:t>
            </w:r>
          </w:p>
        </w:tc>
        <w:tc>
          <w:tcPr>
            <w:tcW w:w="0" w:type="dxa"/>
            <w:vAlign w:val="bottom"/>
          </w:tcPr>
          <w:p>
            <w:pPr>
              <w:spacing w:after="0"/>
              <w:rPr>
                <w:sz w:val="1"/>
                <w:szCs w:val="1"/>
                <w:color w:val="auto"/>
              </w:rPr>
            </w:pPr>
          </w:p>
        </w:tc>
      </w:tr>
      <w:tr>
        <w:trPr>
          <w:trHeight w:val="213"/>
        </w:trPr>
        <w:tc>
          <w:tcPr>
            <w:tcW w:w="84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Accounts receivable - other</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0" w:type="dxa"/>
            <w:vAlign w:val="bottom"/>
          </w:tcPr>
          <w:p>
            <w:pPr>
              <w:spacing w:after="0"/>
              <w:rPr>
                <w:sz w:val="1"/>
                <w:szCs w:val="1"/>
                <w:color w:val="auto"/>
              </w:rPr>
            </w:pPr>
          </w:p>
        </w:tc>
      </w:tr>
      <w:tr>
        <w:trPr>
          <w:trHeight w:val="213"/>
        </w:trPr>
        <w:tc>
          <w:tcPr>
            <w:tcW w:w="84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Trade accounts payable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0" w:type="dxa"/>
            <w:vAlign w:val="bottom"/>
          </w:tcPr>
          <w:p>
            <w:pPr>
              <w:spacing w:after="0"/>
              <w:rPr>
                <w:sz w:val="1"/>
                <w:szCs w:val="1"/>
                <w:color w:val="auto"/>
              </w:rPr>
            </w:pPr>
          </w:p>
        </w:tc>
      </w:tr>
      <w:tr>
        <w:trPr>
          <w:trHeight w:val="213"/>
        </w:trPr>
        <w:tc>
          <w:tcPr>
            <w:tcW w:w="84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Due to/from related parties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Accrued expenses and other current and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0" w:type="dxa"/>
            <w:vAlign w:val="bottom"/>
          </w:tcPr>
          <w:p>
            <w:pPr>
              <w:spacing w:after="0"/>
              <w:rPr>
                <w:sz w:val="1"/>
                <w:szCs w:val="1"/>
                <w:color w:val="auto"/>
              </w:rPr>
            </w:pPr>
          </w:p>
        </w:tc>
      </w:tr>
      <w:tr>
        <w:trPr>
          <w:trHeight w:val="207"/>
        </w:trPr>
        <w:tc>
          <w:tcPr>
            <w:tcW w:w="8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37,741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38,495</w:t>
            </w:r>
          </w:p>
        </w:tc>
        <w:tc>
          <w:tcPr>
            <w:tcW w:w="0" w:type="dxa"/>
            <w:vAlign w:val="bottom"/>
          </w:tcPr>
          <w:p>
            <w:pPr>
              <w:spacing w:after="0"/>
              <w:rPr>
                <w:sz w:val="1"/>
                <w:szCs w:val="1"/>
                <w:color w:val="auto"/>
              </w:rPr>
            </w:pPr>
          </w:p>
        </w:tc>
      </w:tr>
      <w:tr>
        <w:trPr>
          <w:trHeight w:val="19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(15,346)</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(15,346)</w:t>
            </w:r>
          </w:p>
        </w:tc>
        <w:tc>
          <w:tcPr>
            <w:tcW w:w="0" w:type="dxa"/>
            <w:vAlign w:val="bottom"/>
          </w:tcPr>
          <w:p>
            <w:pPr>
              <w:spacing w:after="0"/>
              <w:rPr>
                <w:sz w:val="1"/>
                <w:szCs w:val="1"/>
                <w:color w:val="auto"/>
              </w:rPr>
            </w:pPr>
          </w:p>
        </w:tc>
      </w:tr>
      <w:tr>
        <w:trPr>
          <w:trHeight w:val="19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Receipts on related party note receivable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equity awards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25,757</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289,799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203,875</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229,632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197,214</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Restricted cash at beginning of period</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6,661</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289,799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203,875</w:t>
            </w:r>
          </w:p>
        </w:tc>
        <w:tc>
          <w:tcPr>
            <w:tcW w:w="0" w:type="dxa"/>
            <w:vAlign w:val="bottom"/>
          </w:tcPr>
          <w:p>
            <w:pPr>
              <w:spacing w:after="0"/>
              <w:rPr>
                <w:sz w:val="1"/>
                <w:szCs w:val="1"/>
                <w:color w:val="auto"/>
              </w:rPr>
            </w:pPr>
          </w:p>
        </w:tc>
      </w:tr>
      <w:tr>
        <w:trPr>
          <w:trHeight w:val="207"/>
        </w:trPr>
        <w:tc>
          <w:tcPr>
            <w:tcW w:w="8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221,934</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cash at 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7,698</w:t>
            </w:r>
          </w:p>
        </w:tc>
        <w:tc>
          <w:tcPr>
            <w:tcW w:w="0" w:type="dxa"/>
            <w:vAlign w:val="bottom"/>
          </w:tcPr>
          <w:p>
            <w:pPr>
              <w:spacing w:after="0"/>
              <w:rPr>
                <w:sz w:val="1"/>
                <w:szCs w:val="1"/>
                <w:color w:val="auto"/>
              </w:rPr>
            </w:pPr>
          </w:p>
        </w:tc>
      </w:tr>
      <w:tr>
        <w:trPr>
          <w:trHeight w:val="183"/>
        </w:trPr>
        <w:tc>
          <w:tcPr>
            <w:tcW w:w="84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240" w:type="dxa"/>
            <w:vAlign w:val="bottom"/>
            <w:tcBorders>
              <w:bottom w:val="single" w:sz="8" w:color="auto"/>
            </w:tcBorders>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296,272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229,632</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refunded for income taxes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transactions: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Trade accounts payable related to Property, plant and equipment,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0" w:type="dxa"/>
            <w:vAlign w:val="bottom"/>
          </w:tcPr>
          <w:p>
            <w:pPr>
              <w:spacing w:after="0"/>
              <w:rPr>
                <w:sz w:val="1"/>
                <w:szCs w:val="1"/>
                <w:color w:val="auto"/>
              </w:rPr>
            </w:pPr>
          </w:p>
        </w:tc>
      </w:tr>
      <w:tr>
        <w:trPr>
          <w:trHeight w:val="210"/>
        </w:trPr>
        <w:tc>
          <w:tcPr>
            <w:tcW w:w="8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lease liabilities arising from obtaining right-of-use assets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1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regularly review other measures, defined as non-GAAP financial measures by the SEC, to evaluate our business, measure our performance, identify trends, prepare financial forecasts and make strategic decisions. The key measures we consider are non-GAAP Gross Profit, non-GAAP Gross Margin, non-GAAP Operating Expenses, non-GAAP Operating Income, non-GAAP Operating Margin, non-GAAP Profit before Tax, non-GAAP Provision for Income Tax, non-GAAP Net Income, non-GAAP Net Income per Share, EBITDA, Adjusted EBITDA and Adjusted EBITDA margin (collectively, the “Non-GAAP Financial Measures”). These Non-GAAP Financial Measures provide supplemental information regarding our operating performance on a non-GAAP basis that excludes certain gains, losses and charges of a non-cash nature or that occur relatively infrequently and/or that management considers to be unrelated to our core operations, and in the case of non-GAAP Provision for Income Tax, management believes that this non-GAAP measure of income taxes provides it with the ability to evaluate the non-GAAP Provision for Income Taxes across different reporting periods on a consistent basis, independent of special items and discrete items, which may vary in size and frequency. By presenting these Non-GAAP Financial Measures, we provide a basis for comparison of our business operations between periods by excluding items that we do not believe are indicative of our core operating performance, and we believe that investors’ understanding of our performance is enhanced by our presenting these Non-GAAP Financial Measures, as they provide a reasonable basis for comparing our ongoing results of operations. Management believes that tracking and presenting these Non-GAAP Financial Measures provides management and the investment community with valuable insight into matters such as: our ongoing core operations, our ability to generate cash to service our debt and fund our operations; and the underlying business trends that are affecting our performance. These Non-GAAP Financial Measures are used by both management and our board of directors, together with the comparable GAAP information, in evaluating our current performance and planning our future business activities. In particular, management finds it useful to exclude non-cash charges in order to better correlate our operating activities with our ability to generate cash from operations and to exclude certain cash charges as a means of more accurately predicting our liquidity requirements. We believe that these Non-GAAP Financial Measures, when used in conjunction with our GAAP financial information, also allow investors to better evaluate our financial performance in comparison to other periods and to other companies in our industry.</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Non-GAAP Financial Measures have significant limitations as analytical tools. Some of these limitations are that:</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exclude certain costs which are important in analyzing our GAAP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the interest expense, or the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measures do not reflect any cash requirements for such replacements;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such measures differently than we do, thereby further limiting their usefulness as comparative measures.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supplemental measures of our performance that are neither required by, nor presented in accordance with, GAAP. These Non-GAAP Financial Measures should not be considered as substitutes for GAAP financial measures such as gross profit, gross margin, net income or any other performance measures derived in accordance with GAAP. Also, in the future we may incur expenses or charges such as those being adjusted in the calculation of these Non-GAAP Financial Measures. Our presentation of these Non-GAAP Financial Measures should not be construed as an inference that future results will be unaffected by unusual or nonrecurring items.</w:t>
      </w:r>
    </w:p>
    <w:p>
      <w:pPr>
        <w:spacing w:after="0" w:line="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prior disclosure referred to non-GAAP Gross Profit and non-GAAP Gross Margin as Adjusted Gross Profit and Adjusted Gross Margin, respectively. No changes have been made to how we calculate these measures.</w:t>
      </w:r>
    </w:p>
    <w:p>
      <w:pPr>
        <w:sectPr>
          <w:pgSz w:w="11900" w:h="16838" w:orient="portrait"/>
          <w:cols w:equalWidth="0" w:num="1">
            <w:col w:w="11240"/>
          </w:cols>
          <w:pgMar w:left="320" w:top="1440" w:right="339" w:bottom="1440" w:gutter="0" w:footer="0" w:header="0"/>
        </w:sectPr>
      </w:pPr>
    </w:p>
    <w:bookmarkStart w:id="10" w:name="page11"/>
    <w:bookmarkEnd w:id="1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Non-GAAP Gross Margin</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calculate non-GAAP Gross Profit and non-GAAP Gross Margin excluding the items below from cost of goods sold in applicable periods, and we calculate non-GAAP Gross Margin as non-GAAP Gross Profit divided by total net sales.</w:t>
      </w:r>
    </w:p>
    <w:p>
      <w:pPr>
        <w:spacing w:after="0" w:line="5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Voxtel inventory impairment—Represents costs related to the discontinuation of one of our product lines manufactured by Voxtel.</w:t>
      </w:r>
    </w:p>
    <w:p>
      <w:pPr>
        <w:spacing w:after="0" w:line="117" w:lineRule="exact"/>
        <w:rPr>
          <w:rFonts w:ascii="Times New Roman" w:cs="Times New Roman" w:eastAsia="Times New Roman" w:hAnsi="Times New Roman"/>
          <w:sz w:val="18"/>
          <w:szCs w:val="18"/>
          <w:color w:val="auto"/>
        </w:rPr>
      </w:pPr>
    </w:p>
    <w:p>
      <w:pPr>
        <w:ind w:left="660" w:right="20" w:hanging="328"/>
        <w:spacing w:after="0" w:line="270" w:lineRule="auto"/>
        <w:tabs>
          <w:tab w:leader="none" w:pos="653" w:val="left"/>
        </w:tabs>
        <w:numPr>
          <w:ilvl w:val="0"/>
          <w:numId w:val="4"/>
        </w:numPr>
        <w:rPr>
          <w:rFonts w:ascii="Calibri" w:cs="Calibri" w:eastAsia="Calibri" w:hAnsi="Calibri"/>
          <w:sz w:val="20"/>
          <w:szCs w:val="20"/>
          <w:color w:val="auto"/>
        </w:rPr>
      </w:pPr>
      <w:r>
        <w:rPr>
          <w:rFonts w:ascii="Times New Roman" w:cs="Times New Roman" w:eastAsia="Times New Roman" w:hAnsi="Times New Roman"/>
          <w:sz w:val="18"/>
          <w:szCs w:val="18"/>
          <w:color w:val="auto"/>
        </w:rPr>
        <w:t>Stock-based compensation—Represents non-cash expenses arising from the grant of stock-based awards. A significant portion of the cost included in fiscal year 2023 related to retirement of the former CEO.</w:t>
      </w:r>
    </w:p>
    <w:p>
      <w:pPr>
        <w:spacing w:after="0" w:line="59" w:lineRule="exact"/>
        <w:rPr>
          <w:rFonts w:ascii="Calibri" w:cs="Calibri" w:eastAsia="Calibri" w:hAnsi="Calibri"/>
          <w:sz w:val="20"/>
          <w:szCs w:val="20"/>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AMTC Facility consolidation one-time costs—Represents one-time costs incurred in connection with closing of the AMTC Facility and transitioning of test and assembly functions to the AMPI Facility announced in fiscal year 2020, consisting of: moving equipment between facilities, contract terminations and other non-recurring charges. The closure and transition of the AMTC Facility was substantially completed as of the end of March 2021, and we sold the AMTC Facility in August 2021. These costs are in addition to, and not duplicative of, the adjustments noted in note (*) below.</w:t>
      </w:r>
    </w:p>
    <w:p>
      <w:pPr>
        <w:spacing w:after="0" w:line="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acquisition-related intangible assets—Represents non-cash expenses associated with the amortization of intangible assets in connection with the acquisition of Voxtel, which closed in August 2020.</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related expenses—Represents expenses attributable to the COVID-19 pandemic primarily related to increased purchases of masks, gloves and other protective materials, and overtime premium compensation paid for maintaining 24-hour service at the AMPI Facility through fiscal year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Operating Expenses, non-GAAP Operating Income and non-GAAP Operating Margin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calculate non-GAAP Operating Expenses and non-GAAP Operating Income excluding the same items excluded above to the extent they are classified as operating expenses, and also excluding the items below in applicable periods. We calculate non-GAAP Operating Margin as non-GAAP Operating Income divided by total net sales.</w:t>
      </w:r>
    </w:p>
    <w:p>
      <w:pPr>
        <w:spacing w:after="0" w:line="68" w:lineRule="exact"/>
        <w:rPr>
          <w:sz w:val="20"/>
          <w:szCs w:val="20"/>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fees—Represents transaction-related legal and consulting fees incurred primarily in connection with (i) one-time transaction-related legal, consulting and registration fees related to a secondary offering on behalf of certain stockholders in fiscal 2022, and (ii) one-time transaction-related legal and consulting fees in fiscal 2023 and 2022 not related to (i).</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Severance—Represents severance costs associated with (i) the closing of the AMTC Facility and the transitioning of test and assembly functions to the AMPI Facility announced and initiated in fiscal year 2020, (ii) costs related to the discontinuation of one of our product lines manufactured by Voxtel in fiscal year 2022, and (iii) nonrecurring separation costs related to the departures of executive officers in fiscal years 2023 and 2022.</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contingent consideration—Represents the change in fair value of contingent consideration payable in connection with the acquisition of Voxtel.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and Adjusted EBITDA Margin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calculate EBITDA as net income minus interest income (expense), tax provision (benefit), and depreciation and amortization expenses. We calculate Adjusted EBITDA as EBITDA excluding the same items excluded above and also excluding the items below in applicable periods. We calculate Adjusted EBITDA Margin as Adjusted EBITDA divided by total net sales.</w:t>
      </w:r>
    </w:p>
    <w:p>
      <w:pPr>
        <w:spacing w:after="0" w:line="6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Non-core (gain) loss on sale of equipment—Represents non-core miscellaneous losses and gains on the sale of equipment.</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(gain) loss—Represents losses and gains resulting from the remeasurement and settlement of intercompany debt and operational transactions, as well as transactions with external customers or vendors denominated in currencies other than the functional currency of the legal entity in which the transaction is recorded.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income in earnings of equity investment—Represents our equity method investment in Polar Semiconductor, LLC (“PSL”).</w:t>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loss on investments—Represents mark-to-market adjustments on equity investments with readily determinable fair values.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Profit before Tax, Non-GAAP Net Income, and Non-GAAP Basic and Diluted Earnings Per Share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calculate non-GAAP Profit before Tax as Income (Loss) before Income Taxes excluding the same items excluded above and also excluding the item below in applicable periods. We calculate non-GAAP Net Income as Net Income excluding the same items excluded above and also excluding the item below in applicable periods.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Provision for Income Tax</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calculating non-GAAP Provision for Income Tax, we have added back the following to GAAP Income Tax Provision (Benefit):</w:t>
      </w:r>
    </w:p>
    <w:p>
      <w:pPr>
        <w:spacing w:after="0" w:line="117"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adjustments to GAAP results—Represents the estimated income tax effect of the adjustments to non-GAAP Profit Before Tax described above and elimination of discrete tax adjustments.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6"/>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980" w:type="dxa"/>
            <w:vAlign w:val="bottom"/>
          </w:tcPr>
          <w:p>
            <w:pPr>
              <w:spacing w:after="0"/>
              <w:rPr>
                <w:sz w:val="16"/>
                <w:szCs w:val="16"/>
                <w:color w:val="auto"/>
              </w:rPr>
            </w:pPr>
          </w:p>
        </w:tc>
      </w:tr>
      <w:tr>
        <w:trPr>
          <w:trHeight w:val="23"/>
        </w:trPr>
        <w:tc>
          <w:tcPr>
            <w:tcW w:w="7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1"/>
        </w:trPr>
        <w:tc>
          <w:tcPr>
            <w:tcW w:w="7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275"/>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40" w:type="dxa"/>
            <w:vAlign w:val="bottom"/>
          </w:tcPr>
          <w:p>
            <w:pPr>
              <w:spacing w:after="0"/>
              <w:rPr>
                <w:sz w:val="11"/>
                <w:szCs w:val="11"/>
                <w:color w:val="auto"/>
              </w:rPr>
            </w:pPr>
          </w:p>
        </w:tc>
        <w:tc>
          <w:tcPr>
            <w:tcW w:w="980" w:type="dxa"/>
            <w:vAlign w:val="bottom"/>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June 25,</w:t>
            </w:r>
          </w:p>
        </w:tc>
      </w:tr>
      <w:tr>
        <w:trPr>
          <w:trHeight w:val="195"/>
        </w:trPr>
        <w:tc>
          <w:tcPr>
            <w:tcW w:w="7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Gross Profit</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7"/>
        </w:trPr>
        <w:tc>
          <w:tcPr>
            <w:tcW w:w="7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Gross Profit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118,374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109,603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94,160</w:t>
            </w:r>
          </w:p>
        </w:tc>
      </w:tr>
      <w:tr>
        <w:trPr>
          <w:trHeight w:val="257"/>
        </w:trPr>
        <w:tc>
          <w:tcPr>
            <w:tcW w:w="7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2,835</w:t>
            </w:r>
          </w:p>
        </w:tc>
      </w:tr>
      <w:tr>
        <w:trPr>
          <w:trHeight w:val="229"/>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528</w:t>
            </w:r>
          </w:p>
        </w:tc>
      </w:tr>
      <w:tr>
        <w:trPr>
          <w:trHeight w:val="22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4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w:t>
            </w:r>
          </w:p>
        </w:tc>
      </w:tr>
      <w:tr>
        <w:trPr>
          <w:trHeight w:val="22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343</w:t>
            </w:r>
          </w:p>
        </w:tc>
      </w:tr>
      <w:tr>
        <w:trPr>
          <w:trHeight w:val="223"/>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Non-GAAP Adjustments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1,105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1,753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4,116</w:t>
            </w:r>
          </w:p>
        </w:tc>
      </w:tr>
      <w:tr>
        <w:trPr>
          <w:trHeight w:val="257"/>
        </w:trPr>
        <w:tc>
          <w:tcPr>
            <w:tcW w:w="72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r>
      <w:tr>
        <w:trPr>
          <w:trHeight w:val="223"/>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119,479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111,356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98,276</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Margin</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52.2%</w:t>
            </w: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6"/>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94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31"/>
        </w:trPr>
        <w:tc>
          <w:tcPr>
            <w:tcW w:w="7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40" w:type="dxa"/>
            <w:vAlign w:val="bottom"/>
          </w:tcPr>
          <w:p>
            <w:pPr>
              <w:spacing w:after="0"/>
              <w:rPr>
                <w:sz w:val="11"/>
                <w:szCs w:val="11"/>
                <w:color w:val="auto"/>
              </w:rPr>
            </w:pPr>
          </w:p>
        </w:tc>
        <w:tc>
          <w:tcPr>
            <w:tcW w:w="940" w:type="dxa"/>
            <w:vAlign w:val="bottom"/>
          </w:tcPr>
          <w:p>
            <w:pPr>
              <w:jc w:val="right"/>
              <w:ind w:right="252"/>
              <w:spacing w:after="0" w:line="131" w:lineRule="exact"/>
              <w:rPr>
                <w:sz w:val="20"/>
                <w:szCs w:val="20"/>
                <w:color w:val="auto"/>
              </w:rPr>
            </w:pPr>
            <w:r>
              <w:rPr>
                <w:rFonts w:ascii="Times New Roman" w:cs="Times New Roman" w:eastAsia="Times New Roman" w:hAnsi="Times New Roman"/>
                <w:sz w:val="14"/>
                <w:szCs w:val="14"/>
                <w:b w:val="1"/>
                <w:bCs w:val="1"/>
                <w:color w:val="auto"/>
              </w:rPr>
              <w:t>June 25,</w:t>
            </w:r>
          </w:p>
        </w:tc>
      </w:tr>
      <w:tr>
        <w:trPr>
          <w:trHeight w:val="195"/>
        </w:trPr>
        <w:tc>
          <w:tcPr>
            <w:tcW w:w="7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6"/>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Operating Expenses</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57"/>
        </w:trPr>
        <w:tc>
          <w:tcPr>
            <w:tcW w:w="7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Operating 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103,637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61,918</w:t>
            </w:r>
          </w:p>
        </w:tc>
      </w:tr>
      <w:tr>
        <w:trPr>
          <w:trHeight w:val="257"/>
        </w:trPr>
        <w:tc>
          <w:tcPr>
            <w:tcW w:w="7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23"/>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GAAP Research and Development Expenses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29,554</w:t>
            </w:r>
          </w:p>
        </w:tc>
      </w:tr>
      <w:tr>
        <w:trPr>
          <w:trHeight w:val="223"/>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30"/>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COVID-19 related expenses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4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Transaction fees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w:t>
            </w:r>
          </w:p>
        </w:tc>
      </w:tr>
      <w:tr>
        <w:trPr>
          <w:trHeight w:val="237"/>
        </w:trPr>
        <w:tc>
          <w:tcPr>
            <w:tcW w:w="7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23"/>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GAAP Selling, General and Administrative Expenses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32,064</w:t>
            </w:r>
          </w:p>
        </w:tc>
      </w:tr>
      <w:tr>
        <w:trPr>
          <w:trHeight w:val="223"/>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30"/>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COVID-19 related expenses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fees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Severance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7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Selling, General and Administrative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27,588</w:t>
            </w:r>
          </w:p>
        </w:tc>
      </w:tr>
      <w:tr>
        <w:trPr>
          <w:trHeight w:val="236"/>
        </w:trPr>
        <w:tc>
          <w:tcPr>
            <w:tcW w:w="7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56"/>
        </w:trPr>
        <w:tc>
          <w:tcPr>
            <w:tcW w:w="73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Non-GAAP Adjustments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5,536</w:t>
            </w:r>
          </w:p>
        </w:tc>
      </w:tr>
      <w:tr>
        <w:trPr>
          <w:trHeight w:val="256"/>
        </w:trPr>
        <w:tc>
          <w:tcPr>
            <w:tcW w:w="73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23"/>
        </w:trPr>
        <w:tc>
          <w:tcPr>
            <w:tcW w:w="7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Expenses</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64,430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56,382</w:t>
            </w: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6"/>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980" w:type="dxa"/>
            <w:vAlign w:val="bottom"/>
          </w:tcPr>
          <w:p>
            <w:pPr>
              <w:spacing w:after="0"/>
              <w:rPr>
                <w:sz w:val="16"/>
                <w:szCs w:val="16"/>
                <w:color w:val="auto"/>
              </w:rPr>
            </w:pPr>
          </w:p>
        </w:tc>
      </w:tr>
      <w:tr>
        <w:trPr>
          <w:trHeight w:val="23"/>
        </w:trPr>
        <w:tc>
          <w:tcPr>
            <w:tcW w:w="7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1"/>
        </w:trPr>
        <w:tc>
          <w:tcPr>
            <w:tcW w:w="7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274"/>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40" w:type="dxa"/>
            <w:vAlign w:val="bottom"/>
          </w:tcPr>
          <w:p>
            <w:pPr>
              <w:spacing w:after="0"/>
              <w:rPr>
                <w:sz w:val="11"/>
                <w:szCs w:val="11"/>
                <w:color w:val="auto"/>
              </w:rPr>
            </w:pPr>
          </w:p>
        </w:tc>
        <w:tc>
          <w:tcPr>
            <w:tcW w:w="980" w:type="dxa"/>
            <w:vAlign w:val="bottom"/>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June 25,</w:t>
            </w:r>
          </w:p>
        </w:tc>
      </w:tr>
      <w:tr>
        <w:trPr>
          <w:trHeight w:val="195"/>
        </w:trPr>
        <w:tc>
          <w:tcPr>
            <w:tcW w:w="7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Operating Income</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7"/>
        </w:trPr>
        <w:tc>
          <w:tcPr>
            <w:tcW w:w="7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Operating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14,737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30,249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32,242</w:t>
            </w:r>
          </w:p>
        </w:tc>
      </w:tr>
      <w:tr>
        <w:trPr>
          <w:trHeight w:val="257"/>
        </w:trPr>
        <w:tc>
          <w:tcPr>
            <w:tcW w:w="7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2,835</w:t>
            </w:r>
          </w:p>
        </w:tc>
      </w:tr>
      <w:tr>
        <w:trPr>
          <w:trHeight w:val="229"/>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34,136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4,831</w:t>
            </w:r>
          </w:p>
        </w:tc>
      </w:tr>
      <w:tr>
        <w:trPr>
          <w:trHeight w:val="22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4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302</w:t>
            </w:r>
          </w:p>
        </w:tc>
      </w:tr>
      <w:tr>
        <w:trPr>
          <w:trHeight w:val="22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730</w:t>
            </w:r>
          </w:p>
        </w:tc>
      </w:tr>
      <w:tr>
        <w:trPr>
          <w:trHeight w:val="229"/>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24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7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Non-GAAP Adjustments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40,312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16,273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9,652</w:t>
            </w:r>
          </w:p>
        </w:tc>
      </w:tr>
      <w:tr>
        <w:trPr>
          <w:trHeight w:val="257"/>
        </w:trPr>
        <w:tc>
          <w:tcPr>
            <w:tcW w:w="72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223"/>
        </w:trPr>
        <w:tc>
          <w:tcPr>
            <w:tcW w:w="7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55,049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46,522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41,894</w:t>
            </w:r>
          </w:p>
        </w:tc>
      </w:t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Margin (% of net sales)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25.3%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22.3%</w:t>
            </w: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60" w:type="dxa"/>
            <w:vAlign w:val="bottom"/>
            <w:gridSpan w:val="6"/>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980" w:type="dxa"/>
            <w:vAlign w:val="bottom"/>
          </w:tcPr>
          <w:p>
            <w:pPr>
              <w:spacing w:after="0"/>
              <w:rPr>
                <w:sz w:val="16"/>
                <w:szCs w:val="16"/>
                <w:color w:val="auto"/>
              </w:rPr>
            </w:pPr>
          </w:p>
        </w:tc>
      </w:tr>
      <w:tr>
        <w:trPr>
          <w:trHeight w:val="23"/>
        </w:trPr>
        <w:tc>
          <w:tcPr>
            <w:tcW w:w="7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1"/>
        </w:trPr>
        <w:tc>
          <w:tcPr>
            <w:tcW w:w="7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40" w:type="dxa"/>
            <w:vAlign w:val="bottom"/>
          </w:tcPr>
          <w:p>
            <w:pPr>
              <w:spacing w:after="0"/>
              <w:rPr>
                <w:sz w:val="11"/>
                <w:szCs w:val="11"/>
                <w:color w:val="auto"/>
              </w:rPr>
            </w:pPr>
          </w:p>
        </w:tc>
        <w:tc>
          <w:tcPr>
            <w:tcW w:w="980" w:type="dxa"/>
            <w:vAlign w:val="bottom"/>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June 25,</w:t>
            </w:r>
          </w:p>
        </w:tc>
      </w:tr>
      <w:tr>
        <w:trPr>
          <w:trHeight w:val="195"/>
        </w:trPr>
        <w:tc>
          <w:tcPr>
            <w:tcW w:w="7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7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7"/>
        </w:trPr>
        <w:tc>
          <w:tcPr>
            <w:tcW w:w="7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10,283</w:t>
            </w:r>
          </w:p>
        </w:tc>
        <w:tc>
          <w:tcPr>
            <w:tcW w:w="4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25,652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27,707</w:t>
            </w:r>
          </w:p>
        </w:tc>
      </w:tr>
      <w:tr>
        <w:trPr>
          <w:trHeight w:val="257"/>
        </w:trPr>
        <w:tc>
          <w:tcPr>
            <w:tcW w:w="7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4,263</w:t>
            </w:r>
          </w:p>
        </w:tc>
      </w:tr>
      <w:tr>
        <w:trPr>
          <w:trHeight w:val="229"/>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12,006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12,172</w:t>
            </w:r>
          </w:p>
        </w:tc>
      </w:tr>
      <w:tr>
        <w:trPr>
          <w:trHeight w:val="223"/>
        </w:trPr>
        <w:tc>
          <w:tcPr>
            <w:tcW w:w="72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24,286</w:t>
            </w: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41,455</w:t>
            </w:r>
          </w:p>
        </w:tc>
        <w:tc>
          <w:tcPr>
            <w:tcW w:w="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44,487</w:t>
            </w:r>
          </w:p>
        </w:tc>
      </w:tr>
      <w:tr>
        <w:trPr>
          <w:trHeight w:val="237"/>
        </w:trPr>
        <w:tc>
          <w:tcPr>
            <w:tcW w:w="7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Non-core (gain) loss on sale of equipment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2,835</w:t>
            </w:r>
          </w:p>
        </w:tc>
      </w:tr>
      <w:tr>
        <w:trPr>
          <w:trHeight w:val="230"/>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(income) in earnings of equity investment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14,901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4,831</w:t>
            </w:r>
          </w:p>
        </w:tc>
      </w:tr>
      <w:tr>
        <w:trPr>
          <w:trHeight w:val="229"/>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730</w:t>
            </w:r>
          </w:p>
        </w:tc>
      </w:tr>
      <w:tr>
        <w:trPr>
          <w:trHeight w:val="229"/>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7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66,726</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58,492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53,777</w:t>
            </w:r>
          </w:p>
        </w:tc>
      </w:tr>
      <w:tr>
        <w:trPr>
          <w:trHeight w:val="232"/>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 (% of net sales)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28.6%</w:t>
            </w:r>
          </w:p>
        </w:tc>
      </w:tr>
    </w:tbl>
    <w:p>
      <w:pPr>
        <w:sectPr>
          <w:pgSz w:w="11900" w:h="16838" w:orient="portrait"/>
          <w:cols w:equalWidth="0" w:num="1">
            <w:col w:w="11240"/>
          </w:cols>
          <w:pgMar w:left="320" w:top="1440" w:right="339" w:bottom="1440" w:gutter="0" w:footer="0" w:header="0"/>
        </w:sectPr>
      </w:pPr>
    </w:p>
    <w:bookmarkStart w:id="15" w:name="page16"/>
    <w:bookmarkEnd w:id="15"/>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6"/>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980" w:type="dxa"/>
            <w:vAlign w:val="bottom"/>
          </w:tcPr>
          <w:p>
            <w:pPr>
              <w:spacing w:after="0"/>
              <w:rPr>
                <w:sz w:val="16"/>
                <w:szCs w:val="16"/>
                <w:color w:val="auto"/>
              </w:rPr>
            </w:pPr>
          </w:p>
        </w:tc>
      </w:tr>
      <w:tr>
        <w:trPr>
          <w:trHeight w:val="23"/>
        </w:trPr>
        <w:tc>
          <w:tcPr>
            <w:tcW w:w="7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1"/>
        </w:trPr>
        <w:tc>
          <w:tcPr>
            <w:tcW w:w="7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40" w:type="dxa"/>
            <w:vAlign w:val="bottom"/>
          </w:tcPr>
          <w:p>
            <w:pPr>
              <w:spacing w:after="0"/>
              <w:rPr>
                <w:sz w:val="11"/>
                <w:szCs w:val="11"/>
                <w:color w:val="auto"/>
              </w:rPr>
            </w:pPr>
          </w:p>
        </w:tc>
        <w:tc>
          <w:tcPr>
            <w:tcW w:w="980" w:type="dxa"/>
            <w:vAlign w:val="bottom"/>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June 25,</w:t>
            </w:r>
          </w:p>
        </w:tc>
      </w:tr>
      <w:tr>
        <w:trPr>
          <w:trHeight w:val="195"/>
        </w:trPr>
        <w:tc>
          <w:tcPr>
            <w:tcW w:w="7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5"/>
        </w:trPr>
        <w:tc>
          <w:tcPr>
            <w:tcW w:w="7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Profit before Tax</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7"/>
        </w:trPr>
        <w:tc>
          <w:tcPr>
            <w:tcW w:w="7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Income before Tax Provision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31,970</w:t>
            </w:r>
          </w:p>
        </w:tc>
      </w:tr>
      <w:tr>
        <w:trPr>
          <w:trHeight w:val="257"/>
        </w:trPr>
        <w:tc>
          <w:tcPr>
            <w:tcW w:w="7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Non-core (gain) loss on sale of equipment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r>
      <w:tr>
        <w:trPr>
          <w:trHeight w:val="22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(income) in earnings of equity investment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r>
      <w:tr>
        <w:trPr>
          <w:trHeight w:val="22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9"/>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9"/>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7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Non-GAAP Adjustments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42,735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9,592</w:t>
            </w:r>
          </w:p>
        </w:tc>
      </w:tr>
      <w:tr>
        <w:trPr>
          <w:trHeight w:val="257"/>
        </w:trPr>
        <w:tc>
          <w:tcPr>
            <w:tcW w:w="72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223"/>
        </w:trPr>
        <w:tc>
          <w:tcPr>
            <w:tcW w:w="7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Profit before Tax</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54,983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41,562</w:t>
            </w:r>
          </w:p>
        </w:tc>
      </w:tr>
      <w:tr>
        <w:trPr>
          <w:trHeight w:val="645"/>
        </w:trPr>
        <w:tc>
          <w:tcPr>
            <w:tcW w:w="7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6"/>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980" w:type="dxa"/>
            <w:vAlign w:val="bottom"/>
          </w:tcPr>
          <w:p>
            <w:pPr>
              <w:spacing w:after="0"/>
              <w:rPr>
                <w:sz w:val="24"/>
                <w:szCs w:val="24"/>
                <w:color w:val="auto"/>
              </w:rPr>
            </w:pPr>
          </w:p>
        </w:tc>
      </w:tr>
      <w:tr>
        <w:trPr>
          <w:trHeight w:val="23"/>
        </w:trPr>
        <w:tc>
          <w:tcPr>
            <w:tcW w:w="7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28"/>
        </w:trPr>
        <w:tc>
          <w:tcPr>
            <w:tcW w:w="7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154"/>
              <w:spacing w:after="0" w:line="129" w:lineRule="exact"/>
              <w:rPr>
                <w:sz w:val="20"/>
                <w:szCs w:val="20"/>
                <w:color w:val="auto"/>
              </w:rPr>
            </w:pPr>
            <w:r>
              <w:rPr>
                <w:rFonts w:ascii="Times New Roman" w:cs="Times New Roman" w:eastAsia="Times New Roman" w:hAnsi="Times New Roman"/>
                <w:sz w:val="14"/>
                <w:szCs w:val="14"/>
                <w:b w:val="1"/>
                <w:bCs w:val="1"/>
                <w:color w:val="auto"/>
              </w:rPr>
              <w:t>June 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40" w:type="dxa"/>
            <w:vAlign w:val="bottom"/>
          </w:tcPr>
          <w:p>
            <w:pPr>
              <w:spacing w:after="0"/>
              <w:rPr>
                <w:sz w:val="11"/>
                <w:szCs w:val="11"/>
                <w:color w:val="auto"/>
              </w:rPr>
            </w:pPr>
          </w:p>
        </w:tc>
        <w:tc>
          <w:tcPr>
            <w:tcW w:w="980" w:type="dxa"/>
            <w:vAlign w:val="bottom"/>
          </w:tcPr>
          <w:p>
            <w:pPr>
              <w:jc w:val="center"/>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June 25,</w:t>
            </w:r>
          </w:p>
        </w:tc>
      </w:tr>
      <w:tr>
        <w:trPr>
          <w:trHeight w:val="196"/>
        </w:trPr>
        <w:tc>
          <w:tcPr>
            <w:tcW w:w="7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6"/>
        </w:trPr>
        <w:tc>
          <w:tcPr>
            <w:tcW w:w="7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6"/>
        </w:trPr>
        <w:tc>
          <w:tcPr>
            <w:tcW w:w="7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Provision for Income Taxes</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7"/>
        </w:trPr>
        <w:tc>
          <w:tcPr>
            <w:tcW w:w="736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7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GAAP Income Tax Provision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1,965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4,263</w:t>
            </w:r>
          </w:p>
        </w:tc>
      </w:tr>
      <w:tr>
        <w:trPr>
          <w:trHeight w:val="230"/>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GAAP effective tax rate</w:t>
            </w:r>
          </w:p>
        </w:tc>
        <w:tc>
          <w:tcPr>
            <w:tcW w:w="24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w:t>
            </w:r>
          </w:p>
        </w:tc>
      </w:tr>
      <w:tr>
        <w:trPr>
          <w:trHeight w:val="257"/>
        </w:trPr>
        <w:tc>
          <w:tcPr>
            <w:tcW w:w="736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30"/>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effect of adjustments to GAAP results</w:t>
            </w:r>
          </w:p>
        </w:tc>
        <w:tc>
          <w:tcPr>
            <w:tcW w:w="24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5,900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2,091</w:t>
            </w:r>
          </w:p>
        </w:tc>
      </w:tr>
      <w:tr>
        <w:trPr>
          <w:trHeight w:val="256"/>
        </w:trPr>
        <w:tc>
          <w:tcPr>
            <w:tcW w:w="736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23"/>
        </w:trPr>
        <w:tc>
          <w:tcPr>
            <w:tcW w:w="7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Provision for Income Taxes</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7,865</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7,321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6,354</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Non-GAAP effective tax rate</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15.3%</w:t>
            </w:r>
          </w:p>
        </w:tc>
      </w:tr>
    </w:tbl>
    <w:p>
      <w:pPr>
        <w:sectPr>
          <w:pgSz w:w="11900" w:h="16838" w:orient="portrait"/>
          <w:cols w:equalWidth="0" w:num="1">
            <w:col w:w="11240"/>
          </w:cols>
          <w:pgMar w:left="320" w:top="1440" w:right="339" w:bottom="1440" w:gutter="0" w:footer="0" w:header="0"/>
        </w:sectPr>
      </w:pPr>
    </w:p>
    <w:bookmarkStart w:id="16" w:name="page17"/>
    <w:bookmarkEnd w:id="16"/>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6"/>
          </w:tcPr>
          <w:p>
            <w:pPr>
              <w:jc w:val="center"/>
              <w:ind w:left="752"/>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20" w:type="dxa"/>
            <w:vAlign w:val="bottom"/>
          </w:tcPr>
          <w:p>
            <w:pPr>
              <w:spacing w:after="0"/>
              <w:rPr>
                <w:sz w:val="16"/>
                <w:szCs w:val="16"/>
                <w:color w:val="auto"/>
              </w:rPr>
            </w:pPr>
          </w:p>
        </w:tc>
      </w:tr>
      <w:tr>
        <w:trPr>
          <w:trHeight w:val="23"/>
        </w:trPr>
        <w:tc>
          <w:tcPr>
            <w:tcW w:w="7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7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June 24,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00" w:type="dxa"/>
            <w:vAlign w:val="bottom"/>
          </w:tcPr>
          <w:p>
            <w:pPr>
              <w:spacing w:after="0"/>
              <w:rPr>
                <w:sz w:val="11"/>
                <w:szCs w:val="11"/>
                <w:color w:val="auto"/>
              </w:rPr>
            </w:pPr>
          </w:p>
        </w:tc>
        <w:tc>
          <w:tcPr>
            <w:tcW w:w="1020" w:type="dxa"/>
            <w:vAlign w:val="bottom"/>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June 25,</w:t>
            </w:r>
          </w:p>
        </w:tc>
      </w:tr>
      <w:tr>
        <w:trPr>
          <w:trHeight w:val="195"/>
        </w:trPr>
        <w:tc>
          <w:tcPr>
            <w:tcW w:w="7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1"/>
        </w:trPr>
        <w:tc>
          <w:tcPr>
            <w:tcW w:w="7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2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Net Income</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7"/>
        </w:trPr>
        <w:tc>
          <w:tcPr>
            <w:tcW w:w="7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25,652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27,707</w:t>
            </w:r>
          </w:p>
        </w:tc>
      </w:tr>
      <w:tr>
        <w:trPr>
          <w:trHeight w:val="223"/>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Basic Earnings per Share</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GAAP Diluted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37"/>
        </w:trPr>
        <w:tc>
          <w:tcPr>
            <w:tcW w:w="72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r>
      <w:tr>
        <w:trPr>
          <w:trHeight w:val="230"/>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Non-core (gain) loss on sale of equipment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r>
      <w:tr>
        <w:trPr>
          <w:trHeight w:val="229"/>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(income) in earnings of equity investment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r>
      <w:tr>
        <w:trPr>
          <w:trHeight w:val="230"/>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effect of adjustments to GAAP results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57"/>
        </w:trPr>
        <w:tc>
          <w:tcPr>
            <w:tcW w:w="72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r>
      <w:tr>
        <w:trPr>
          <w:trHeight w:val="223"/>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47,118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35,208</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190,638,135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189,997,738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189,585,381</w:t>
            </w: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192,406,276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192,125,252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191,163,074</w:t>
            </w:r>
          </w:p>
        </w:tc>
      </w:tr>
      <w:tr>
        <w:trPr>
          <w:trHeight w:val="223"/>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Basic Earnings per Share</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30"/>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Diluted Earnings per Share</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Derek D’Antilio</w:t>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(603) 626-2300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ddantilio@allegromicro.com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2022-07-28T06:07:36Z</dcterms:created>
  <dcterms:modified xsi:type="dcterms:W3CDTF">2022-07-28T06:07:36Z</dcterms:modified>
</cp:coreProperties>
</file>