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Allegro MicroSystems,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001-39675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46-2405937</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955 Perimeter Road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Manchester, New Hampshire</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03103</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(603) 626-2300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1020" w:hanging="445"/>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1020" w:hanging="445"/>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1020" w:hanging="445"/>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1020" w:hanging="445"/>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ALGM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 240.12b-2 of this chapter).</w:t>
      </w:r>
    </w:p>
    <w:p>
      <w:pPr>
        <w:spacing w:after="0" w:line="67" w:lineRule="exact"/>
        <w:rPr>
          <w:sz w:val="24"/>
          <w:szCs w:val="24"/>
          <w:color w:val="auto"/>
        </w:rPr>
      </w:pPr>
    </w:p>
    <w:p>
      <w:pPr>
        <w:ind w:left="81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October 29, 2026, Allegro MicroSystems, Inc. (the “Company”) issued a press release announcing its financial results for the quarter ended September 25, 2026. The full text of the press release issued is furnished as Exhibit 99.1 to this Current Report on Form 8-K and is incorporated herein by reference.</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440" w:type="dxa"/>
            <w:vAlign w:val="bottom"/>
          </w:tcPr>
          <w:p>
            <w:pPr>
              <w:spacing w:after="0"/>
              <w:rPr>
                <w:sz w:val="24"/>
                <w:szCs w:val="24"/>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Exhibit 99.1</w:t>
            </w:r>
          </w:p>
        </w:tc>
        <w:tc>
          <w:tcPr>
            <w:tcW w:w="4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260" w:type="dxa"/>
            <w:vAlign w:val="bottom"/>
            <w:tcBorders>
              <w:top w:val="single" w:sz="8" w:color="auto"/>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issued by Allegro MicroSystems, Inc. on October 29, 2026</w:t>
            </w:r>
          </w:p>
        </w:tc>
        <w:tc>
          <w:tcPr>
            <w:tcW w:w="20" w:type="dxa"/>
            <w:vAlign w:val="bottom"/>
            <w:tcBorders>
              <w:top w:val="single" w:sz="8" w:color="auto"/>
              <w:bottom w:val="single" w:sz="8" w:color="0000EE"/>
            </w:tcBorders>
          </w:tcPr>
          <w:p>
            <w:pPr>
              <w:spacing w:after="0"/>
              <w:rPr>
                <w:sz w:val="14"/>
                <w:szCs w:val="14"/>
                <w:color w:val="auto"/>
              </w:rPr>
            </w:pPr>
          </w:p>
        </w:tc>
        <w:tc>
          <w:tcPr>
            <w:tcW w:w="4360" w:type="dxa"/>
            <w:vAlign w:val="bottom"/>
            <w:tcBorders>
              <w:top w:val="single" w:sz="8" w:color="auto"/>
            </w:tcBorders>
          </w:tcPr>
          <w:p>
            <w:pPr>
              <w:spacing w:after="0"/>
              <w:rPr>
                <w:sz w:val="14"/>
                <w:szCs w:val="14"/>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440" w:type="dxa"/>
            <w:vAlign w:val="bottom"/>
          </w:tcPr>
          <w:p>
            <w:pPr>
              <w:spacing w:after="0"/>
              <w:rPr>
                <w:sz w:val="20"/>
                <w:szCs w:val="20"/>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ALLEGRO MICROSYSTEMS,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76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Derek P. D’Antilio</w:t>
            </w:r>
          </w:p>
        </w:tc>
      </w:tr>
      <w:tr>
        <w:trPr>
          <w:trHeight w:val="191"/>
        </w:trPr>
        <w:tc>
          <w:tcPr>
            <w:tcW w:w="35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44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Derek P. D’Antilio</w:t>
            </w:r>
          </w:p>
        </w:tc>
      </w:tr>
      <w:tr>
        <w:trPr>
          <w:trHeight w:val="234"/>
        </w:trPr>
        <w:tc>
          <w:tcPr>
            <w:tcW w:w="3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979"/>
        </w:trPr>
        <w:tc>
          <w:tcPr>
            <w:tcW w:w="35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Allegro MicroSystems Reports Second Quarter 2027 Results</w:t>
      </w:r>
    </w:p>
    <w:p>
      <w:pPr>
        <w:jc w:val="center"/>
        <w:spacing w:after="0"/>
        <w:rPr>
          <w:sz w:val="20"/>
          <w:szCs w:val="20"/>
          <w:color w:val="auto"/>
        </w:rPr>
      </w:pPr>
      <w:r>
        <w:rPr>
          <w:rFonts w:ascii="Times New Roman" w:cs="Times New Roman" w:eastAsia="Times New Roman" w:hAnsi="Times New Roman"/>
          <w:sz w:val="18"/>
          <w:szCs w:val="18"/>
          <w:i w:val="1"/>
          <w:iCs w:val="1"/>
          <w:color w:val="auto"/>
        </w:rPr>
        <w:t>Second Quarter Sales Increased by 29% Year-over-Year to $277 Million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Record Industrial &amp; Other and Data Center Sales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GAAP EPS Quadrupled and Non-GAAP EPS Doubled Year-over-Year</w:t>
      </w:r>
    </w:p>
    <w:p>
      <w:pPr>
        <w:spacing w:after="0" w:line="200" w:lineRule="exact"/>
        <w:rPr>
          <w:sz w:val="20"/>
          <w:szCs w:val="20"/>
          <w:color w:val="auto"/>
        </w:rPr>
      </w:pPr>
    </w:p>
    <w:p>
      <w:pPr>
        <w:spacing w:after="0" w:line="23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2"/>
          <w:szCs w:val="22"/>
          <w:b w:val="1"/>
          <w:bCs w:val="1"/>
          <w:i w:val="1"/>
          <w:iCs w:val="1"/>
          <w:color w:val="auto"/>
        </w:rPr>
        <w:t xml:space="preserve">Manchester, NH, October 29, 2026 – </w:t>
      </w:r>
      <w:r>
        <w:rPr>
          <w:rFonts w:ascii="Times New Roman" w:cs="Times New Roman" w:eastAsia="Times New Roman" w:hAnsi="Times New Roman"/>
          <w:sz w:val="17"/>
          <w:szCs w:val="17"/>
          <w:b w:val="1"/>
          <w:bCs w:val="1"/>
          <w:color w:val="auto"/>
        </w:rPr>
        <w:t>Allegro MicroSystems, Inc. (“Allegro” or the “Company”) (Nasdaq: ALGM</w:t>
      </w:r>
      <w:r>
        <w:rPr>
          <w:rFonts w:ascii="Times New Roman" w:cs="Times New Roman" w:eastAsia="Times New Roman" w:hAnsi="Times New Roman"/>
          <w:sz w:val="17"/>
          <w:szCs w:val="17"/>
          <w:color w:val="auto"/>
        </w:rPr>
        <w:t>), a global leader in power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7"/>
          <w:szCs w:val="17"/>
          <w:color w:val="auto"/>
        </w:rPr>
        <w:t>and sensing semiconductor solutions for motion control and energy efficient systems, today announced financial results for its second quarter ended September 25, 2026.</w:t>
      </w: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saw continued strong momentum in our fiscal second quarter, delivering our seventh consecutive quarter of sequential sales growth. Sales were $277 million, representing a 29% increase year-over-year. GAAP earnings per share quadrupled from $0.03 per share in the fiscal second quarter of 2026 to $0.12. Non-GAAP EPS grew to $0.26, doubling over the second quarter of fiscal 2026. Broad year-over-year sales growth in Automotive and Industrial end markets drove this strong performance, led by data center, which established a new record,” said Mike Doogue, President and CEO of Allegro. “Our forward demand signals strengthened significantly this quarter. We delivered our highest quarterly design-win performance since our 2020 IPO—up nearly 40% year-over-year—and bookings increased for the eighth consecutive quarter. With record design wins, a robust backlog, and expanding content across our target Automotive and Industrial markets, the leading indicators across our business give us high confidence in our path to exceed our target model of mid-teens annual sales growth.”</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we also continued to execute on our strategic priorities of expanding profitability and generating strong cash flow,” said Derek D’Antilio, Executive Vice President and CFO of Allegro. “On September 30, 2026, following the close of the second quarter, we made another $25 million voluntary debt repayment, underscoring the strength of our balance sheet and our confidence in Allegro’s anticipated free cash flow generation.”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Financial Highlights: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In thousands, except per share data</w:t>
            </w:r>
          </w:p>
        </w:tc>
        <w:tc>
          <w:tcPr>
            <w:tcW w:w="160" w:type="dxa"/>
            <w:vAlign w:val="bottom"/>
          </w:tcPr>
          <w:p>
            <w:pPr>
              <w:spacing w:after="0"/>
              <w:rPr>
                <w:sz w:val="15"/>
                <w:szCs w:val="15"/>
                <w:color w:val="auto"/>
              </w:rPr>
            </w:pPr>
          </w:p>
        </w:tc>
        <w:tc>
          <w:tcPr>
            <w:tcW w:w="2820" w:type="dxa"/>
            <w:vAlign w:val="bottom"/>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Three-Month Period Ended</w:t>
            </w: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6"/>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Six-Month Period Ended</w:t>
            </w:r>
          </w:p>
        </w:tc>
      </w:tr>
      <w:tr>
        <w:trPr>
          <w:trHeight w:val="134"/>
        </w:trPr>
        <w:tc>
          <w:tcPr>
            <w:tcW w:w="39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8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360"/>
              <w:spacing w:after="0" w:line="134" w:lineRule="exact"/>
              <w:rPr>
                <w:sz w:val="20"/>
                <w:szCs w:val="20"/>
                <w:color w:val="auto"/>
              </w:rPr>
            </w:pPr>
            <w:r>
              <w:rPr>
                <w:rFonts w:ascii="Times New Roman" w:cs="Times New Roman" w:eastAsia="Times New Roman" w:hAnsi="Times New Roman"/>
                <w:sz w:val="15"/>
                <w:szCs w:val="15"/>
                <w:b w:val="1"/>
                <w:bCs w:val="1"/>
                <w:color w:val="auto"/>
              </w:rPr>
              <w:t>September 25,</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8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140" w:type="dxa"/>
            <w:vAlign w:val="bottom"/>
          </w:tcPr>
          <w:p>
            <w:pPr>
              <w:spacing w:after="0"/>
              <w:rPr>
                <w:sz w:val="11"/>
                <w:szCs w:val="11"/>
                <w:color w:val="auto"/>
              </w:rPr>
            </w:pPr>
          </w:p>
        </w:tc>
      </w:tr>
      <w:tr>
        <w:trPr>
          <w:trHeight w:val="162"/>
        </w:trPr>
        <w:tc>
          <w:tcPr>
            <w:tcW w:w="3980" w:type="dxa"/>
            <w:vAlign w:val="bottom"/>
          </w:tcPr>
          <w:p>
            <w:pPr>
              <w:spacing w:after="0"/>
              <w:rPr>
                <w:sz w:val="14"/>
                <w:szCs w:val="14"/>
                <w:color w:val="auto"/>
              </w:rPr>
            </w:pPr>
          </w:p>
        </w:tc>
        <w:tc>
          <w:tcPr>
            <w:tcW w:w="156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September 25, 2026</w:t>
            </w:r>
          </w:p>
        </w:tc>
        <w:tc>
          <w:tcPr>
            <w:tcW w:w="1320" w:type="dxa"/>
            <w:vAlign w:val="bottom"/>
            <w:gridSpan w:val="3"/>
          </w:tcPr>
          <w:p>
            <w:pPr>
              <w:jc w:val="right"/>
              <w:ind w:right="360"/>
              <w:spacing w:after="0" w:line="162" w:lineRule="exact"/>
              <w:rPr>
                <w:sz w:val="20"/>
                <w:szCs w:val="20"/>
                <w:color w:val="auto"/>
              </w:rPr>
            </w:pPr>
            <w:r>
              <w:rPr>
                <w:rFonts w:ascii="Times New Roman" w:cs="Times New Roman" w:eastAsia="Times New Roman" w:hAnsi="Times New Roman"/>
                <w:sz w:val="15"/>
                <w:szCs w:val="15"/>
                <w:b w:val="1"/>
                <w:bCs w:val="1"/>
                <w:color w:val="auto"/>
              </w:rPr>
              <w:t>June 26, 2026</w:t>
            </w:r>
          </w:p>
        </w:tc>
        <w:tc>
          <w:tcPr>
            <w:tcW w:w="100" w:type="dxa"/>
            <w:vAlign w:val="bottom"/>
          </w:tcPr>
          <w:p>
            <w:pPr>
              <w:spacing w:after="0"/>
              <w:rPr>
                <w:sz w:val="14"/>
                <w:szCs w:val="14"/>
                <w:color w:val="auto"/>
              </w:rPr>
            </w:pPr>
          </w:p>
        </w:tc>
        <w:tc>
          <w:tcPr>
            <w:tcW w:w="1140" w:type="dxa"/>
            <w:vAlign w:val="bottom"/>
          </w:tcPr>
          <w:p>
            <w:pPr>
              <w:jc w:val="center"/>
              <w:ind w:right="44"/>
              <w:spacing w:after="0" w:line="162" w:lineRule="exact"/>
              <w:rPr>
                <w:sz w:val="20"/>
                <w:szCs w:val="20"/>
                <w:color w:val="auto"/>
              </w:rPr>
            </w:pPr>
            <w:r>
              <w:rPr>
                <w:rFonts w:ascii="Times New Roman" w:cs="Times New Roman" w:eastAsia="Times New Roman" w:hAnsi="Times New Roman"/>
                <w:sz w:val="15"/>
                <w:szCs w:val="15"/>
                <w:b w:val="1"/>
                <w:bCs w:val="1"/>
                <w:color w:val="auto"/>
                <w:w w:val="99"/>
              </w:rPr>
              <w:t>2025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44"/>
              <w:spacing w:after="0" w:line="162" w:lineRule="exact"/>
              <w:rPr>
                <w:sz w:val="20"/>
                <w:szCs w:val="20"/>
                <w:color w:val="auto"/>
              </w:rPr>
            </w:pPr>
            <w:r>
              <w:rPr>
                <w:rFonts w:ascii="Times New Roman" w:cs="Times New Roman" w:eastAsia="Times New Roman" w:hAnsi="Times New Roman"/>
                <w:sz w:val="15"/>
                <w:szCs w:val="15"/>
                <w:b w:val="1"/>
                <w:bCs w:val="1"/>
                <w:color w:val="auto"/>
                <w:w w:val="99"/>
              </w:rPr>
              <w:t>2026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44"/>
              <w:spacing w:after="0" w:line="162" w:lineRule="exact"/>
              <w:rPr>
                <w:sz w:val="20"/>
                <w:szCs w:val="20"/>
                <w:color w:val="auto"/>
              </w:rPr>
            </w:pPr>
            <w:r>
              <w:rPr>
                <w:rFonts w:ascii="Times New Roman" w:cs="Times New Roman" w:eastAsia="Times New Roman" w:hAnsi="Times New Roman"/>
                <w:sz w:val="15"/>
                <w:szCs w:val="15"/>
                <w:b w:val="1"/>
                <w:bCs w:val="1"/>
                <w:color w:val="auto"/>
                <w:w w:val="99"/>
              </w:rPr>
              <w:t>2025</w:t>
            </w:r>
          </w:p>
        </w:tc>
        <w:tc>
          <w:tcPr>
            <w:tcW w:w="140" w:type="dxa"/>
            <w:vAlign w:val="bottom"/>
          </w:tcPr>
          <w:p>
            <w:pPr>
              <w:spacing w:after="0"/>
              <w:rPr>
                <w:sz w:val="14"/>
                <w:szCs w:val="14"/>
                <w:color w:val="auto"/>
              </w:rPr>
            </w:pPr>
          </w:p>
        </w:tc>
      </w:tr>
      <w:tr>
        <w:trPr>
          <w:trHeight w:val="183"/>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0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0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(Unaudited)</w:t>
            </w:r>
          </w:p>
        </w:tc>
      </w:tr>
      <w:tr>
        <w:trPr>
          <w:trHeight w:val="155"/>
        </w:trPr>
        <w:tc>
          <w:tcPr>
            <w:tcW w:w="39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Sales</w:t>
            </w:r>
          </w:p>
        </w:tc>
        <w:tc>
          <w:tcPr>
            <w:tcW w:w="16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62"/>
        </w:trPr>
        <w:tc>
          <w:tcPr>
            <w:tcW w:w="39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Automotive</w:t>
            </w:r>
          </w:p>
        </w:tc>
        <w:tc>
          <w:tcPr>
            <w:tcW w:w="1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172,492</w:t>
            </w:r>
          </w:p>
        </w:tc>
        <w:tc>
          <w:tcPr>
            <w:tcW w:w="26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165,349</w:t>
            </w:r>
          </w:p>
        </w:tc>
        <w:tc>
          <w:tcPr>
            <w:tcW w:w="28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155,845</w:t>
            </w:r>
          </w:p>
        </w:tc>
        <w:tc>
          <w:tcPr>
            <w:tcW w:w="28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337,841</w:t>
            </w:r>
          </w:p>
        </w:tc>
        <w:tc>
          <w:tcPr>
            <w:tcW w:w="200" w:type="dxa"/>
            <w:vAlign w:val="bottom"/>
          </w:tcPr>
          <w:p>
            <w:pPr>
              <w:spacing w:after="0"/>
              <w:rPr>
                <w:sz w:val="14"/>
                <w:szCs w:val="14"/>
                <w:color w:val="auto"/>
              </w:rPr>
            </w:pPr>
          </w:p>
        </w:tc>
        <w:tc>
          <w:tcPr>
            <w:tcW w:w="1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300,109</w:t>
            </w:r>
          </w:p>
        </w:tc>
        <w:tc>
          <w:tcPr>
            <w:tcW w:w="140" w:type="dxa"/>
            <w:vAlign w:val="bottom"/>
          </w:tcPr>
          <w:p>
            <w:pPr>
              <w:spacing w:after="0"/>
              <w:rPr>
                <w:sz w:val="14"/>
                <w:szCs w:val="14"/>
                <w:color w:val="auto"/>
              </w:rPr>
            </w:pPr>
          </w:p>
        </w:tc>
      </w:tr>
      <w:tr>
        <w:trPr>
          <w:trHeight w:val="162"/>
        </w:trPr>
        <w:tc>
          <w:tcPr>
            <w:tcW w:w="398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Industrial and Other</w:t>
            </w:r>
          </w:p>
        </w:tc>
        <w:tc>
          <w:tcPr>
            <w:tcW w:w="16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104,392</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93,894</w:t>
            </w:r>
          </w:p>
        </w:tc>
        <w:tc>
          <w:tcPr>
            <w:tcW w:w="2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58,449</w:t>
            </w:r>
          </w:p>
        </w:tc>
        <w:tc>
          <w:tcPr>
            <w:tcW w:w="2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198,286</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117,590</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155"/>
        </w:trPr>
        <w:tc>
          <w:tcPr>
            <w:tcW w:w="39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Total net sales</w:t>
            </w:r>
          </w:p>
        </w:tc>
        <w:tc>
          <w:tcPr>
            <w:tcW w:w="1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276,884</w:t>
            </w:r>
          </w:p>
        </w:tc>
        <w:tc>
          <w:tcPr>
            <w:tcW w:w="26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259,243</w:t>
            </w:r>
          </w:p>
        </w:tc>
        <w:tc>
          <w:tcPr>
            <w:tcW w:w="28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214,294</w:t>
            </w:r>
          </w:p>
        </w:tc>
        <w:tc>
          <w:tcPr>
            <w:tcW w:w="28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536,127</w:t>
            </w:r>
          </w:p>
        </w:tc>
        <w:tc>
          <w:tcPr>
            <w:tcW w:w="200" w:type="dxa"/>
            <w:vAlign w:val="bottom"/>
          </w:tcPr>
          <w:p>
            <w:pPr>
              <w:spacing w:after="0"/>
              <w:rPr>
                <w:sz w:val="13"/>
                <w:szCs w:val="13"/>
                <w:color w:val="auto"/>
              </w:rPr>
            </w:pPr>
          </w:p>
        </w:tc>
        <w:tc>
          <w:tcPr>
            <w:tcW w:w="18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417,699</w:t>
            </w:r>
          </w:p>
        </w:tc>
        <w:tc>
          <w:tcPr>
            <w:tcW w:w="140" w:type="dxa"/>
            <w:vAlign w:val="bottom"/>
          </w:tcPr>
          <w:p>
            <w:pPr>
              <w:spacing w:after="0"/>
              <w:rPr>
                <w:sz w:val="13"/>
                <w:szCs w:val="13"/>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3"/>
        </w:trPr>
        <w:tc>
          <w:tcPr>
            <w:tcW w:w="398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GAAP Financial Measures</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62"/>
        </w:trPr>
        <w:tc>
          <w:tcPr>
            <w:tcW w:w="39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Gross margin %</w:t>
            </w:r>
          </w:p>
        </w:tc>
        <w:tc>
          <w:tcPr>
            <w:tcW w:w="160" w:type="dxa"/>
            <w:vAlign w:val="bottom"/>
          </w:tcPr>
          <w:p>
            <w:pPr>
              <w:spacing w:after="0"/>
              <w:rPr>
                <w:sz w:val="14"/>
                <w:szCs w:val="14"/>
                <w:color w:val="auto"/>
              </w:rPr>
            </w:pPr>
          </w:p>
        </w:tc>
        <w:tc>
          <w:tcPr>
            <w:tcW w:w="14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49.2%</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48.5%</w:t>
            </w:r>
          </w:p>
        </w:tc>
        <w:tc>
          <w:tcPr>
            <w:tcW w:w="100" w:type="dxa"/>
            <w:vAlign w:val="bottom"/>
          </w:tcPr>
          <w:p>
            <w:pPr>
              <w:spacing w:after="0"/>
              <w:rPr>
                <w:sz w:val="14"/>
                <w:szCs w:val="14"/>
                <w:color w:val="auto"/>
              </w:rPr>
            </w:pPr>
          </w:p>
        </w:tc>
        <w:tc>
          <w:tcPr>
            <w:tcW w:w="14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46.3%</w:t>
            </w:r>
          </w:p>
        </w:tc>
        <w:tc>
          <w:tcPr>
            <w:tcW w:w="100" w:type="dxa"/>
            <w:vAlign w:val="bottom"/>
          </w:tcPr>
          <w:p>
            <w:pPr>
              <w:spacing w:after="0"/>
              <w:rPr>
                <w:sz w:val="14"/>
                <w:szCs w:val="14"/>
                <w:color w:val="auto"/>
              </w:rPr>
            </w:pPr>
          </w:p>
        </w:tc>
        <w:tc>
          <w:tcPr>
            <w:tcW w:w="13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45.6%</w:t>
            </w:r>
          </w:p>
        </w:tc>
      </w:tr>
      <w:tr>
        <w:trPr>
          <w:trHeight w:val="162"/>
        </w:trPr>
        <w:tc>
          <w:tcPr>
            <w:tcW w:w="39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Operating margin %</w:t>
            </w:r>
          </w:p>
        </w:tc>
        <w:tc>
          <w:tcPr>
            <w:tcW w:w="16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12.8%</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9.8%</w:t>
            </w: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2.9%</w:t>
            </w:r>
          </w:p>
        </w:tc>
        <w:tc>
          <w:tcPr>
            <w:tcW w:w="1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11.4%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0.8%</w:t>
            </w:r>
          </w:p>
        </w:tc>
      </w:tr>
      <w:tr>
        <w:trPr>
          <w:trHeight w:val="162"/>
        </w:trPr>
        <w:tc>
          <w:tcPr>
            <w:tcW w:w="39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Diluted EPS</w:t>
            </w:r>
          </w:p>
        </w:tc>
        <w:tc>
          <w:tcPr>
            <w:tcW w:w="1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0.12</w:t>
            </w:r>
          </w:p>
        </w:tc>
        <w:tc>
          <w:tcPr>
            <w:tcW w:w="26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0.08</w:t>
            </w:r>
          </w:p>
        </w:tc>
        <w:tc>
          <w:tcPr>
            <w:tcW w:w="28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0.03</w:t>
            </w:r>
          </w:p>
        </w:tc>
        <w:tc>
          <w:tcPr>
            <w:tcW w:w="28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0.21</w:t>
            </w:r>
          </w:p>
        </w:tc>
        <w:tc>
          <w:tcPr>
            <w:tcW w:w="200" w:type="dxa"/>
            <w:vAlign w:val="bottom"/>
          </w:tcPr>
          <w:p>
            <w:pPr>
              <w:spacing w:after="0"/>
              <w:rPr>
                <w:sz w:val="14"/>
                <w:szCs w:val="14"/>
                <w:color w:val="auto"/>
              </w:rPr>
            </w:pPr>
          </w:p>
        </w:tc>
        <w:tc>
          <w:tcPr>
            <w:tcW w:w="1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(0.04)</w:t>
            </w:r>
          </w:p>
        </w:tc>
      </w:tr>
      <w:tr>
        <w:trPr>
          <w:trHeight w:val="162"/>
        </w:trPr>
        <w:tc>
          <w:tcPr>
            <w:tcW w:w="39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Non-GAAP Financial Measures</w:t>
            </w: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62"/>
        </w:trPr>
        <w:tc>
          <w:tcPr>
            <w:tcW w:w="39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Gross margin %</w:t>
            </w:r>
          </w:p>
        </w:tc>
        <w:tc>
          <w:tcPr>
            <w:tcW w:w="160" w:type="dxa"/>
            <w:vAlign w:val="bottom"/>
          </w:tcPr>
          <w:p>
            <w:pPr>
              <w:spacing w:after="0"/>
              <w:rPr>
                <w:sz w:val="14"/>
                <w:szCs w:val="14"/>
                <w:color w:val="auto"/>
              </w:rPr>
            </w:pPr>
          </w:p>
        </w:tc>
        <w:tc>
          <w:tcPr>
            <w:tcW w:w="14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51.5%</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51.1%</w:t>
            </w:r>
          </w:p>
        </w:tc>
        <w:tc>
          <w:tcPr>
            <w:tcW w:w="100" w:type="dxa"/>
            <w:vAlign w:val="bottom"/>
          </w:tcPr>
          <w:p>
            <w:pPr>
              <w:spacing w:after="0"/>
              <w:rPr>
                <w:sz w:val="14"/>
                <w:szCs w:val="14"/>
                <w:color w:val="auto"/>
              </w:rPr>
            </w:pPr>
          </w:p>
        </w:tc>
        <w:tc>
          <w:tcPr>
            <w:tcW w:w="14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49.6%</w:t>
            </w:r>
          </w:p>
        </w:tc>
        <w:tc>
          <w:tcPr>
            <w:tcW w:w="100" w:type="dxa"/>
            <w:vAlign w:val="bottom"/>
          </w:tcPr>
          <w:p>
            <w:pPr>
              <w:spacing w:after="0"/>
              <w:rPr>
                <w:sz w:val="14"/>
                <w:szCs w:val="14"/>
                <w:color w:val="auto"/>
              </w:rPr>
            </w:pPr>
          </w:p>
        </w:tc>
        <w:tc>
          <w:tcPr>
            <w:tcW w:w="13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48.9%</w:t>
            </w:r>
          </w:p>
        </w:tc>
      </w:tr>
      <w:tr>
        <w:trPr>
          <w:trHeight w:val="162"/>
        </w:trPr>
        <w:tc>
          <w:tcPr>
            <w:tcW w:w="39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Operating margin %</w:t>
            </w:r>
          </w:p>
        </w:tc>
        <w:tc>
          <w:tcPr>
            <w:tcW w:w="16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20.6%</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19.4%</w:t>
            </w: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13.9%</w:t>
            </w:r>
          </w:p>
        </w:tc>
        <w:tc>
          <w:tcPr>
            <w:tcW w:w="1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20.0%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12.5%</w:t>
            </w:r>
          </w:p>
        </w:tc>
      </w:tr>
      <w:tr>
        <w:trPr>
          <w:trHeight w:val="198"/>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Diluted EPS</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0.26</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0.13</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0.48</w:t>
            </w:r>
          </w:p>
        </w:tc>
        <w:tc>
          <w:tcPr>
            <w:tcW w:w="20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0.21</w:t>
            </w: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-982345</wp:posOffset>
            </wp:positionV>
            <wp:extent cx="94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-982345</wp:posOffset>
            </wp:positionV>
            <wp:extent cx="939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-982345</wp:posOffset>
            </wp:positionV>
            <wp:extent cx="94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-982345</wp:posOffset>
            </wp:positionV>
            <wp:extent cx="94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-982345</wp:posOffset>
            </wp:positionV>
            <wp:extent cx="939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Outlook</w:t>
      </w:r>
    </w:p>
    <w:p>
      <w:pPr>
        <w:spacing w:after="0" w:line="111" w:lineRule="exact"/>
        <w:rPr>
          <w:sz w:val="20"/>
          <w:szCs w:val="20"/>
          <w:color w:val="auto"/>
        </w:rPr>
      </w:pPr>
    </w:p>
    <w:p>
      <w:pPr>
        <w:ind w:right="2240"/>
        <w:spacing w:after="0" w:line="282" w:lineRule="auto"/>
        <w:rPr>
          <w:sz w:val="20"/>
          <w:szCs w:val="20"/>
          <w:color w:val="auto"/>
        </w:rPr>
      </w:pPr>
      <w:r>
        <w:rPr>
          <w:rFonts w:ascii="Times New Roman" w:cs="Times New Roman" w:eastAsia="Times New Roman" w:hAnsi="Times New Roman"/>
          <w:sz w:val="18"/>
          <w:szCs w:val="18"/>
          <w:color w:val="auto"/>
        </w:rPr>
        <w:t>For the third quarter of fiscal year 2027 ending December 25, 2026, the Company expects total net sales to be in the range of $278 million to $288 million. At the midpoint of this range, it implies growth in net sales of 23% year-over-year.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estimates the following results on a non-GAAP basis:</w:t>
      </w:r>
    </w:p>
    <w:p>
      <w:pPr>
        <w:spacing w:after="0" w:line="117"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is expected to be between 51.5% and 52.5%,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are expected to be $87 million, plus or minus $1 million,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is expected to be between $0.25 and $0.29, with the mid-point of this range implying an 80% year-over-year increase.</w:t>
      </w:r>
    </w:p>
    <w:p>
      <w:pPr>
        <w:spacing w:after="0" w:line="3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Allegro has not provided a reconciliation of its third fiscal quarter outlook for non-GAAP Gross Margin, non-GAAP Operating Expenses, and non-GAAP Diluted Earnings per Share because estimates of all of the reconciling items cannot be provided without unreasonable efforts. It is difficult to reasonably provide a forward-looking estimate between such forward-looking non-GAAP measures and the comparable forward-looking U.S. generally accepted accounting principles (“GAAP”) measures. Certain factors that are materially significant to Allegro’s ability to estimate these items are out of its control and/or cannot be reasonably predicted.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459740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Earnings Webcast</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webcast will be held on Thursday, October 29, 2026 at 8:30 a.m., Eastern Time. Michael C. Doogue, President and Chief Executive Officer, and Derek P. D’Antilio, Executive Vice President and Chief Financial Officer, will discuss Allegro’s business and financial results.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webcast will be available on the Investor Relations section of the Company’s website at investors.allegromicro.com. A recording of the webcast will be posted in the same location shortly after the call concludes and will be available for at least 90 days.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Allegro MicroSystems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363636"/>
        </w:rPr>
        <w:t xml:space="preserve">Allegro MicroSystems, Inc. is leveraging more than three decades of expertise in magnetic sensing and power ICs to propel electrification, automation, AI data center, and robotics forward with solutions that enhance efficiency, performance and sustainability. Allegro’s commitment to quality drives transformation across industries, reinforcing our status as a pioneer in “automotive-grade” technology and a partner in our customers’ success. For additional information, please visit </w:t>
      </w:r>
      <w:r>
        <w:rPr>
          <w:rFonts w:ascii="Times New Roman" w:cs="Times New Roman" w:eastAsia="Times New Roman" w:hAnsi="Times New Roman"/>
          <w:sz w:val="18"/>
          <w:szCs w:val="18"/>
          <w:color w:val="000000"/>
        </w:rPr>
        <w:t>https://www.allegromicro.com</w:t>
      </w:r>
      <w:r>
        <w:rPr>
          <w:rFonts w:ascii="Times New Roman" w:cs="Times New Roman" w:eastAsia="Times New Roman" w:hAnsi="Times New Roman"/>
          <w:sz w:val="18"/>
          <w:szCs w:val="18"/>
          <w:color w:val="363636"/>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press release including statements regarding our future results of operations and financial position, business strategy, prospective products and the plans and objectives of management for future operations, including, among others, statements regarding the liquidity, growth and profitability strategies and factors and trends affecting our business, including the projected size and growth of markets in which we operate or may operate,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Without limiting the foregoing, in some cases, you can identify forward-looking statements by terms such as “aim,” “may,” “will,” “should,” “expect,” “exploring,” “plan,” “anticipate,” “could,” “intend,” “target,” “project,” “would,” “contemplate,” “believe,” “estimate,” “predict,” “potential,” “seek,”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Forward-looking statements are based on our management’s current expectations, beliefs and assumptions and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II, Item 7. “Management’s Discussion and Analysis of Financial Condition and Results of Operations,” and Part I, Item 1A. “Risk Factors” in our Annual Report on Form 10-K for the year ended March 27, 2026, as any such factors may be updated from time to time in our Quarterly Reports on Form 10-Q and our other filings with the Securities and Exchange Commission (the “SEC”). These risks and uncertainties include, but are not limited to: downturns or volatility in general economic conditions; our ability to compete effectively, expand our market share and increase our net sales and profitability; our reliance on a limited number of third-party semiconductor wafer fabrication facilities and suppliers of other materials; any failure to adjust purchase commitments and inventory management based on changing market conditions or customer demand; the cyclical nature of the semiconductor industry, including the analog segment in which we compete; any downturn or disruption in the automotive market or industry; our ability to successfully integrate the acquisition of other companies or technologies and products into our business; our ability to maintain or improve our gross margins may be adversely affected by decreases in average selling prices of our products, increases in input costs or shifts in product, customer or channel mix; our ability to manage any sustained yield problems or other delays at our third-party wafer fabrication facilities or in the final assembly and test of our products; our ability to accurately predict our quarterly net sales and operating results and meet the expectations of investors; our dependence on manufacturing operations in the Philippines; our reliance on distributors to generate sales; events beyond our control, including conflicts in the Middle East, impacting us, our key suppliers or our manufacturing partners or other third-party suppliers of components, materials or subassemblies; our ability to develop new product features or new products in a timely and cost-effective manner; our dependence on growth in the end markets that use our products, and the impact that slowdowns in such growth, including as a result of volatility in demand for emerging technologies or changes in government incentives, could have on our financial results; the loss of one or more significant customers; our ability to identify, enter and expand in new markets, and to generate returns on such investments; uncertainties related to the design win process and our ability to recover design and development expenses and to generate timely or sufficient net sales or margins; changes in government trade policies, including the imposition of export restrictions and tariffs; our exposures to warranty claims, product liability claims and product recalls; our dependence on international customers and operations; risks, liabilities, costs and obligations related to governmental regulations and other legal obligations, including export/trade control, privacy, data protection, information security, cybersecurity, consumer protection, environmental and occupational health and safety, antitrust, anti-corruption and anti-bribery, product safety, environmental protection, employment matters and tax; the volatility of currency exchange rates; our ability to raise capital to support our growth strategy; our indebtedness may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t>our flexibility to operate our business; our ability to retain key and highly skilled personnel; the impact on the market price of our common stock from future sales of our common stock by large stockholders, or the perception that such sales could occur; the impact of restructuring activities on our business and operating results; our ability to protect our proprietary technology and inventions through patents or trade secrets; our ability to commercialize our products without infringing third-party intellectual property rights; disruptions or breaches of our information technology systems or confidential information or those of our third-party service providers; the risks presented by the use of artificial intelligence, machine learning and automated decision-making technologies by us and others; any failure to maintain effective internal control over financial reporting; changes in tax rates or the adoption of new tax legislation; the negative impacts of sustained inflation on our business; and other events beyond our control. Moreover, we operate in an evolving environment. New risk factors and uncertainties may emerge from time to time, and it is not possible for management to predict all risk factors and uncertainties.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press release and the documents that we reference completely and with the understanding that our actual future results may be materially different from what we expect. We qualify all of our forward-looking statements by these cautionary statements. All forward-looking statements speak only as of the date of this press release, and except as required by applicable law, we do not plan to publicly update or revise any forward-looking statements, whether as a result of any new information, future events, changed circumstances or otherwise.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includes certain non-GAAP financial measures as defined by the SEC rules. These non-GAAP financial measures are provided in addition to, and not as a substitute for or superior to measures of, financial performance prepared in accordance with GAAP. There are a number of limitations related to the use of these non-GAAP financial measures versus their most directly comparable GAAP equivalents. For example, other companies may calculate non-GAAP financial measures differently or may use other measures to evaluate their performance, all of which could reduce the usefulness of the presented non-GAAP financial measures as tools for comparison.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may not be reproduced, forwarded to any person or published,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40" w:type="dxa"/>
            <w:vAlign w:val="bottom"/>
            <w:gridSpan w:val="6"/>
          </w:tcPr>
          <w:p>
            <w:pPr>
              <w:jc w:val="right"/>
              <w:ind w:right="980"/>
              <w:spacing w:after="0"/>
              <w:rPr>
                <w:sz w:val="20"/>
                <w:szCs w:val="20"/>
                <w:color w:val="auto"/>
              </w:rPr>
            </w:pPr>
            <w:r>
              <w:rPr>
                <w:rFonts w:ascii="Times New Roman" w:cs="Times New Roman" w:eastAsia="Times New Roman" w:hAnsi="Times New Roman"/>
                <w:sz w:val="15"/>
                <w:szCs w:val="15"/>
                <w:b w:val="1"/>
                <w:bCs w:val="1"/>
                <w:color w:val="auto"/>
              </w:rPr>
              <w:t>Three-Month Period Ended</w:t>
            </w:r>
          </w:p>
        </w:tc>
        <w:tc>
          <w:tcPr>
            <w:tcW w:w="100" w:type="dxa"/>
            <w:vAlign w:val="bottom"/>
          </w:tcPr>
          <w:p>
            <w:pPr>
              <w:spacing w:after="0"/>
              <w:rPr>
                <w:sz w:val="15"/>
                <w:szCs w:val="15"/>
                <w:color w:val="auto"/>
              </w:rPr>
            </w:pPr>
          </w:p>
        </w:tc>
        <w:tc>
          <w:tcPr>
            <w:tcW w:w="3280" w:type="dxa"/>
            <w:vAlign w:val="bottom"/>
            <w:gridSpan w:val="6"/>
          </w:tcPr>
          <w:p>
            <w:pPr>
              <w:jc w:val="right"/>
              <w:ind w:right="940"/>
              <w:spacing w:after="0"/>
              <w:rPr>
                <w:sz w:val="20"/>
                <w:szCs w:val="20"/>
                <w:color w:val="auto"/>
              </w:rPr>
            </w:pPr>
            <w:r>
              <w:rPr>
                <w:rFonts w:ascii="Times New Roman" w:cs="Times New Roman" w:eastAsia="Times New Roman" w:hAnsi="Times New Roman"/>
                <w:sz w:val="15"/>
                <w:szCs w:val="15"/>
                <w:b w:val="1"/>
                <w:bCs w:val="1"/>
                <w:color w:val="auto"/>
              </w:rPr>
              <w:t>Six-Month Period Ended</w:t>
            </w:r>
          </w:p>
        </w:tc>
      </w:tr>
      <w:tr>
        <w:trPr>
          <w:trHeight w:val="156"/>
        </w:trPr>
        <w:tc>
          <w:tcPr>
            <w:tcW w:w="4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b w:val="1"/>
                <w:bCs w:val="1"/>
                <w:color w:val="auto"/>
              </w:rPr>
              <w:t>September 25, 2026</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September 26, 2025</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September 25, 2026</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September 26, 2025</w:t>
            </w:r>
          </w:p>
        </w:tc>
        <w:tc>
          <w:tcPr>
            <w:tcW w:w="100" w:type="dxa"/>
            <w:vAlign w:val="bottom"/>
          </w:tcPr>
          <w:p>
            <w:pPr>
              <w:spacing w:after="0"/>
              <w:rPr>
                <w:sz w:val="13"/>
                <w:szCs w:val="13"/>
                <w:color w:val="auto"/>
              </w:rPr>
            </w:pPr>
          </w:p>
        </w:tc>
      </w:tr>
      <w:tr>
        <w:trPr>
          <w:trHeight w:val="155"/>
        </w:trPr>
        <w:tc>
          <w:tcPr>
            <w:tcW w:w="40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sales</w:t>
            </w:r>
          </w:p>
        </w:tc>
        <w:tc>
          <w:tcPr>
            <w:tcW w:w="3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276,884</w:t>
            </w:r>
          </w:p>
        </w:tc>
        <w:tc>
          <w:tcPr>
            <w:tcW w:w="16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214,294</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536,127</w:t>
            </w:r>
          </w:p>
        </w:tc>
        <w:tc>
          <w:tcPr>
            <w:tcW w:w="16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417,699</w:t>
            </w:r>
          </w:p>
        </w:tc>
        <w:tc>
          <w:tcPr>
            <w:tcW w:w="100" w:type="dxa"/>
            <w:vAlign w:val="bottom"/>
            <w:shd w:val="clear" w:color="auto" w:fill="CFF0FC"/>
          </w:tcPr>
          <w:p>
            <w:pPr>
              <w:spacing w:after="0"/>
              <w:rPr>
                <w:sz w:val="13"/>
                <w:szCs w:val="13"/>
                <w:color w:val="auto"/>
              </w:rPr>
            </w:pPr>
          </w:p>
        </w:tc>
      </w:tr>
      <w:tr>
        <w:trPr>
          <w:trHeight w:val="162"/>
        </w:trPr>
        <w:tc>
          <w:tcPr>
            <w:tcW w:w="40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Cost of goods sold</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140,722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115,002</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274,355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227,105</w:t>
            </w:r>
          </w:p>
        </w:tc>
        <w:tc>
          <w:tcPr>
            <w:tcW w:w="100" w:type="dxa"/>
            <w:vAlign w:val="bottom"/>
          </w:tcPr>
          <w:p>
            <w:pPr>
              <w:spacing w:after="0"/>
              <w:rPr>
                <w:sz w:val="14"/>
                <w:szCs w:val="14"/>
                <w:color w:val="auto"/>
              </w:rPr>
            </w:pPr>
          </w:p>
        </w:tc>
      </w:tr>
      <w:tr>
        <w:trPr>
          <w:trHeight w:val="155"/>
        </w:trPr>
        <w:tc>
          <w:tcPr>
            <w:tcW w:w="40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Gross profit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136,162</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99,292</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261,772</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190,594</w:t>
            </w:r>
          </w:p>
        </w:tc>
        <w:tc>
          <w:tcPr>
            <w:tcW w:w="100" w:type="dxa"/>
            <w:vAlign w:val="bottom"/>
            <w:shd w:val="clear" w:color="auto" w:fill="CFF0FC"/>
          </w:tcPr>
          <w:p>
            <w:pPr>
              <w:spacing w:after="0"/>
              <w:rPr>
                <w:sz w:val="13"/>
                <w:szCs w:val="13"/>
                <w:color w:val="auto"/>
              </w:rPr>
            </w:pPr>
          </w:p>
        </w:tc>
      </w:tr>
      <w:tr>
        <w:trPr>
          <w:trHeight w:val="162"/>
        </w:trPr>
        <w:tc>
          <w:tcPr>
            <w:tcW w:w="40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Operating expenses: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4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Research and development</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55,756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50,891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110,924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97,391</w:t>
            </w:r>
          </w:p>
        </w:tc>
        <w:tc>
          <w:tcPr>
            <w:tcW w:w="100" w:type="dxa"/>
            <w:vAlign w:val="bottom"/>
            <w:shd w:val="clear" w:color="auto" w:fill="CFF0FC"/>
          </w:tcPr>
          <w:p>
            <w:pPr>
              <w:spacing w:after="0"/>
              <w:rPr>
                <w:sz w:val="14"/>
                <w:szCs w:val="14"/>
                <w:color w:val="auto"/>
              </w:rPr>
            </w:pPr>
          </w:p>
        </w:tc>
      </w:tr>
      <w:tr>
        <w:trPr>
          <w:trHeight w:val="162"/>
        </w:trPr>
        <w:tc>
          <w:tcPr>
            <w:tcW w:w="40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Selling, general and administrative</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44,958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42,158</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89,933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89,700</w:t>
            </w:r>
          </w:p>
        </w:tc>
        <w:tc>
          <w:tcPr>
            <w:tcW w:w="100" w:type="dxa"/>
            <w:vAlign w:val="bottom"/>
          </w:tcPr>
          <w:p>
            <w:pPr>
              <w:spacing w:after="0"/>
              <w:rPr>
                <w:sz w:val="14"/>
                <w:szCs w:val="14"/>
                <w:color w:val="auto"/>
              </w:rPr>
            </w:pPr>
          </w:p>
        </w:tc>
      </w:tr>
      <w:tr>
        <w:trPr>
          <w:trHeight w:val="155"/>
        </w:trPr>
        <w:tc>
          <w:tcPr>
            <w:tcW w:w="404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operating expenses</w:t>
            </w:r>
          </w:p>
        </w:tc>
        <w:tc>
          <w:tcPr>
            <w:tcW w:w="3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100,714</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93,049</w:t>
            </w:r>
          </w:p>
        </w:tc>
        <w:tc>
          <w:tcPr>
            <w:tcW w:w="2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200,857</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187,091</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40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Operating income</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35,448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6,243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60,915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3,503</w:t>
            </w:r>
          </w:p>
        </w:tc>
        <w:tc>
          <w:tcPr>
            <w:tcW w:w="100" w:type="dxa"/>
            <w:vAlign w:val="bottom"/>
          </w:tcPr>
          <w:p>
            <w:pPr>
              <w:spacing w:after="0"/>
              <w:rPr>
                <w:sz w:val="13"/>
                <w:szCs w:val="13"/>
                <w:color w:val="auto"/>
              </w:rPr>
            </w:pPr>
          </w:p>
        </w:tc>
      </w:tr>
      <w:tr>
        <w:trPr>
          <w:trHeight w:val="162"/>
        </w:trPr>
        <w:tc>
          <w:tcPr>
            <w:tcW w:w="40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Interest and other expense</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(7,620)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(8,958)</w:t>
            </w: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(15,662)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(16,211)</w:t>
            </w:r>
          </w:p>
        </w:tc>
      </w:tr>
      <w:tr>
        <w:trPr>
          <w:trHeight w:val="20"/>
        </w:trPr>
        <w:tc>
          <w:tcPr>
            <w:tcW w:w="40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40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Income (loss) before income taxes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27,828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(2,715)</w:t>
            </w:r>
          </w:p>
        </w:tc>
        <w:tc>
          <w:tcPr>
            <w:tcW w:w="100" w:type="dxa"/>
            <w:vAlign w:val="bottom"/>
          </w:tcPr>
          <w:p>
            <w:pPr>
              <w:spacing w:after="0"/>
              <w:rPr>
                <w:sz w:val="13"/>
                <w:szCs w:val="13"/>
                <w:color w:val="auto"/>
              </w:rPr>
            </w:pPr>
          </w:p>
        </w:tc>
        <w:tc>
          <w:tcPr>
            <w:tcW w:w="14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45,253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(12,708)</w:t>
            </w:r>
          </w:p>
        </w:tc>
      </w:tr>
      <w:tr>
        <w:trPr>
          <w:trHeight w:val="20"/>
        </w:trPr>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40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Income tax provision (benefit)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4,510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8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(9,298)</w:t>
            </w:r>
          </w:p>
        </w:tc>
        <w:tc>
          <w:tcPr>
            <w:tcW w:w="1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6,016</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(6,129)</w:t>
            </w:r>
          </w:p>
        </w:tc>
      </w:tr>
      <w:tr>
        <w:trPr>
          <w:trHeight w:val="20"/>
        </w:trPr>
        <w:tc>
          <w:tcPr>
            <w:tcW w:w="40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40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income (loss)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23,318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6,583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39,237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(6,579)</w:t>
            </w:r>
          </w:p>
        </w:tc>
      </w:tr>
      <w:tr>
        <w:trPr>
          <w:trHeight w:val="162"/>
        </w:trPr>
        <w:tc>
          <w:tcPr>
            <w:tcW w:w="404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Net income attributable to non-controlling interests</w:t>
            </w:r>
          </w:p>
        </w:tc>
        <w:tc>
          <w:tcPr>
            <w:tcW w:w="3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64</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109</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40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income (loss) attributable to Allegro MicroSystems, Inc.</w:t>
            </w:r>
          </w:p>
        </w:tc>
        <w:tc>
          <w:tcPr>
            <w:tcW w:w="3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23,257</w:t>
            </w:r>
          </w:p>
        </w:tc>
        <w:tc>
          <w:tcPr>
            <w:tcW w:w="160" w:type="dxa"/>
            <w:vAlign w:val="bottom"/>
          </w:tcPr>
          <w:p>
            <w:pPr>
              <w:spacing w:after="0"/>
              <w:rPr>
                <w:sz w:val="13"/>
                <w:szCs w:val="13"/>
                <w:color w:val="auto"/>
              </w:rPr>
            </w:pPr>
          </w:p>
        </w:tc>
        <w:tc>
          <w:tcPr>
            <w:tcW w:w="2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6,519</w:t>
            </w:r>
          </w:p>
        </w:tc>
        <w:tc>
          <w:tcPr>
            <w:tcW w:w="26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39,128</w:t>
            </w:r>
          </w:p>
        </w:tc>
        <w:tc>
          <w:tcPr>
            <w:tcW w:w="160" w:type="dxa"/>
            <w:vAlign w:val="bottom"/>
          </w:tcPr>
          <w:p>
            <w:pPr>
              <w:spacing w:after="0"/>
              <w:rPr>
                <w:sz w:val="13"/>
                <w:szCs w:val="13"/>
                <w:color w:val="auto"/>
              </w:rPr>
            </w:pPr>
          </w:p>
        </w:tc>
        <w:tc>
          <w:tcPr>
            <w:tcW w:w="2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(6,708)</w:t>
            </w:r>
          </w:p>
        </w:tc>
      </w:tr>
      <w:tr>
        <w:trPr>
          <w:trHeight w:val="20"/>
        </w:trPr>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5"/>
        </w:trPr>
        <w:tc>
          <w:tcPr>
            <w:tcW w:w="404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4"/>
                <w:szCs w:val="14"/>
                <w:color w:val="auto"/>
              </w:rPr>
              <w:t>Net income (loss) per common share attributable to Allegro</w:t>
            </w: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MicroSystems, Inc.:</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2"/>
        </w:trPr>
        <w:tc>
          <w:tcPr>
            <w:tcW w:w="40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Basic</w:t>
            </w:r>
          </w:p>
        </w:tc>
        <w:tc>
          <w:tcPr>
            <w:tcW w:w="3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0.12</w:t>
            </w:r>
          </w:p>
        </w:tc>
        <w:tc>
          <w:tcPr>
            <w:tcW w:w="160" w:type="dxa"/>
            <w:vAlign w:val="bottom"/>
          </w:tcPr>
          <w:p>
            <w:pPr>
              <w:spacing w:after="0"/>
              <w:rPr>
                <w:sz w:val="14"/>
                <w:szCs w:val="14"/>
                <w:color w:val="auto"/>
              </w:rPr>
            </w:pPr>
          </w:p>
        </w:tc>
        <w:tc>
          <w:tcPr>
            <w:tcW w:w="2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0.04</w:t>
            </w:r>
          </w:p>
        </w:tc>
        <w:tc>
          <w:tcPr>
            <w:tcW w:w="26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0.21</w:t>
            </w:r>
          </w:p>
        </w:tc>
        <w:tc>
          <w:tcPr>
            <w:tcW w:w="160" w:type="dxa"/>
            <w:vAlign w:val="bottom"/>
          </w:tcPr>
          <w:p>
            <w:pPr>
              <w:spacing w:after="0"/>
              <w:rPr>
                <w:sz w:val="14"/>
                <w:szCs w:val="14"/>
                <w:color w:val="auto"/>
              </w:rPr>
            </w:pPr>
          </w:p>
        </w:tc>
        <w:tc>
          <w:tcPr>
            <w:tcW w:w="2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(0.04)</w:t>
            </w:r>
          </w:p>
        </w:tc>
      </w:tr>
      <w:tr>
        <w:trPr>
          <w:trHeight w:val="20"/>
        </w:trPr>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040" w:type="dxa"/>
            <w:vAlign w:val="bottom"/>
            <w:shd w:val="clear" w:color="auto" w:fill="CFF0FC"/>
          </w:tcPr>
          <w:p>
            <w:pPr>
              <w:ind w:left="160"/>
              <w:spacing w:after="0" w:line="143" w:lineRule="exact"/>
              <w:rPr>
                <w:sz w:val="20"/>
                <w:szCs w:val="20"/>
                <w:color w:val="auto"/>
              </w:rPr>
            </w:pPr>
            <w:r>
              <w:rPr>
                <w:rFonts w:ascii="Times New Roman" w:cs="Times New Roman" w:eastAsia="Times New Roman" w:hAnsi="Times New Roman"/>
                <w:sz w:val="15"/>
                <w:szCs w:val="15"/>
                <w:color w:val="auto"/>
              </w:rPr>
              <w:t>Diluted</w:t>
            </w:r>
          </w:p>
        </w:tc>
        <w:tc>
          <w:tcPr>
            <w:tcW w:w="380" w:type="dxa"/>
            <w:vAlign w:val="bottom"/>
            <w:gridSpan w:val="2"/>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0.12</w:t>
            </w:r>
          </w:p>
        </w:tc>
        <w:tc>
          <w:tcPr>
            <w:tcW w:w="16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0.03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0.21</w:t>
            </w:r>
          </w:p>
        </w:tc>
        <w:tc>
          <w:tcPr>
            <w:tcW w:w="16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shd w:val="clear" w:color="auto" w:fill="CFF0FC"/>
          </w:tcPr>
          <w:p>
            <w:pPr>
              <w:jc w:val="right"/>
              <w:ind w:right="60"/>
              <w:spacing w:after="0" w:line="143" w:lineRule="exact"/>
              <w:rPr>
                <w:sz w:val="20"/>
                <w:szCs w:val="20"/>
                <w:color w:val="auto"/>
              </w:rPr>
            </w:pPr>
            <w:r>
              <w:rPr>
                <w:rFonts w:ascii="Times New Roman" w:cs="Times New Roman" w:eastAsia="Times New Roman" w:hAnsi="Times New Roman"/>
                <w:sz w:val="15"/>
                <w:szCs w:val="15"/>
                <w:color w:val="auto"/>
              </w:rPr>
              <w:t>(0.04)</w:t>
            </w:r>
          </w:p>
        </w:tc>
      </w:tr>
      <w:tr>
        <w:trPr>
          <w:trHeight w:val="143"/>
        </w:trPr>
        <w:tc>
          <w:tcPr>
            <w:tcW w:w="4040" w:type="dxa"/>
            <w:vAlign w:val="bottom"/>
            <w:tcBorders>
              <w:top w:val="single" w:sz="8" w:color="CFF0FC"/>
            </w:tcBorders>
          </w:tcPr>
          <w:p>
            <w:pPr>
              <w:spacing w:after="0" w:line="143" w:lineRule="exact"/>
              <w:rPr>
                <w:sz w:val="20"/>
                <w:szCs w:val="20"/>
                <w:color w:val="auto"/>
              </w:rPr>
            </w:pPr>
            <w:r>
              <w:rPr>
                <w:rFonts w:ascii="Times New Roman" w:cs="Times New Roman" w:eastAsia="Times New Roman" w:hAnsi="Times New Roman"/>
                <w:sz w:val="15"/>
                <w:szCs w:val="15"/>
                <w:color w:val="auto"/>
              </w:rPr>
              <w:t>Weighted average shares outstanding:</w:t>
            </w:r>
          </w:p>
        </w:tc>
        <w:tc>
          <w:tcPr>
            <w:tcW w:w="3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202"/>
        </w:trPr>
        <w:tc>
          <w:tcPr>
            <w:tcW w:w="4040" w:type="dxa"/>
            <w:vAlign w:val="bottom"/>
            <w:tcBorders>
              <w:bottom w:val="single" w:sz="8" w:color="CFF0FC"/>
            </w:tcBorders>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Basic</w:t>
            </w:r>
          </w:p>
        </w:tc>
        <w:tc>
          <w:tcPr>
            <w:tcW w:w="3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186,449,984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185,074,119</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186,128,253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184,830,588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4040" w:type="dxa"/>
            <w:vAlign w:val="bottom"/>
          </w:tcPr>
          <w:p>
            <w:pPr>
              <w:ind w:left="160"/>
              <w:spacing w:after="0" w:line="143" w:lineRule="exact"/>
              <w:rPr>
                <w:sz w:val="20"/>
                <w:szCs w:val="20"/>
                <w:color w:val="auto"/>
              </w:rPr>
            </w:pPr>
            <w:r>
              <w:rPr>
                <w:rFonts w:ascii="Times New Roman" w:cs="Times New Roman" w:eastAsia="Times New Roman" w:hAnsi="Times New Roman"/>
                <w:sz w:val="15"/>
                <w:szCs w:val="15"/>
                <w:color w:val="auto"/>
              </w:rPr>
              <w:t>Diluted</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187,717,425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186,305,785</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187,760,302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184,830,588</w:t>
            </w:r>
          </w:p>
        </w:tc>
        <w:tc>
          <w:tcPr>
            <w:tcW w:w="100" w:type="dxa"/>
            <w:vAlign w:val="bottom"/>
          </w:tcPr>
          <w:p>
            <w:pPr>
              <w:spacing w:after="0"/>
              <w:rPr>
                <w:sz w:val="12"/>
                <w:szCs w:val="12"/>
                <w:color w:val="auto"/>
              </w:rPr>
            </w:pPr>
          </w:p>
        </w:tc>
      </w:tr>
      <w:tr>
        <w:trPr>
          <w:trHeight w:val="20"/>
        </w:trPr>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-1610995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-1610995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-1610995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-1397000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-1397000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-1397000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-1397000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-1174115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-1174115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-1174115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-959485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-959485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-959485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-385445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-368300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-385445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-368300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-385445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-368300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-153670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-136525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-153670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-136525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-153670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-136525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Supplemental Schedule of Total Net Sales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total net sales by market within the Company’s unaudited condensed consolidated statements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Three-Month Period Ended</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5"/>
                <w:szCs w:val="15"/>
                <w:b w:val="1"/>
                <w:bCs w:val="1"/>
                <w:color w:val="auto"/>
              </w:rPr>
              <w:t>Six-Month Period Ended</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34"/>
        </w:trPr>
        <w:tc>
          <w:tcPr>
            <w:tcW w:w="1980" w:type="dxa"/>
            <w:vAlign w:val="bottom"/>
          </w:tcPr>
          <w:p>
            <w:pPr>
              <w:spacing w:after="0"/>
              <w:rPr>
                <w:sz w:val="11"/>
                <w:szCs w:val="11"/>
                <w:color w:val="auto"/>
              </w:rPr>
            </w:pPr>
          </w:p>
        </w:tc>
        <w:tc>
          <w:tcPr>
            <w:tcW w:w="1120" w:type="dxa"/>
            <w:vAlign w:val="bottom"/>
            <w:gridSpan w:val="2"/>
          </w:tcPr>
          <w:p>
            <w:pPr>
              <w:jc w:val="right"/>
              <w:ind w:right="4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25,</w:t>
            </w:r>
          </w:p>
        </w:tc>
        <w:tc>
          <w:tcPr>
            <w:tcW w:w="220" w:type="dxa"/>
            <w:vAlign w:val="bottom"/>
          </w:tcPr>
          <w:p>
            <w:pPr>
              <w:spacing w:after="0"/>
              <w:rPr>
                <w:sz w:val="11"/>
                <w:szCs w:val="11"/>
                <w:color w:val="auto"/>
              </w:rPr>
            </w:pPr>
          </w:p>
        </w:tc>
        <w:tc>
          <w:tcPr>
            <w:tcW w:w="1120" w:type="dxa"/>
            <w:vAlign w:val="bottom"/>
            <w:gridSpan w:val="2"/>
          </w:tcPr>
          <w:p>
            <w:pPr>
              <w:jc w:val="right"/>
              <w:ind w:right="2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6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25,</w:t>
            </w:r>
          </w:p>
        </w:tc>
        <w:tc>
          <w:tcPr>
            <w:tcW w:w="220" w:type="dxa"/>
            <w:vAlign w:val="bottom"/>
          </w:tcPr>
          <w:p>
            <w:pPr>
              <w:spacing w:after="0"/>
              <w:rPr>
                <w:sz w:val="11"/>
                <w:szCs w:val="11"/>
                <w:color w:val="auto"/>
              </w:rPr>
            </w:pPr>
          </w:p>
        </w:tc>
        <w:tc>
          <w:tcPr>
            <w:tcW w:w="114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83"/>
        </w:trPr>
        <w:tc>
          <w:tcPr>
            <w:tcW w:w="1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5"/>
                <w:szCs w:val="15"/>
                <w:color w:val="auto"/>
              </w:rPr>
            </w:pPr>
          </w:p>
        </w:tc>
      </w:tr>
      <w:tr>
        <w:trPr>
          <w:trHeight w:val="155"/>
        </w:trPr>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6"/>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(Dollars in thousands)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6"/>
          </w:tcPr>
          <w:p>
            <w:pPr>
              <w:jc w:val="center"/>
              <w:ind w:right="980"/>
              <w:spacing w:after="0" w:line="156" w:lineRule="exact"/>
              <w:rPr>
                <w:sz w:val="20"/>
                <w:szCs w:val="20"/>
                <w:color w:val="auto"/>
              </w:rPr>
            </w:pPr>
            <w:r>
              <w:rPr>
                <w:rFonts w:ascii="Times New Roman" w:cs="Times New Roman" w:eastAsia="Times New Roman" w:hAnsi="Times New Roman"/>
                <w:sz w:val="15"/>
                <w:szCs w:val="15"/>
                <w:b w:val="1"/>
                <w:bCs w:val="1"/>
                <w:color w:val="auto"/>
              </w:rPr>
              <w:t>(Dollars in thousands)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19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Automotive</w:t>
            </w:r>
          </w:p>
        </w:tc>
        <w:tc>
          <w:tcPr>
            <w:tcW w:w="2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172,492</w:t>
            </w:r>
          </w:p>
        </w:tc>
        <w:tc>
          <w:tcPr>
            <w:tcW w:w="3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155,845</w:t>
            </w:r>
          </w:p>
        </w:tc>
        <w:tc>
          <w:tcPr>
            <w:tcW w:w="36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16,647</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320" w:type="dxa"/>
            <w:vAlign w:val="bottom"/>
            <w:gridSpan w:val="2"/>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337,841</w:t>
            </w:r>
          </w:p>
        </w:tc>
        <w:tc>
          <w:tcPr>
            <w:tcW w:w="3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center"/>
              <w:ind w:left="424"/>
              <w:spacing w:after="0" w:line="162" w:lineRule="exact"/>
              <w:rPr>
                <w:sz w:val="20"/>
                <w:szCs w:val="20"/>
                <w:color w:val="auto"/>
              </w:rPr>
            </w:pPr>
            <w:r>
              <w:rPr>
                <w:rFonts w:ascii="Times New Roman" w:cs="Times New Roman" w:eastAsia="Times New Roman" w:hAnsi="Times New Roman"/>
                <w:sz w:val="15"/>
                <w:szCs w:val="15"/>
                <w:color w:val="auto"/>
              </w:rPr>
              <w:t>300,109</w:t>
            </w:r>
          </w:p>
        </w:tc>
        <w:tc>
          <w:tcPr>
            <w:tcW w:w="34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37,732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13%</w:t>
            </w:r>
          </w:p>
        </w:tc>
      </w:tr>
      <w:tr>
        <w:trPr>
          <w:trHeight w:val="162"/>
        </w:trPr>
        <w:tc>
          <w:tcPr>
            <w:tcW w:w="19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Industrial and Other</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104,392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58,449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45,943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79%</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198,286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left="424"/>
              <w:spacing w:after="0" w:line="162" w:lineRule="exact"/>
              <w:rPr>
                <w:sz w:val="20"/>
                <w:szCs w:val="20"/>
                <w:color w:val="auto"/>
              </w:rPr>
            </w:pPr>
            <w:r>
              <w:rPr>
                <w:rFonts w:ascii="Times New Roman" w:cs="Times New Roman" w:eastAsia="Times New Roman" w:hAnsi="Times New Roman"/>
                <w:sz w:val="15"/>
                <w:szCs w:val="15"/>
                <w:color w:val="auto"/>
              </w:rPr>
              <w:t>117,590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80,696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69%</w:t>
            </w:r>
          </w:p>
        </w:tc>
      </w:tr>
      <w:tr>
        <w:trPr>
          <w:trHeight w:val="195"/>
        </w:trPr>
        <w:tc>
          <w:tcPr>
            <w:tcW w:w="198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net sales</w:t>
            </w:r>
          </w:p>
        </w:tc>
        <w:tc>
          <w:tcPr>
            <w:tcW w:w="200" w:type="dxa"/>
            <w:vAlign w:val="bottom"/>
            <w:tcBorders>
              <w:bottom w:val="single" w:sz="8" w:color="auto"/>
            </w:tcBorders>
            <w:shd w:val="clear" w:color="auto" w:fill="CFF0FC"/>
          </w:tcPr>
          <w:p>
            <w:pPr>
              <w:jc w:val="right"/>
              <w:ind w:right="4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276,884</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214,294</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62,590</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29%</w:t>
            </w: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536,127</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FF0FC"/>
          </w:tcPr>
          <w:p>
            <w:pPr>
              <w:jc w:val="center"/>
              <w:ind w:left="424"/>
              <w:spacing w:after="0" w:line="142" w:lineRule="exact"/>
              <w:rPr>
                <w:sz w:val="20"/>
                <w:szCs w:val="20"/>
                <w:color w:val="auto"/>
              </w:rPr>
            </w:pPr>
            <w:r>
              <w:rPr>
                <w:rFonts w:ascii="Times New Roman" w:cs="Times New Roman" w:eastAsia="Times New Roman" w:hAnsi="Times New Roman"/>
                <w:sz w:val="15"/>
                <w:szCs w:val="15"/>
                <w:color w:val="auto"/>
              </w:rPr>
              <w:t>417,699</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118,428</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28%</w:t>
            </w:r>
          </w:p>
        </w:tc>
      </w:tr>
      <w:tr>
        <w:trPr>
          <w:trHeight w:val="960"/>
        </w:trPr>
        <w:tc>
          <w:tcPr>
            <w:tcW w:w="1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-659765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-642620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-659765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-642620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-659765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-642620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-659765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-642620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-659765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-642620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-659765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-642620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September 25,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March 27,</w:t>
            </w:r>
          </w:p>
        </w:tc>
      </w:tr>
      <w:tr>
        <w:trPr>
          <w:trHeight w:val="162"/>
        </w:trPr>
        <w:tc>
          <w:tcPr>
            <w:tcW w:w="6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right="124"/>
              <w:spacing w:after="0" w:line="162" w:lineRule="exact"/>
              <w:rPr>
                <w:sz w:val="20"/>
                <w:szCs w:val="20"/>
                <w:color w:val="auto"/>
              </w:rPr>
            </w:pPr>
            <w:r>
              <w:rPr>
                <w:rFonts w:ascii="Times New Roman" w:cs="Times New Roman" w:eastAsia="Times New Roman" w:hAnsi="Times New Roman"/>
                <w:sz w:val="15"/>
                <w:szCs w:val="15"/>
                <w:b w:val="1"/>
                <w:bCs w:val="1"/>
                <w:color w:val="auto"/>
                <w:w w:val="99"/>
              </w:rPr>
              <w:t>2026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Pr>
          <w:p>
            <w:pPr>
              <w:spacing w:after="0"/>
              <w:rPr>
                <w:sz w:val="14"/>
                <w:szCs w:val="14"/>
                <w:color w:val="auto"/>
              </w:rPr>
            </w:pPr>
          </w:p>
        </w:tc>
      </w:tr>
      <w:tr>
        <w:trPr>
          <w:trHeight w:val="183"/>
        </w:trPr>
        <w:tc>
          <w:tcPr>
            <w:tcW w:w="60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6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Assets</w:t>
            </w:r>
          </w:p>
        </w:tc>
        <w:tc>
          <w:tcPr>
            <w:tcW w:w="17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60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Current assets:</w:t>
            </w: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0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190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193,039</w:t>
            </w:r>
          </w:p>
        </w:tc>
        <w:tc>
          <w:tcPr>
            <w:tcW w:w="1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168,753</w:t>
            </w: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Restricted cash</w:t>
            </w: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8,062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6,604</w:t>
            </w:r>
          </w:p>
        </w:tc>
        <w:tc>
          <w:tcPr>
            <w:tcW w:w="120" w:type="dxa"/>
            <w:vAlign w:val="bottom"/>
          </w:tcPr>
          <w:p>
            <w:pPr>
              <w:spacing w:after="0"/>
              <w:rPr>
                <w:sz w:val="14"/>
                <w:szCs w:val="14"/>
                <w:color w:val="auto"/>
              </w:rPr>
            </w:pPr>
          </w:p>
        </w:tc>
      </w:tr>
      <w:tr>
        <w:trPr>
          <w:trHeight w:val="162"/>
        </w:trPr>
        <w:tc>
          <w:tcPr>
            <w:tcW w:w="60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Trade accounts receivable, net</w:t>
            </w:r>
          </w:p>
        </w:tc>
        <w:tc>
          <w:tcPr>
            <w:tcW w:w="1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108,455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93,248</w:t>
            </w: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Inventories</w:t>
            </w: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181,594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181,752</w:t>
            </w:r>
          </w:p>
        </w:tc>
        <w:tc>
          <w:tcPr>
            <w:tcW w:w="120" w:type="dxa"/>
            <w:vAlign w:val="bottom"/>
          </w:tcPr>
          <w:p>
            <w:pPr>
              <w:spacing w:after="0"/>
              <w:rPr>
                <w:sz w:val="14"/>
                <w:szCs w:val="14"/>
                <w:color w:val="auto"/>
              </w:rPr>
            </w:pPr>
          </w:p>
        </w:tc>
      </w:tr>
      <w:tr>
        <w:trPr>
          <w:trHeight w:val="162"/>
        </w:trPr>
        <w:tc>
          <w:tcPr>
            <w:tcW w:w="60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Related party - other current assets</w:t>
            </w:r>
          </w:p>
        </w:tc>
        <w:tc>
          <w:tcPr>
            <w:tcW w:w="1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22,500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0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1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47,185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53,249</w:t>
            </w:r>
          </w:p>
        </w:tc>
        <w:tc>
          <w:tcPr>
            <w:tcW w:w="120" w:type="dxa"/>
            <w:vAlign w:val="bottom"/>
          </w:tcPr>
          <w:p>
            <w:pPr>
              <w:spacing w:after="0"/>
              <w:rPr>
                <w:sz w:val="14"/>
                <w:szCs w:val="14"/>
                <w:color w:val="auto"/>
              </w:rPr>
            </w:pPr>
          </w:p>
        </w:tc>
      </w:tr>
      <w:tr>
        <w:trPr>
          <w:trHeight w:val="156"/>
        </w:trPr>
        <w:tc>
          <w:tcPr>
            <w:tcW w:w="6000" w:type="dxa"/>
            <w:vAlign w:val="bottom"/>
            <w:shd w:val="clear" w:color="auto" w:fill="CFF0FC"/>
          </w:tcPr>
          <w:p>
            <w:pPr>
              <w:ind w:left="280"/>
              <w:spacing w:after="0" w:line="156" w:lineRule="exact"/>
              <w:rPr>
                <w:sz w:val="20"/>
                <w:szCs w:val="20"/>
                <w:color w:val="auto"/>
              </w:rPr>
            </w:pPr>
            <w:r>
              <w:rPr>
                <w:rFonts w:ascii="Times New Roman" w:cs="Times New Roman" w:eastAsia="Times New Roman" w:hAnsi="Times New Roman"/>
                <w:sz w:val="15"/>
                <w:szCs w:val="15"/>
                <w:color w:val="auto"/>
              </w:rPr>
              <w:t>Total current assets</w:t>
            </w:r>
          </w:p>
        </w:tc>
        <w:tc>
          <w:tcPr>
            <w:tcW w:w="1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560,835</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503,606</w:t>
            </w:r>
          </w:p>
        </w:tc>
        <w:tc>
          <w:tcPr>
            <w:tcW w:w="120" w:type="dxa"/>
            <w:vAlign w:val="bottom"/>
            <w:shd w:val="clear" w:color="auto" w:fill="CFF0FC"/>
          </w:tcPr>
          <w:p>
            <w:pPr>
              <w:spacing w:after="0"/>
              <w:rPr>
                <w:sz w:val="13"/>
                <w:szCs w:val="13"/>
                <w:color w:val="auto"/>
              </w:rPr>
            </w:pPr>
          </w:p>
        </w:tc>
      </w:tr>
      <w:tr>
        <w:trPr>
          <w:trHeight w:val="162"/>
        </w:trPr>
        <w:tc>
          <w:tcPr>
            <w:tcW w:w="60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Property, plant and equipment, net</w:t>
            </w: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300,656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308,258</w:t>
            </w:r>
          </w:p>
        </w:tc>
        <w:tc>
          <w:tcPr>
            <w:tcW w:w="120" w:type="dxa"/>
            <w:vAlign w:val="bottom"/>
          </w:tcPr>
          <w:p>
            <w:pPr>
              <w:spacing w:after="0"/>
              <w:rPr>
                <w:sz w:val="14"/>
                <w:szCs w:val="14"/>
                <w:color w:val="auto"/>
              </w:rPr>
            </w:pPr>
          </w:p>
        </w:tc>
      </w:tr>
      <w:tr>
        <w:trPr>
          <w:trHeight w:val="162"/>
        </w:trPr>
        <w:tc>
          <w:tcPr>
            <w:tcW w:w="60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Deferred income tax assets</w:t>
            </w:r>
          </w:p>
        </w:tc>
        <w:tc>
          <w:tcPr>
            <w:tcW w:w="1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84,494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80,221</w:t>
            </w: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Goodwill</w:t>
            </w: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203,109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203,291</w:t>
            </w:r>
          </w:p>
        </w:tc>
        <w:tc>
          <w:tcPr>
            <w:tcW w:w="120" w:type="dxa"/>
            <w:vAlign w:val="bottom"/>
          </w:tcPr>
          <w:p>
            <w:pPr>
              <w:spacing w:after="0"/>
              <w:rPr>
                <w:sz w:val="14"/>
                <w:szCs w:val="14"/>
                <w:color w:val="auto"/>
              </w:rPr>
            </w:pPr>
          </w:p>
        </w:tc>
      </w:tr>
      <w:tr>
        <w:trPr>
          <w:trHeight w:val="162"/>
        </w:trPr>
        <w:tc>
          <w:tcPr>
            <w:tcW w:w="60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Intangible assets, net</w:t>
            </w:r>
          </w:p>
        </w:tc>
        <w:tc>
          <w:tcPr>
            <w:tcW w:w="1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227,114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238,675</w:t>
            </w: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Equity investment in related party</w:t>
            </w: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15,743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22,296</w:t>
            </w:r>
          </w:p>
        </w:tc>
        <w:tc>
          <w:tcPr>
            <w:tcW w:w="120" w:type="dxa"/>
            <w:vAlign w:val="bottom"/>
          </w:tcPr>
          <w:p>
            <w:pPr>
              <w:spacing w:after="0"/>
              <w:rPr>
                <w:sz w:val="14"/>
                <w:szCs w:val="14"/>
                <w:color w:val="auto"/>
              </w:rPr>
            </w:pPr>
          </w:p>
        </w:tc>
      </w:tr>
      <w:tr>
        <w:trPr>
          <w:trHeight w:val="162"/>
        </w:trPr>
        <w:tc>
          <w:tcPr>
            <w:tcW w:w="60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Related party - other assets</w:t>
            </w:r>
          </w:p>
        </w:tc>
        <w:tc>
          <w:tcPr>
            <w:tcW w:w="1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12,500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1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42,601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44,828</w:t>
            </w:r>
          </w:p>
        </w:tc>
        <w:tc>
          <w:tcPr>
            <w:tcW w:w="120" w:type="dxa"/>
            <w:vAlign w:val="bottom"/>
          </w:tcPr>
          <w:p>
            <w:pPr>
              <w:spacing w:after="0"/>
              <w:rPr>
                <w:sz w:val="14"/>
                <w:szCs w:val="14"/>
                <w:color w:val="auto"/>
              </w:rPr>
            </w:pPr>
          </w:p>
        </w:tc>
      </w:tr>
      <w:tr>
        <w:trPr>
          <w:trHeight w:val="196"/>
        </w:trPr>
        <w:tc>
          <w:tcPr>
            <w:tcW w:w="6000" w:type="dxa"/>
            <w:vAlign w:val="bottom"/>
            <w:shd w:val="clear" w:color="auto" w:fill="CFF0FC"/>
          </w:tcPr>
          <w:p>
            <w:pPr>
              <w:ind w:left="280"/>
              <w:spacing w:after="0" w:line="156" w:lineRule="exact"/>
              <w:rPr>
                <w:sz w:val="20"/>
                <w:szCs w:val="20"/>
                <w:color w:val="auto"/>
              </w:rPr>
            </w:pPr>
            <w:r>
              <w:rPr>
                <w:rFonts w:ascii="Times New Roman" w:cs="Times New Roman" w:eastAsia="Times New Roman" w:hAnsi="Times New Roman"/>
                <w:sz w:val="15"/>
                <w:szCs w:val="15"/>
                <w:color w:val="auto"/>
              </w:rPr>
              <w:t>Total assets</w:t>
            </w:r>
          </w:p>
        </w:tc>
        <w:tc>
          <w:tcPr>
            <w:tcW w:w="190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1,447,052</w:t>
            </w:r>
          </w:p>
        </w:tc>
        <w:tc>
          <w:tcPr>
            <w:tcW w:w="16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1,416,175</w:t>
            </w:r>
          </w:p>
        </w:tc>
        <w:tc>
          <w:tcPr>
            <w:tcW w:w="120" w:type="dxa"/>
            <w:vAlign w:val="bottom"/>
            <w:shd w:val="clear" w:color="auto" w:fill="CFF0FC"/>
          </w:tcPr>
          <w:p>
            <w:pPr>
              <w:spacing w:after="0"/>
              <w:rPr>
                <w:sz w:val="17"/>
                <w:szCs w:val="17"/>
                <w:color w:val="auto"/>
              </w:rPr>
            </w:pPr>
          </w:p>
        </w:tc>
      </w:tr>
      <w:tr>
        <w:trPr>
          <w:trHeight w:val="143"/>
        </w:trPr>
        <w:tc>
          <w:tcPr>
            <w:tcW w:w="6000" w:type="dxa"/>
            <w:vAlign w:val="bottom"/>
            <w:tcBorders>
              <w:top w:val="single" w:sz="8" w:color="CFF0FC"/>
            </w:tcBorders>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Liabilities, Non-Controlling Interest and Stockholders’ Equity</w:t>
            </w:r>
          </w:p>
        </w:tc>
        <w:tc>
          <w:tcPr>
            <w:tcW w:w="17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r>
      <w:tr>
        <w:trPr>
          <w:trHeight w:val="162"/>
        </w:trPr>
        <w:tc>
          <w:tcPr>
            <w:tcW w:w="60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Current liabilities:</w:t>
            </w:r>
          </w:p>
        </w:tc>
        <w:tc>
          <w:tcPr>
            <w:tcW w:w="1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Trade accounts payable</w:t>
            </w:r>
          </w:p>
        </w:tc>
        <w:tc>
          <w:tcPr>
            <w:tcW w:w="19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56,794</w:t>
            </w:r>
          </w:p>
        </w:tc>
        <w:tc>
          <w:tcPr>
            <w:tcW w:w="160" w:type="dxa"/>
            <w:vAlign w:val="bottom"/>
          </w:tcPr>
          <w:p>
            <w:pPr>
              <w:spacing w:after="0"/>
              <w:rPr>
                <w:sz w:val="14"/>
                <w:szCs w:val="14"/>
                <w:color w:val="auto"/>
              </w:rPr>
            </w:pPr>
          </w:p>
        </w:tc>
        <w:tc>
          <w:tcPr>
            <w:tcW w:w="3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44,438</w:t>
            </w:r>
          </w:p>
        </w:tc>
        <w:tc>
          <w:tcPr>
            <w:tcW w:w="120" w:type="dxa"/>
            <w:vAlign w:val="bottom"/>
          </w:tcPr>
          <w:p>
            <w:pPr>
              <w:spacing w:after="0"/>
              <w:rPr>
                <w:sz w:val="14"/>
                <w:szCs w:val="14"/>
                <w:color w:val="auto"/>
              </w:rPr>
            </w:pPr>
          </w:p>
        </w:tc>
      </w:tr>
      <w:tr>
        <w:trPr>
          <w:trHeight w:val="162"/>
        </w:trPr>
        <w:tc>
          <w:tcPr>
            <w:tcW w:w="60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Amounts due to related party</w:t>
            </w:r>
          </w:p>
        </w:tc>
        <w:tc>
          <w:tcPr>
            <w:tcW w:w="1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3,640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4,794</w:t>
            </w: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73,815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95,163</w:t>
            </w:r>
          </w:p>
        </w:tc>
        <w:tc>
          <w:tcPr>
            <w:tcW w:w="120" w:type="dxa"/>
            <w:vAlign w:val="bottom"/>
          </w:tcPr>
          <w:p>
            <w:pPr>
              <w:spacing w:after="0"/>
              <w:rPr>
                <w:sz w:val="14"/>
                <w:szCs w:val="14"/>
                <w:color w:val="auto"/>
              </w:rPr>
            </w:pPr>
          </w:p>
        </w:tc>
      </w:tr>
      <w:tr>
        <w:trPr>
          <w:trHeight w:val="162"/>
        </w:trPr>
        <w:tc>
          <w:tcPr>
            <w:tcW w:w="6000" w:type="dxa"/>
            <w:vAlign w:val="bottom"/>
            <w:tcBorders>
              <w:bottom w:val="single" w:sz="8" w:color="CFF0FC"/>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Current portion of long-term debt</w:t>
            </w:r>
          </w:p>
        </w:tc>
        <w:tc>
          <w:tcPr>
            <w:tcW w:w="17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1,506</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1,530</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6"/>
        </w:trPr>
        <w:tc>
          <w:tcPr>
            <w:tcW w:w="6000" w:type="dxa"/>
            <w:vAlign w:val="bottom"/>
          </w:tcPr>
          <w:p>
            <w:pPr>
              <w:ind w:left="280"/>
              <w:spacing w:after="0" w:line="156" w:lineRule="exact"/>
              <w:rPr>
                <w:sz w:val="20"/>
                <w:szCs w:val="20"/>
                <w:color w:val="auto"/>
              </w:rPr>
            </w:pPr>
            <w:r>
              <w:rPr>
                <w:rFonts w:ascii="Times New Roman" w:cs="Times New Roman" w:eastAsia="Times New Roman" w:hAnsi="Times New Roman"/>
                <w:sz w:val="15"/>
                <w:szCs w:val="15"/>
                <w:color w:val="auto"/>
              </w:rPr>
              <w:t>Total current liabilities</w:t>
            </w: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135,755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145,925</w:t>
            </w:r>
          </w:p>
        </w:tc>
        <w:tc>
          <w:tcPr>
            <w:tcW w:w="120" w:type="dxa"/>
            <w:vAlign w:val="bottom"/>
          </w:tcPr>
          <w:p>
            <w:pPr>
              <w:spacing w:after="0"/>
              <w:rPr>
                <w:sz w:val="13"/>
                <w:szCs w:val="13"/>
                <w:color w:val="auto"/>
              </w:rPr>
            </w:pPr>
          </w:p>
        </w:tc>
      </w:tr>
      <w:tr>
        <w:trPr>
          <w:trHeight w:val="162"/>
        </w:trPr>
        <w:tc>
          <w:tcPr>
            <w:tcW w:w="60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Long-term debt</w:t>
            </w:r>
          </w:p>
        </w:tc>
        <w:tc>
          <w:tcPr>
            <w:tcW w:w="1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285,649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285,746</w:t>
            </w: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Other long-term liabilities</w:t>
            </w:r>
          </w:p>
        </w:tc>
        <w:tc>
          <w:tcPr>
            <w:tcW w:w="1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21,758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28,059</w:t>
            </w:r>
          </w:p>
        </w:tc>
        <w:tc>
          <w:tcPr>
            <w:tcW w:w="120" w:type="dxa"/>
            <w:vAlign w:val="bottom"/>
          </w:tcPr>
          <w:p>
            <w:pPr>
              <w:spacing w:after="0"/>
              <w:rPr>
                <w:sz w:val="14"/>
                <w:szCs w:val="14"/>
                <w:color w:val="auto"/>
              </w:rPr>
            </w:pPr>
          </w:p>
        </w:tc>
      </w:tr>
      <w:tr>
        <w:trPr>
          <w:trHeight w:val="156"/>
        </w:trPr>
        <w:tc>
          <w:tcPr>
            <w:tcW w:w="6000" w:type="dxa"/>
            <w:vAlign w:val="bottom"/>
            <w:tcBorders>
              <w:bottom w:val="single" w:sz="8" w:color="CFF0FC"/>
            </w:tcBorders>
            <w:shd w:val="clear" w:color="auto" w:fill="CFF0FC"/>
          </w:tcPr>
          <w:p>
            <w:pPr>
              <w:ind w:left="280"/>
              <w:spacing w:after="0" w:line="156" w:lineRule="exact"/>
              <w:rPr>
                <w:sz w:val="20"/>
                <w:szCs w:val="20"/>
                <w:color w:val="auto"/>
              </w:rPr>
            </w:pPr>
            <w:r>
              <w:rPr>
                <w:rFonts w:ascii="Times New Roman" w:cs="Times New Roman" w:eastAsia="Times New Roman" w:hAnsi="Times New Roman"/>
                <w:sz w:val="15"/>
                <w:szCs w:val="15"/>
                <w:color w:val="auto"/>
              </w:rPr>
              <w:t>Total liabilities</w:t>
            </w:r>
          </w:p>
        </w:tc>
        <w:tc>
          <w:tcPr>
            <w:tcW w:w="17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443,162</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459,730</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5"/>
        </w:trPr>
        <w:tc>
          <w:tcPr>
            <w:tcW w:w="60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Commitments and contingencies</w:t>
            </w: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0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Stockholders’ Equity:</w:t>
            </w:r>
          </w:p>
        </w:tc>
        <w:tc>
          <w:tcPr>
            <w:tcW w:w="1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Preferred stock</w:t>
            </w: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0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Common stock</w:t>
            </w:r>
          </w:p>
        </w:tc>
        <w:tc>
          <w:tcPr>
            <w:tcW w:w="1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1,865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1,854</w:t>
            </w: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Additional paid-in capital</w:t>
            </w: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1,062,360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1,050,582</w:t>
            </w:r>
          </w:p>
        </w:tc>
        <w:tc>
          <w:tcPr>
            <w:tcW w:w="120" w:type="dxa"/>
            <w:vAlign w:val="bottom"/>
          </w:tcPr>
          <w:p>
            <w:pPr>
              <w:spacing w:after="0"/>
              <w:rPr>
                <w:sz w:val="14"/>
                <w:szCs w:val="14"/>
                <w:color w:val="auto"/>
              </w:rPr>
            </w:pPr>
          </w:p>
        </w:tc>
      </w:tr>
      <w:tr>
        <w:trPr>
          <w:trHeight w:val="162"/>
        </w:trPr>
        <w:tc>
          <w:tcPr>
            <w:tcW w:w="60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Accumulated deficit</w:t>
            </w:r>
          </w:p>
        </w:tc>
        <w:tc>
          <w:tcPr>
            <w:tcW w:w="1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(29,360)</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(68,488)</w:t>
            </w:r>
          </w:p>
        </w:tc>
      </w:tr>
      <w:tr>
        <w:trPr>
          <w:trHeight w:val="162"/>
        </w:trPr>
        <w:tc>
          <w:tcPr>
            <w:tcW w:w="60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Accumulated other comprehensive loss</w:t>
            </w: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(32,686)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(29,201)</w:t>
            </w:r>
          </w:p>
        </w:tc>
      </w:tr>
      <w:tr>
        <w:trPr>
          <w:trHeight w:val="155"/>
        </w:trPr>
        <w:tc>
          <w:tcPr>
            <w:tcW w:w="6000" w:type="dxa"/>
            <w:vAlign w:val="bottom"/>
            <w:shd w:val="clear" w:color="auto" w:fill="CFF0FC"/>
          </w:tcPr>
          <w:p>
            <w:pPr>
              <w:ind w:left="280"/>
              <w:spacing w:after="0" w:line="156" w:lineRule="exact"/>
              <w:rPr>
                <w:sz w:val="20"/>
                <w:szCs w:val="20"/>
                <w:color w:val="auto"/>
              </w:rPr>
            </w:pPr>
            <w:r>
              <w:rPr>
                <w:rFonts w:ascii="Times New Roman" w:cs="Times New Roman" w:eastAsia="Times New Roman" w:hAnsi="Times New Roman"/>
                <w:sz w:val="15"/>
                <w:szCs w:val="15"/>
                <w:color w:val="auto"/>
              </w:rPr>
              <w:t>Equity attributable to Allegro MicroSystems, Inc.</w:t>
            </w:r>
          </w:p>
        </w:tc>
        <w:tc>
          <w:tcPr>
            <w:tcW w:w="17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1,002,179</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954,747</w:t>
            </w:r>
          </w:p>
        </w:tc>
        <w:tc>
          <w:tcPr>
            <w:tcW w:w="120" w:type="dxa"/>
            <w:vAlign w:val="bottom"/>
            <w:shd w:val="clear" w:color="auto" w:fill="CFF0FC"/>
          </w:tcPr>
          <w:p>
            <w:pPr>
              <w:spacing w:after="0"/>
              <w:rPr>
                <w:sz w:val="13"/>
                <w:szCs w:val="13"/>
                <w:color w:val="auto"/>
              </w:rPr>
            </w:pPr>
          </w:p>
        </w:tc>
      </w:tr>
      <w:tr>
        <w:trPr>
          <w:trHeight w:val="162"/>
        </w:trPr>
        <w:tc>
          <w:tcPr>
            <w:tcW w:w="60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Non-controlling interest</w:t>
            </w:r>
          </w:p>
        </w:tc>
        <w:tc>
          <w:tcPr>
            <w:tcW w:w="1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1,711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1,698</w:t>
            </w:r>
          </w:p>
        </w:tc>
        <w:tc>
          <w:tcPr>
            <w:tcW w:w="120" w:type="dxa"/>
            <w:vAlign w:val="bottom"/>
          </w:tcPr>
          <w:p>
            <w:pPr>
              <w:spacing w:after="0"/>
              <w:rPr>
                <w:sz w:val="14"/>
                <w:szCs w:val="14"/>
                <w:color w:val="auto"/>
              </w:rPr>
            </w:pPr>
          </w:p>
        </w:tc>
      </w:tr>
      <w:tr>
        <w:trPr>
          <w:trHeight w:val="155"/>
        </w:trPr>
        <w:tc>
          <w:tcPr>
            <w:tcW w:w="6000" w:type="dxa"/>
            <w:vAlign w:val="bottom"/>
            <w:tcBorders>
              <w:bottom w:val="single" w:sz="8" w:color="CFF0FC"/>
            </w:tcBorders>
            <w:shd w:val="clear" w:color="auto" w:fill="CFF0FC"/>
          </w:tcPr>
          <w:p>
            <w:pPr>
              <w:ind w:left="280"/>
              <w:spacing w:after="0" w:line="156" w:lineRule="exact"/>
              <w:rPr>
                <w:sz w:val="20"/>
                <w:szCs w:val="20"/>
                <w:color w:val="auto"/>
              </w:rPr>
            </w:pPr>
            <w:r>
              <w:rPr>
                <w:rFonts w:ascii="Times New Roman" w:cs="Times New Roman" w:eastAsia="Times New Roman" w:hAnsi="Times New Roman"/>
                <w:sz w:val="15"/>
                <w:szCs w:val="15"/>
                <w:color w:val="auto"/>
              </w:rPr>
              <w:t>Total stockholders’ equity</w:t>
            </w:r>
          </w:p>
        </w:tc>
        <w:tc>
          <w:tcPr>
            <w:tcW w:w="17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1,003,890</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956,445</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5"/>
        </w:trPr>
        <w:tc>
          <w:tcPr>
            <w:tcW w:w="6000" w:type="dxa"/>
            <w:vAlign w:val="bottom"/>
          </w:tcPr>
          <w:p>
            <w:pPr>
              <w:ind w:left="280"/>
              <w:spacing w:after="0" w:line="156" w:lineRule="exact"/>
              <w:rPr>
                <w:sz w:val="20"/>
                <w:szCs w:val="20"/>
                <w:color w:val="auto"/>
              </w:rPr>
            </w:pPr>
            <w:r>
              <w:rPr>
                <w:rFonts w:ascii="Times New Roman" w:cs="Times New Roman" w:eastAsia="Times New Roman" w:hAnsi="Times New Roman"/>
                <w:sz w:val="15"/>
                <w:szCs w:val="15"/>
                <w:color w:val="auto"/>
              </w:rPr>
              <w:t>Total liabilities, non-controlling interest and stockholders’ equity</w:t>
            </w:r>
          </w:p>
        </w:tc>
        <w:tc>
          <w:tcPr>
            <w:tcW w:w="190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1,447,052</w:t>
            </w:r>
          </w:p>
        </w:tc>
        <w:tc>
          <w:tcPr>
            <w:tcW w:w="160" w:type="dxa"/>
            <w:vAlign w:val="bottom"/>
          </w:tcPr>
          <w:p>
            <w:pPr>
              <w:spacing w:after="0"/>
              <w:rPr>
                <w:sz w:val="13"/>
                <w:szCs w:val="13"/>
                <w:color w:val="auto"/>
              </w:rPr>
            </w:pP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1,416,175</w:t>
            </w:r>
          </w:p>
        </w:tc>
        <w:tc>
          <w:tcPr>
            <w:tcW w:w="120" w:type="dxa"/>
            <w:vAlign w:val="bottom"/>
          </w:tcPr>
          <w:p>
            <w:pPr>
              <w:spacing w:after="0"/>
              <w:rPr>
                <w:sz w:val="13"/>
                <w:szCs w:val="13"/>
                <w:color w:val="auto"/>
              </w:rPr>
            </w:pPr>
          </w:p>
        </w:tc>
      </w:tr>
      <w:tr>
        <w:trPr>
          <w:trHeight w:val="20"/>
        </w:trPr>
        <w:tc>
          <w:tcPr>
            <w:tcW w:w="6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59"/>
        </w:trPr>
        <w:tc>
          <w:tcPr>
            <w:tcW w:w="60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-2896870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-2879725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-2896870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-2879725</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-2253615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-2253615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-1824990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-1824990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-770890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-770890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Three-Month Period Ended</w:t>
            </w:r>
          </w:p>
        </w:tc>
        <w:tc>
          <w:tcPr>
            <w:tcW w:w="5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Six-Month Period Ended</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3"/>
          </w:tcPr>
          <w:p>
            <w:pPr>
              <w:jc w:val="right"/>
              <w:ind w:right="240"/>
              <w:spacing w:after="0" w:line="156" w:lineRule="exact"/>
              <w:rPr>
                <w:sz w:val="20"/>
                <w:szCs w:val="20"/>
                <w:color w:val="auto"/>
              </w:rPr>
            </w:pPr>
            <w:r>
              <w:rPr>
                <w:rFonts w:ascii="Times New Roman" w:cs="Times New Roman" w:eastAsia="Times New Roman" w:hAnsi="Times New Roman"/>
                <w:sz w:val="15"/>
                <w:szCs w:val="15"/>
                <w:b w:val="1"/>
                <w:bCs w:val="1"/>
                <w:color w:val="auto"/>
              </w:rPr>
              <w:t>September 25, 2026</w:t>
            </w:r>
          </w:p>
        </w:tc>
        <w:tc>
          <w:tcPr>
            <w:tcW w:w="13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September 26, 2025</w:t>
            </w:r>
          </w:p>
        </w:tc>
        <w:tc>
          <w:tcPr>
            <w:tcW w:w="220" w:type="dxa"/>
            <w:vAlign w:val="bottom"/>
          </w:tcPr>
          <w:p>
            <w:pPr>
              <w:spacing w:after="0"/>
              <w:rPr>
                <w:sz w:val="13"/>
                <w:szCs w:val="13"/>
                <w:color w:val="auto"/>
              </w:rPr>
            </w:pPr>
          </w:p>
        </w:tc>
        <w:tc>
          <w:tcPr>
            <w:tcW w:w="1560" w:type="dxa"/>
            <w:vAlign w:val="bottom"/>
            <w:gridSpan w:val="3"/>
          </w:tcPr>
          <w:p>
            <w:pPr>
              <w:jc w:val="right"/>
              <w:ind w:right="260"/>
              <w:spacing w:after="0" w:line="156" w:lineRule="exact"/>
              <w:rPr>
                <w:sz w:val="20"/>
                <w:szCs w:val="20"/>
                <w:color w:val="auto"/>
              </w:rPr>
            </w:pPr>
            <w:r>
              <w:rPr>
                <w:rFonts w:ascii="Times New Roman" w:cs="Times New Roman" w:eastAsia="Times New Roman" w:hAnsi="Times New Roman"/>
                <w:sz w:val="15"/>
                <w:szCs w:val="15"/>
                <w:b w:val="1"/>
                <w:bCs w:val="1"/>
                <w:color w:val="auto"/>
              </w:rPr>
              <w:t>September 25, 2026</w:t>
            </w:r>
          </w:p>
        </w:tc>
        <w:tc>
          <w:tcPr>
            <w:tcW w:w="13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September 26, 2025</w:t>
            </w:r>
          </w:p>
        </w:tc>
        <w:tc>
          <w:tcPr>
            <w:tcW w:w="100" w:type="dxa"/>
            <w:vAlign w:val="bottom"/>
          </w:tcPr>
          <w:p>
            <w:pPr>
              <w:spacing w:after="0"/>
              <w:rPr>
                <w:sz w:val="13"/>
                <w:szCs w:val="13"/>
                <w:color w:val="auto"/>
              </w:rPr>
            </w:pPr>
          </w:p>
        </w:tc>
      </w:tr>
      <w:tr>
        <w:trPr>
          <w:trHeight w:val="156"/>
        </w:trPr>
        <w:tc>
          <w:tcPr>
            <w:tcW w:w="50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8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5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38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23,318</w:t>
            </w:r>
          </w:p>
        </w:tc>
        <w:tc>
          <w:tcPr>
            <w:tcW w:w="200" w:type="dxa"/>
            <w:vAlign w:val="bottom"/>
          </w:tcPr>
          <w:p>
            <w:pPr>
              <w:spacing w:after="0"/>
              <w:rPr>
                <w:sz w:val="14"/>
                <w:szCs w:val="14"/>
                <w:color w:val="auto"/>
              </w:rPr>
            </w:pPr>
          </w:p>
        </w:tc>
        <w:tc>
          <w:tcPr>
            <w:tcW w:w="840" w:type="dxa"/>
            <w:vAlign w:val="bottom"/>
          </w:tcPr>
          <w:p>
            <w:pPr>
              <w:jc w:val="right"/>
              <w:ind w:right="6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6,583</w:t>
            </w:r>
          </w:p>
        </w:tc>
        <w:tc>
          <w:tcPr>
            <w:tcW w:w="220" w:type="dxa"/>
            <w:vAlign w:val="bottom"/>
          </w:tcPr>
          <w:p>
            <w:pPr>
              <w:spacing w:after="0"/>
              <w:rPr>
                <w:sz w:val="14"/>
                <w:szCs w:val="14"/>
                <w:color w:val="auto"/>
              </w:rPr>
            </w:pPr>
          </w:p>
        </w:tc>
        <w:tc>
          <w:tcPr>
            <w:tcW w:w="360" w:type="dxa"/>
            <w:vAlign w:val="bottom"/>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39,237</w:t>
            </w:r>
          </w:p>
        </w:tc>
        <w:tc>
          <w:tcPr>
            <w:tcW w:w="220" w:type="dxa"/>
            <w:vAlign w:val="bottom"/>
          </w:tcPr>
          <w:p>
            <w:pPr>
              <w:spacing w:after="0"/>
              <w:rPr>
                <w:sz w:val="14"/>
                <w:szCs w:val="14"/>
                <w:color w:val="auto"/>
              </w:rPr>
            </w:pPr>
          </w:p>
        </w:tc>
        <w:tc>
          <w:tcPr>
            <w:tcW w:w="780" w:type="dxa"/>
            <w:vAlign w:val="bottom"/>
          </w:tcPr>
          <w:p>
            <w:pPr>
              <w:jc w:val="right"/>
              <w:ind w:right="6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(6,579)</w:t>
            </w:r>
          </w:p>
        </w:tc>
      </w:tr>
      <w:tr>
        <w:trPr>
          <w:trHeight w:val="145"/>
        </w:trPr>
        <w:tc>
          <w:tcPr>
            <w:tcW w:w="502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Adjustments to reconcile net income (loss) to net cash provided by operating</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activities:</w:t>
            </w: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2"/>
        </w:trPr>
        <w:tc>
          <w:tcPr>
            <w:tcW w:w="50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17,241</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16,611</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34,108</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32,827</w:t>
            </w:r>
          </w:p>
        </w:tc>
        <w:tc>
          <w:tcPr>
            <w:tcW w:w="100" w:type="dxa"/>
            <w:vAlign w:val="bottom"/>
          </w:tcPr>
          <w:p>
            <w:pPr>
              <w:spacing w:after="0"/>
              <w:rPr>
                <w:sz w:val="14"/>
                <w:szCs w:val="14"/>
                <w:color w:val="auto"/>
              </w:rPr>
            </w:pPr>
          </w:p>
        </w:tc>
      </w:tr>
      <w:tr>
        <w:trPr>
          <w:trHeight w:val="162"/>
        </w:trPr>
        <w:tc>
          <w:tcPr>
            <w:tcW w:w="50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298</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717</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595</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1,650</w:t>
            </w:r>
          </w:p>
        </w:tc>
        <w:tc>
          <w:tcPr>
            <w:tcW w:w="100" w:type="dxa"/>
            <w:vAlign w:val="bottom"/>
            <w:shd w:val="clear" w:color="auto" w:fill="CFF0FC"/>
          </w:tcPr>
          <w:p>
            <w:pPr>
              <w:spacing w:after="0"/>
              <w:rPr>
                <w:sz w:val="14"/>
                <w:szCs w:val="14"/>
                <w:color w:val="auto"/>
              </w:rPr>
            </w:pPr>
          </w:p>
        </w:tc>
      </w:tr>
      <w:tr>
        <w:trPr>
          <w:trHeight w:val="162"/>
        </w:trPr>
        <w:tc>
          <w:tcPr>
            <w:tcW w:w="50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(2,760)</w:t>
            </w:r>
          </w:p>
        </w:tc>
        <w:tc>
          <w:tcPr>
            <w:tcW w:w="84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890</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(4,462)</w:t>
            </w:r>
          </w:p>
        </w:tc>
        <w:tc>
          <w:tcPr>
            <w:tcW w:w="78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(4,171)</w:t>
            </w:r>
          </w:p>
        </w:tc>
      </w:tr>
      <w:tr>
        <w:trPr>
          <w:trHeight w:val="162"/>
        </w:trPr>
        <w:tc>
          <w:tcPr>
            <w:tcW w:w="50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14,142</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13,681</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28,270</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24,443</w:t>
            </w:r>
          </w:p>
        </w:tc>
        <w:tc>
          <w:tcPr>
            <w:tcW w:w="100" w:type="dxa"/>
            <w:vAlign w:val="bottom"/>
            <w:shd w:val="clear" w:color="auto" w:fill="CFF0FC"/>
          </w:tcPr>
          <w:p>
            <w:pPr>
              <w:spacing w:after="0"/>
              <w:rPr>
                <w:sz w:val="14"/>
                <w:szCs w:val="14"/>
                <w:color w:val="auto"/>
              </w:rPr>
            </w:pPr>
          </w:p>
        </w:tc>
      </w:tr>
      <w:tr>
        <w:trPr>
          <w:trHeight w:val="162"/>
        </w:trPr>
        <w:tc>
          <w:tcPr>
            <w:tcW w:w="50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Provisions for inventory and expected credit losses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792</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1,093</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2,347</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4,543</w:t>
            </w:r>
          </w:p>
        </w:tc>
        <w:tc>
          <w:tcPr>
            <w:tcW w:w="100" w:type="dxa"/>
            <w:vAlign w:val="bottom"/>
          </w:tcPr>
          <w:p>
            <w:pPr>
              <w:spacing w:after="0"/>
              <w:rPr>
                <w:sz w:val="14"/>
                <w:szCs w:val="14"/>
                <w:color w:val="auto"/>
              </w:rPr>
            </w:pPr>
          </w:p>
        </w:tc>
      </w:tr>
      <w:tr>
        <w:trPr>
          <w:trHeight w:val="162"/>
        </w:trPr>
        <w:tc>
          <w:tcPr>
            <w:tcW w:w="50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Loss in earnings of equity investment</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2,944</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2,332</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6,553</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3,153</w:t>
            </w:r>
          </w:p>
        </w:tc>
        <w:tc>
          <w:tcPr>
            <w:tcW w:w="100" w:type="dxa"/>
            <w:vAlign w:val="bottom"/>
            <w:shd w:val="clear" w:color="auto" w:fill="CFF0FC"/>
          </w:tcPr>
          <w:p>
            <w:pPr>
              <w:spacing w:after="0"/>
              <w:rPr>
                <w:sz w:val="14"/>
                <w:szCs w:val="14"/>
                <w:color w:val="auto"/>
              </w:rPr>
            </w:pPr>
          </w:p>
        </w:tc>
      </w:tr>
      <w:tr>
        <w:trPr>
          <w:trHeight w:val="162"/>
        </w:trPr>
        <w:tc>
          <w:tcPr>
            <w:tcW w:w="50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Other non-cash reconciling items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66</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217</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159</w:t>
            </w:r>
          </w:p>
        </w:tc>
        <w:tc>
          <w:tcPr>
            <w:tcW w:w="100" w:type="dxa"/>
            <w:vAlign w:val="bottom"/>
          </w:tcPr>
          <w:p>
            <w:pPr>
              <w:spacing w:after="0"/>
              <w:rPr>
                <w:sz w:val="14"/>
                <w:szCs w:val="14"/>
                <w:color w:val="auto"/>
              </w:rPr>
            </w:pPr>
          </w:p>
        </w:tc>
      </w:tr>
      <w:tr>
        <w:trPr>
          <w:trHeight w:val="162"/>
        </w:trPr>
        <w:tc>
          <w:tcPr>
            <w:tcW w:w="50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0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Trade accounts receivable</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(9,794)</w:t>
            </w:r>
          </w:p>
        </w:tc>
        <w:tc>
          <w:tcPr>
            <w:tcW w:w="840" w:type="dxa"/>
            <w:vAlign w:val="bottom"/>
          </w:tcPr>
          <w:p>
            <w:pPr>
              <w:spacing w:after="0"/>
              <w:rPr>
                <w:sz w:val="14"/>
                <w:szCs w:val="14"/>
                <w:color w:val="auto"/>
              </w:rPr>
            </w:pPr>
          </w:p>
        </w:tc>
        <w:tc>
          <w:tcPr>
            <w:tcW w:w="7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(16,391)</w:t>
            </w:r>
          </w:p>
        </w:tc>
        <w:tc>
          <w:tcPr>
            <w:tcW w:w="360" w:type="dxa"/>
            <w:vAlign w:val="bottom"/>
          </w:tcPr>
          <w:p>
            <w:pPr>
              <w:spacing w:after="0"/>
              <w:rPr>
                <w:sz w:val="14"/>
                <w:szCs w:val="14"/>
                <w:color w:val="auto"/>
              </w:rPr>
            </w:pPr>
          </w:p>
        </w:tc>
        <w:tc>
          <w:tcPr>
            <w:tcW w:w="12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(15,207)</w:t>
            </w:r>
          </w:p>
        </w:tc>
        <w:tc>
          <w:tcPr>
            <w:tcW w:w="78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(21,723)</w:t>
            </w:r>
          </w:p>
        </w:tc>
      </w:tr>
      <w:tr>
        <w:trPr>
          <w:trHeight w:val="162"/>
        </w:trPr>
        <w:tc>
          <w:tcPr>
            <w:tcW w:w="50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Inventories</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5,675</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2,020</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(2,195)</w:t>
            </w:r>
          </w:p>
        </w:tc>
        <w:tc>
          <w:tcPr>
            <w:tcW w:w="7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9,253</w:t>
            </w:r>
          </w:p>
        </w:tc>
        <w:tc>
          <w:tcPr>
            <w:tcW w:w="100" w:type="dxa"/>
            <w:vAlign w:val="bottom"/>
            <w:shd w:val="clear" w:color="auto" w:fill="CFF0FC"/>
          </w:tcPr>
          <w:p>
            <w:pPr>
              <w:spacing w:after="0"/>
              <w:rPr>
                <w:sz w:val="14"/>
                <w:szCs w:val="14"/>
                <w:color w:val="auto"/>
              </w:rPr>
            </w:pPr>
          </w:p>
        </w:tc>
      </w:tr>
      <w:tr>
        <w:trPr>
          <w:trHeight w:val="162"/>
        </w:trPr>
        <w:tc>
          <w:tcPr>
            <w:tcW w:w="50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Payments to related party</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840" w:type="dxa"/>
            <w:vAlign w:val="bottom"/>
          </w:tcPr>
          <w:p>
            <w:pPr>
              <w:spacing w:after="0"/>
              <w:rPr>
                <w:sz w:val="14"/>
                <w:szCs w:val="14"/>
                <w:color w:val="auto"/>
              </w:rPr>
            </w:pPr>
          </w:p>
        </w:tc>
        <w:tc>
          <w:tcPr>
            <w:tcW w:w="7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4"/>
                <w:szCs w:val="14"/>
                <w:color w:val="auto"/>
              </w:rPr>
            </w:pPr>
          </w:p>
        </w:tc>
        <w:tc>
          <w:tcPr>
            <w:tcW w:w="12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(20,000)</w:t>
            </w:r>
          </w:p>
        </w:tc>
        <w:tc>
          <w:tcPr>
            <w:tcW w:w="78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0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Prepaid expenses and other assets</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(6,237)</w:t>
            </w:r>
          </w:p>
        </w:tc>
        <w:tc>
          <w:tcPr>
            <w:tcW w:w="8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(11,670)</w:t>
            </w: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5,669</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23,474</w:t>
            </w:r>
          </w:p>
        </w:tc>
        <w:tc>
          <w:tcPr>
            <w:tcW w:w="100" w:type="dxa"/>
            <w:vAlign w:val="bottom"/>
            <w:shd w:val="clear" w:color="auto" w:fill="CFF0FC"/>
          </w:tcPr>
          <w:p>
            <w:pPr>
              <w:spacing w:after="0"/>
              <w:rPr>
                <w:sz w:val="14"/>
                <w:szCs w:val="14"/>
                <w:color w:val="auto"/>
              </w:rPr>
            </w:pPr>
          </w:p>
        </w:tc>
      </w:tr>
      <w:tr>
        <w:trPr>
          <w:trHeight w:val="162"/>
        </w:trPr>
        <w:tc>
          <w:tcPr>
            <w:tcW w:w="50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Trade accounts payable</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(1,464)</w:t>
            </w:r>
          </w:p>
        </w:tc>
        <w:tc>
          <w:tcPr>
            <w:tcW w:w="840" w:type="dxa"/>
            <w:vAlign w:val="bottom"/>
          </w:tcPr>
          <w:p>
            <w:pPr>
              <w:spacing w:after="0"/>
              <w:rPr>
                <w:sz w:val="14"/>
                <w:szCs w:val="14"/>
                <w:color w:val="auto"/>
              </w:rPr>
            </w:pPr>
          </w:p>
        </w:tc>
        <w:tc>
          <w:tcPr>
            <w:tcW w:w="7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12,290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4,181</w:t>
            </w:r>
          </w:p>
        </w:tc>
        <w:tc>
          <w:tcPr>
            <w:tcW w:w="100" w:type="dxa"/>
            <w:vAlign w:val="bottom"/>
          </w:tcPr>
          <w:p>
            <w:pPr>
              <w:spacing w:after="0"/>
              <w:rPr>
                <w:sz w:val="14"/>
                <w:szCs w:val="14"/>
                <w:color w:val="auto"/>
              </w:rPr>
            </w:pPr>
          </w:p>
        </w:tc>
      </w:tr>
      <w:tr>
        <w:trPr>
          <w:trHeight w:val="162"/>
        </w:trPr>
        <w:tc>
          <w:tcPr>
            <w:tcW w:w="50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Due to and from related parties</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(967)</w:t>
            </w:r>
          </w:p>
        </w:tc>
        <w:tc>
          <w:tcPr>
            <w:tcW w:w="8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361</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(1,155)</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(3,272)</w:t>
            </w:r>
          </w:p>
        </w:tc>
      </w:tr>
      <w:tr>
        <w:trPr>
          <w:trHeight w:val="162"/>
        </w:trPr>
        <w:tc>
          <w:tcPr>
            <w:tcW w:w="50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Other changes in operating assets and liabilities, net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(1,406)</w:t>
            </w:r>
          </w:p>
        </w:tc>
        <w:tc>
          <w:tcPr>
            <w:tcW w:w="84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6,018</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(27,265)</w:t>
            </w:r>
          </w:p>
        </w:tc>
        <w:tc>
          <w:tcPr>
            <w:tcW w:w="7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14,042</w:t>
            </w:r>
          </w:p>
        </w:tc>
        <w:tc>
          <w:tcPr>
            <w:tcW w:w="100" w:type="dxa"/>
            <w:vAlign w:val="bottom"/>
          </w:tcPr>
          <w:p>
            <w:pPr>
              <w:spacing w:after="0"/>
              <w:rPr>
                <w:sz w:val="14"/>
                <w:szCs w:val="14"/>
                <w:color w:val="auto"/>
              </w:rPr>
            </w:pPr>
          </w:p>
        </w:tc>
      </w:tr>
      <w:tr>
        <w:trPr>
          <w:trHeight w:val="156"/>
        </w:trPr>
        <w:tc>
          <w:tcPr>
            <w:tcW w:w="502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8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36,848</w:t>
            </w:r>
          </w:p>
        </w:tc>
        <w:tc>
          <w:tcPr>
            <w:tcW w:w="2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20,362</w:t>
            </w:r>
          </w:p>
        </w:tc>
        <w:tc>
          <w:tcPr>
            <w:tcW w:w="2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58,837</w:t>
            </w: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81,980</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502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0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Purchases of property, plant and equipment</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(6,343)</w:t>
            </w:r>
          </w:p>
        </w:tc>
        <w:tc>
          <w:tcPr>
            <w:tcW w:w="8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(6,444)</w:t>
            </w:r>
          </w:p>
        </w:tc>
        <w:tc>
          <w:tcPr>
            <w:tcW w:w="3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(14,360)</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(17,044)</w:t>
            </w:r>
          </w:p>
        </w:tc>
      </w:tr>
      <w:tr>
        <w:trPr>
          <w:trHeight w:val="162"/>
        </w:trPr>
        <w:tc>
          <w:tcPr>
            <w:tcW w:w="50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Investment in equity security</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840" w:type="dxa"/>
            <w:vAlign w:val="bottom"/>
          </w:tcPr>
          <w:p>
            <w:pPr>
              <w:spacing w:after="0"/>
              <w:rPr>
                <w:sz w:val="14"/>
                <w:szCs w:val="14"/>
                <w:color w:val="auto"/>
              </w:rPr>
            </w:pPr>
          </w:p>
        </w:tc>
        <w:tc>
          <w:tcPr>
            <w:tcW w:w="7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4"/>
                <w:szCs w:val="14"/>
                <w:color w:val="auto"/>
              </w:rPr>
            </w:pPr>
          </w:p>
        </w:tc>
        <w:tc>
          <w:tcPr>
            <w:tcW w:w="12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78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0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(7,343)</w:t>
            </w:r>
          </w:p>
        </w:tc>
        <w:tc>
          <w:tcPr>
            <w:tcW w:w="8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(6,444)</w:t>
            </w:r>
          </w:p>
        </w:tc>
        <w:tc>
          <w:tcPr>
            <w:tcW w:w="3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(15,360)</w:t>
            </w:r>
          </w:p>
        </w:tc>
        <w:tc>
          <w:tcPr>
            <w:tcW w:w="7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(17,044)</w:t>
            </w:r>
          </w:p>
        </w:tc>
      </w:tr>
      <w:tr>
        <w:trPr>
          <w:trHeight w:val="156"/>
        </w:trPr>
        <w:tc>
          <w:tcPr>
            <w:tcW w:w="502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8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50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Repayment of term loan</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(25,000)</w:t>
            </w:r>
          </w:p>
        </w:tc>
        <w:tc>
          <w:tcPr>
            <w:tcW w:w="3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(60,000)</w:t>
            </w:r>
          </w:p>
        </w:tc>
      </w:tr>
      <w:tr>
        <w:trPr>
          <w:trHeight w:val="162"/>
        </w:trPr>
        <w:tc>
          <w:tcPr>
            <w:tcW w:w="50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Finance lease payments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(258)</w:t>
            </w:r>
          </w:p>
        </w:tc>
        <w:tc>
          <w:tcPr>
            <w:tcW w:w="840" w:type="dxa"/>
            <w:vAlign w:val="bottom"/>
          </w:tcPr>
          <w:p>
            <w:pPr>
              <w:spacing w:after="0"/>
              <w:rPr>
                <w:sz w:val="14"/>
                <w:szCs w:val="14"/>
                <w:color w:val="auto"/>
              </w:rPr>
            </w:pPr>
          </w:p>
        </w:tc>
        <w:tc>
          <w:tcPr>
            <w:tcW w:w="7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(336)</w:t>
            </w:r>
          </w:p>
        </w:tc>
        <w:tc>
          <w:tcPr>
            <w:tcW w:w="360" w:type="dxa"/>
            <w:vAlign w:val="bottom"/>
          </w:tcPr>
          <w:p>
            <w:pPr>
              <w:spacing w:after="0"/>
              <w:rPr>
                <w:sz w:val="14"/>
                <w:szCs w:val="14"/>
                <w:color w:val="auto"/>
              </w:rPr>
            </w:pPr>
          </w:p>
        </w:tc>
        <w:tc>
          <w:tcPr>
            <w:tcW w:w="12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(495)</w:t>
            </w:r>
          </w:p>
        </w:tc>
        <w:tc>
          <w:tcPr>
            <w:tcW w:w="78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(538)</w:t>
            </w:r>
          </w:p>
        </w:tc>
      </w:tr>
      <w:tr>
        <w:trPr>
          <w:trHeight w:val="162"/>
        </w:trPr>
        <w:tc>
          <w:tcPr>
            <w:tcW w:w="50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Payments for intangible assets</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3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(1,000)</w:t>
            </w:r>
          </w:p>
        </w:tc>
      </w:tr>
      <w:tr>
        <w:trPr>
          <w:trHeight w:val="162"/>
        </w:trPr>
        <w:tc>
          <w:tcPr>
            <w:tcW w:w="50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Payments for taxes related to net share settlement of equity awards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(447)</w:t>
            </w:r>
          </w:p>
        </w:tc>
        <w:tc>
          <w:tcPr>
            <w:tcW w:w="840" w:type="dxa"/>
            <w:vAlign w:val="bottom"/>
          </w:tcPr>
          <w:p>
            <w:pPr>
              <w:spacing w:after="0"/>
              <w:rPr>
                <w:sz w:val="14"/>
                <w:szCs w:val="14"/>
                <w:color w:val="auto"/>
              </w:rPr>
            </w:pPr>
          </w:p>
        </w:tc>
        <w:tc>
          <w:tcPr>
            <w:tcW w:w="7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(361)</w:t>
            </w:r>
          </w:p>
        </w:tc>
        <w:tc>
          <w:tcPr>
            <w:tcW w:w="360" w:type="dxa"/>
            <w:vAlign w:val="bottom"/>
          </w:tcPr>
          <w:p>
            <w:pPr>
              <w:spacing w:after="0"/>
              <w:rPr>
                <w:sz w:val="14"/>
                <w:szCs w:val="14"/>
                <w:color w:val="auto"/>
              </w:rPr>
            </w:pPr>
          </w:p>
        </w:tc>
        <w:tc>
          <w:tcPr>
            <w:tcW w:w="12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(18,204)</w:t>
            </w:r>
          </w:p>
        </w:tc>
        <w:tc>
          <w:tcPr>
            <w:tcW w:w="78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(9,349)</w:t>
            </w:r>
          </w:p>
        </w:tc>
      </w:tr>
      <w:tr>
        <w:trPr>
          <w:trHeight w:val="162"/>
        </w:trPr>
        <w:tc>
          <w:tcPr>
            <w:tcW w:w="50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Proceeds from issuance of common stock under employee stock purchase plan</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1,821</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1,910</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1,821</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1,910</w:t>
            </w:r>
          </w:p>
        </w:tc>
        <w:tc>
          <w:tcPr>
            <w:tcW w:w="100" w:type="dxa"/>
            <w:vAlign w:val="bottom"/>
            <w:shd w:val="clear" w:color="auto" w:fill="CFF0FC"/>
          </w:tcPr>
          <w:p>
            <w:pPr>
              <w:spacing w:after="0"/>
              <w:rPr>
                <w:sz w:val="14"/>
                <w:szCs w:val="14"/>
                <w:color w:val="auto"/>
              </w:rPr>
            </w:pPr>
          </w:p>
        </w:tc>
      </w:tr>
      <w:tr>
        <w:trPr>
          <w:trHeight w:val="162"/>
        </w:trPr>
        <w:tc>
          <w:tcPr>
            <w:tcW w:w="50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Payments for taxes related to repurchase of common stock</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4"/>
                <w:szCs w:val="14"/>
                <w:color w:val="auto"/>
              </w:rPr>
            </w:pPr>
          </w:p>
        </w:tc>
        <w:tc>
          <w:tcPr>
            <w:tcW w:w="7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(1,713)</w:t>
            </w:r>
          </w:p>
        </w:tc>
        <w:tc>
          <w:tcPr>
            <w:tcW w:w="360" w:type="dxa"/>
            <w:vAlign w:val="bottom"/>
          </w:tcPr>
          <w:p>
            <w:pPr>
              <w:spacing w:after="0"/>
              <w:rPr>
                <w:sz w:val="14"/>
                <w:szCs w:val="14"/>
                <w:color w:val="auto"/>
              </w:rPr>
            </w:pPr>
          </w:p>
        </w:tc>
        <w:tc>
          <w:tcPr>
            <w:tcW w:w="12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(1,713)</w:t>
            </w:r>
          </w:p>
        </w:tc>
      </w:tr>
      <w:tr>
        <w:trPr>
          <w:trHeight w:val="162"/>
        </w:trPr>
        <w:tc>
          <w:tcPr>
            <w:tcW w:w="50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Dividends paid to non-controlling interest</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8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3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(23)</w:t>
            </w:r>
          </w:p>
        </w:tc>
      </w:tr>
      <w:tr>
        <w:trPr>
          <w:trHeight w:val="20"/>
        </w:trPr>
        <w:tc>
          <w:tcPr>
            <w:tcW w:w="50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50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1,095</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(26,523)</w:t>
            </w:r>
          </w:p>
        </w:tc>
        <w:tc>
          <w:tcPr>
            <w:tcW w:w="360" w:type="dxa"/>
            <w:vAlign w:val="bottom"/>
          </w:tcPr>
          <w:p>
            <w:pPr>
              <w:spacing w:after="0"/>
              <w:rPr>
                <w:sz w:val="13"/>
                <w:szCs w:val="13"/>
                <w:color w:val="auto"/>
              </w:rPr>
            </w:pPr>
          </w:p>
        </w:tc>
        <w:tc>
          <w:tcPr>
            <w:tcW w:w="120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(16,899)</w:t>
            </w:r>
          </w:p>
        </w:tc>
        <w:tc>
          <w:tcPr>
            <w:tcW w:w="780" w:type="dxa"/>
            <w:vAlign w:val="bottom"/>
          </w:tcPr>
          <w:p>
            <w:pPr>
              <w:spacing w:after="0"/>
              <w:rPr>
                <w:sz w:val="13"/>
                <w:szCs w:val="13"/>
                <w:color w:val="auto"/>
              </w:rPr>
            </w:pPr>
          </w:p>
        </w:tc>
        <w:tc>
          <w:tcPr>
            <w:tcW w:w="68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(70,713)</w:t>
            </w:r>
          </w:p>
        </w:tc>
      </w:tr>
      <w:tr>
        <w:trPr>
          <w:trHeight w:val="162"/>
        </w:trPr>
        <w:tc>
          <w:tcPr>
            <w:tcW w:w="50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Effect of exchange rate changes on cash and cash equivalents and restricted cash</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40</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(834)</w:t>
            </w:r>
          </w:p>
        </w:tc>
        <w:tc>
          <w:tcPr>
            <w:tcW w:w="7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1,484</w:t>
            </w:r>
          </w:p>
        </w:tc>
        <w:tc>
          <w:tcPr>
            <w:tcW w:w="100" w:type="dxa"/>
            <w:vAlign w:val="bottom"/>
            <w:shd w:val="clear" w:color="auto" w:fill="CFF0FC"/>
          </w:tcPr>
          <w:p>
            <w:pPr>
              <w:spacing w:after="0"/>
              <w:rPr>
                <w:sz w:val="14"/>
                <w:szCs w:val="14"/>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50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increase (decrease) in cash and cash equivalents and restricted cash</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30,628</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(12,565)</w:t>
            </w:r>
          </w:p>
        </w:tc>
        <w:tc>
          <w:tcPr>
            <w:tcW w:w="360" w:type="dxa"/>
            <w:vAlign w:val="bottom"/>
          </w:tcPr>
          <w:p>
            <w:pPr>
              <w:spacing w:after="0"/>
              <w:rPr>
                <w:sz w:val="13"/>
                <w:szCs w:val="13"/>
                <w:color w:val="auto"/>
              </w:rPr>
            </w:pP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25,744</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(4,293)</w:t>
            </w:r>
          </w:p>
        </w:tc>
      </w:tr>
      <w:tr>
        <w:trPr>
          <w:trHeight w:val="162"/>
        </w:trPr>
        <w:tc>
          <w:tcPr>
            <w:tcW w:w="502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 and restricted cash at beginning of period</w:t>
            </w:r>
          </w:p>
        </w:tc>
        <w:tc>
          <w:tcPr>
            <w:tcW w:w="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170,473</w:t>
            </w:r>
          </w:p>
        </w:tc>
        <w:tc>
          <w:tcPr>
            <w:tcW w:w="20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w w:val="98"/>
              </w:rPr>
              <w:t>139,379</w:t>
            </w:r>
          </w:p>
        </w:tc>
        <w:tc>
          <w:tcPr>
            <w:tcW w:w="2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175,357</w:t>
            </w:r>
          </w:p>
        </w:tc>
        <w:tc>
          <w:tcPr>
            <w:tcW w:w="2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131,107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502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and cash equivalents and restricted cash at end of period</w:t>
            </w:r>
          </w:p>
        </w:tc>
        <w:tc>
          <w:tcPr>
            <w:tcW w:w="380" w:type="dxa"/>
            <w:vAlign w:val="bottom"/>
            <w:gridSpan w:val="2"/>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201,101</w:t>
            </w:r>
          </w:p>
        </w:tc>
        <w:tc>
          <w:tcPr>
            <w:tcW w:w="200" w:type="dxa"/>
            <w:vAlign w:val="bottom"/>
          </w:tcPr>
          <w:p>
            <w:pPr>
              <w:spacing w:after="0"/>
              <w:rPr>
                <w:sz w:val="13"/>
                <w:szCs w:val="13"/>
                <w:color w:val="auto"/>
              </w:rPr>
            </w:pPr>
          </w:p>
        </w:tc>
        <w:tc>
          <w:tcPr>
            <w:tcW w:w="840" w:type="dxa"/>
            <w:vAlign w:val="bottom"/>
          </w:tcPr>
          <w:p>
            <w:pPr>
              <w:jc w:val="right"/>
              <w:ind w:right="6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98"/>
              </w:rPr>
              <w:t>126,814</w:t>
            </w:r>
          </w:p>
        </w:tc>
        <w:tc>
          <w:tcPr>
            <w:tcW w:w="220" w:type="dxa"/>
            <w:vAlign w:val="bottom"/>
          </w:tcPr>
          <w:p>
            <w:pPr>
              <w:spacing w:after="0"/>
              <w:rPr>
                <w:sz w:val="13"/>
                <w:szCs w:val="13"/>
                <w:color w:val="auto"/>
              </w:rPr>
            </w:pPr>
          </w:p>
        </w:tc>
        <w:tc>
          <w:tcPr>
            <w:tcW w:w="360" w:type="dxa"/>
            <w:vAlign w:val="bottom"/>
          </w:tcPr>
          <w:p>
            <w:pPr>
              <w:jc w:val="right"/>
              <w:ind w:right="20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201,101</w:t>
            </w:r>
          </w:p>
        </w:tc>
        <w:tc>
          <w:tcPr>
            <w:tcW w:w="220" w:type="dxa"/>
            <w:vAlign w:val="bottom"/>
          </w:tcPr>
          <w:p>
            <w:pPr>
              <w:spacing w:after="0"/>
              <w:rPr>
                <w:sz w:val="13"/>
                <w:szCs w:val="13"/>
                <w:color w:val="auto"/>
              </w:rPr>
            </w:pPr>
          </w:p>
        </w:tc>
        <w:tc>
          <w:tcPr>
            <w:tcW w:w="780" w:type="dxa"/>
            <w:vAlign w:val="bottom"/>
          </w:tcPr>
          <w:p>
            <w:pPr>
              <w:jc w:val="right"/>
              <w:ind w:right="6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126,814</w:t>
            </w:r>
          </w:p>
        </w:tc>
        <w:tc>
          <w:tcPr>
            <w:tcW w:w="100" w:type="dxa"/>
            <w:vAlign w:val="bottom"/>
          </w:tcPr>
          <w:p>
            <w:pPr>
              <w:spacing w:after="0"/>
              <w:rPr>
                <w:sz w:val="13"/>
                <w:szCs w:val="13"/>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59"/>
        </w:trPr>
        <w:tc>
          <w:tcPr>
            <w:tcW w:w="5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-2459355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-2459355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-2459355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-2030730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-2030730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-2030730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-1199515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-1199515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-1199515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-985520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-985520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-985520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-770890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-770890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-770890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measures presented in our condensed consolidated financial statements, we regularly review other measures, defined as non-GAAP financial measures by the SEC, to evaluate our business, measure our performance, identify trends, prepare financial forecasts and make strategic decisions. The key measures we consider are non-GAAP Gross Profit, non-GAAP Gross Margin, non-GAAP Operating Expenses, non-GAAP Operating Income, non-GAAP Operating Margin, EBITDA, Adjusted EBITDA, Adjusted EBITDA margin, non-GAAP Profit before Tax, non-GAAP Income Tax Provision, non-GAAP Effective Tax Rate, non-GAAP Net Income Attributable to Allegro MicroSystems, Inc., non-GAAP Basic and Diluted Earnings per Share, non-GAAP Free Cash Flow, and non-GAAP Free Cash Flow as a percentage of net sales (collectively, the “Non-GAAP Financial Measures”). These Non-GAAP Financial Measures provide supplemental information regarding our operating performance on a non-GAAP basis that excludes certain gains, losses and charges of a non-cash nature or that occur relatively infrequently and/or that management considers to be unrelated to our core operations, and in the case of non-GAAP Income Tax Provision, management believes that this non-GAAP measure of income taxes provides it with the ability to evaluate the non-GAAP Income Tax Provision across different reporting periods on a consistent basis, independent of special items and discrete items, which may vary in size and frequency. These Non-GAAP Financial Measures are used by both management and our board of directors, together with the comparable GAAP information, in evaluating our current performance and planning our future business activities.</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Non-GAAP Financial Measures are supplemental measures of our performance that are neither required by, nor presented in accordance with, GAAP. These Non-GAAP Financial Measures should not be considered as substitutes for GAAP financial measures, such as gross profit, gross margin, net income or any other performance measures derived in accordance with GAAP. Also, in the future we may incur expenses or charges, such as those being adjusted in the calculation of these Non-GAAP Financial Measures. Our presentation of these Non-GAAP Financial Measures should not be construed as an inference that future results will be unaffected by unusual or nonrecurring items. These Non-GAAP Financial Measures exclude costs related to acquisition and related integration expenses, amortization of acquired intangible assets, stock-based compensation, restructuring actions, related-party activities and other non-operational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Income Tax Provision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calculating the non-GAAP Income Tax Provision, we adjust for the tax effect of adjustments to GAAP results which represents the estimated income tax effect of the adjustments to non-GAAP Profit before Tax described below. We also adjust for any discrete tax items and the impact of non-recurring tax law changes to ensure the non-GAAP Effective Tax Rate (“NG ETR”) reflects future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fiscal year 2026 and 2027 NG ETR excludes the impact of the 2025 One Big Beautiful Bill Act’s one-time research and development amortization election which accelerates the amortization of previously capitalized domestic research and development over a two-year period. The NG ETR is applied to non-GAAP Profit before Tax to arrive at the tax effect of adjustments to GAAP results.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4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Reconciliation of Non-GAAP Gross Profit and Non-GAAP Gross Margin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3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gridSpan w:val="7"/>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Three-Month Period Ended</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6"/>
          </w:tcPr>
          <w:p>
            <w:pPr>
              <w:jc w:val="right"/>
              <w:ind w:right="760"/>
              <w:spacing w:after="0"/>
              <w:rPr>
                <w:sz w:val="20"/>
                <w:szCs w:val="20"/>
                <w:color w:val="auto"/>
              </w:rPr>
            </w:pPr>
            <w:r>
              <w:rPr>
                <w:rFonts w:ascii="Times New Roman" w:cs="Times New Roman" w:eastAsia="Times New Roman" w:hAnsi="Times New Roman"/>
                <w:sz w:val="15"/>
                <w:szCs w:val="15"/>
                <w:b w:val="1"/>
                <w:bCs w:val="1"/>
                <w:color w:val="auto"/>
              </w:rPr>
              <w:t>Six-Month Period Ended</w:t>
            </w:r>
          </w:p>
        </w:tc>
        <w:tc>
          <w:tcPr>
            <w:tcW w:w="0" w:type="dxa"/>
            <w:vAlign w:val="bottom"/>
          </w:tcPr>
          <w:p>
            <w:pPr>
              <w:spacing w:after="0"/>
              <w:rPr>
                <w:sz w:val="1"/>
                <w:szCs w:val="1"/>
                <w:color w:val="auto"/>
              </w:rPr>
            </w:pPr>
          </w:p>
        </w:tc>
      </w:tr>
      <w:tr>
        <w:trPr>
          <w:trHeight w:val="134"/>
        </w:trPr>
        <w:tc>
          <w:tcPr>
            <w:tcW w:w="3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0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right"/>
              <w:ind w:right="440"/>
              <w:spacing w:after="0" w:line="134" w:lineRule="exact"/>
              <w:rPr>
                <w:sz w:val="20"/>
                <w:szCs w:val="20"/>
                <w:color w:val="auto"/>
              </w:rPr>
            </w:pPr>
            <w:r>
              <w:rPr>
                <w:rFonts w:ascii="Times New Roman" w:cs="Times New Roman" w:eastAsia="Times New Roman" w:hAnsi="Times New Roman"/>
                <w:sz w:val="15"/>
                <w:szCs w:val="15"/>
                <w:b w:val="1"/>
                <w:bCs w:val="1"/>
                <w:color w:val="auto"/>
              </w:rPr>
              <w:t>September 25,</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8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25, 2026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June 26, 2026</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2026</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gridSpan w:val="4"/>
          </w:tcPr>
          <w:p>
            <w:pPr>
              <w:jc w:val="right"/>
              <w:spacing w:after="0" w:line="134" w:lineRule="exact"/>
              <w:rPr>
                <w:sz w:val="20"/>
                <w:szCs w:val="20"/>
                <w:color w:val="auto"/>
              </w:rPr>
            </w:pPr>
            <w:r>
              <w:rPr>
                <w:rFonts w:ascii="Times New Roman" w:cs="Times New Roman" w:eastAsia="Times New Roman" w:hAnsi="Times New Roman"/>
                <w:sz w:val="15"/>
                <w:szCs w:val="15"/>
                <w:b w:val="1"/>
                <w:bCs w:val="1"/>
                <w:color w:val="auto"/>
                <w:w w:val="95"/>
              </w:rPr>
              <w:t>(Dollars in thousands)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60" w:type="dxa"/>
            <w:vAlign w:val="bottom"/>
            <w:gridSpan w:val="6"/>
          </w:tcPr>
          <w:p>
            <w:pPr>
              <w:jc w:val="right"/>
              <w:ind w:right="860"/>
              <w:spacing w:after="0" w:line="134" w:lineRule="exact"/>
              <w:rPr>
                <w:sz w:val="20"/>
                <w:szCs w:val="20"/>
                <w:color w:val="auto"/>
              </w:rPr>
            </w:pPr>
            <w:r>
              <w:rPr>
                <w:rFonts w:ascii="Times New Roman" w:cs="Times New Roman" w:eastAsia="Times New Roman" w:hAnsi="Times New Roman"/>
                <w:sz w:val="15"/>
                <w:szCs w:val="15"/>
                <w:b w:val="1"/>
                <w:bCs w:val="1"/>
                <w:color w:val="auto"/>
              </w:rPr>
              <w:t>(Dollars in thousands)</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GAAP Gross Profit</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136,162</w:t>
            </w:r>
          </w:p>
        </w:tc>
        <w:tc>
          <w:tcPr>
            <w:tcW w:w="22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125,610</w:t>
            </w:r>
          </w:p>
        </w:tc>
        <w:tc>
          <w:tcPr>
            <w:tcW w:w="3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99,292</w:t>
            </w:r>
          </w:p>
        </w:tc>
        <w:tc>
          <w:tcPr>
            <w:tcW w:w="3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261,772</w:t>
            </w:r>
          </w:p>
        </w:tc>
        <w:tc>
          <w:tcPr>
            <w:tcW w:w="24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190,594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GAAP Gross Margin (% of net sales)</w:t>
            </w:r>
          </w:p>
        </w:tc>
        <w:tc>
          <w:tcPr>
            <w:tcW w:w="4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49.2%</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48.5%</w:t>
            </w:r>
          </w:p>
        </w:tc>
        <w:tc>
          <w:tcPr>
            <w:tcW w:w="10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46.3%</w:t>
            </w: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48.8%</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b w:val="1"/>
                <w:bCs w:val="1"/>
                <w:color w:val="auto"/>
              </w:rPr>
              <w:t>45.6%</w:t>
            </w:r>
          </w:p>
        </w:tc>
        <w:tc>
          <w:tcPr>
            <w:tcW w:w="0" w:type="dxa"/>
            <w:vAlign w:val="bottom"/>
          </w:tcPr>
          <w:p>
            <w:pPr>
              <w:spacing w:after="0"/>
              <w:rPr>
                <w:sz w:val="1"/>
                <w:szCs w:val="1"/>
                <w:color w:val="auto"/>
              </w:rPr>
            </w:pPr>
          </w:p>
        </w:tc>
      </w:tr>
      <w:tr>
        <w:trPr>
          <w:trHeight w:val="324"/>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Non-GAAP adjustments</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Purchased intangible amortization</w:t>
            </w:r>
          </w:p>
        </w:tc>
        <w:tc>
          <w:tcPr>
            <w:tcW w:w="4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5,090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5,089</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5,090</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10,179</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10,179</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Restructuring costs</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751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160</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1,456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80"/>
              <w:spacing w:after="0" w:line="176" w:lineRule="exact"/>
              <w:rPr>
                <w:sz w:val="20"/>
                <w:szCs w:val="20"/>
                <w:color w:val="auto"/>
              </w:rPr>
            </w:pPr>
            <w:r>
              <w:rPr>
                <w:rFonts w:ascii="Times New Roman" w:cs="Times New Roman" w:eastAsia="Times New Roman" w:hAnsi="Times New Roman"/>
                <w:sz w:val="15"/>
                <w:szCs w:val="15"/>
                <w:color w:val="auto"/>
              </w:rPr>
              <w:t>Stock-based compensation</w:t>
            </w:r>
            <w:r>
              <w:rPr>
                <w:rFonts w:ascii="Times New Roman" w:cs="Times New Roman" w:eastAsia="Times New Roman" w:hAnsi="Times New Roman"/>
                <w:sz w:val="20"/>
                <w:szCs w:val="20"/>
                <w:color w:val="auto"/>
                <w:vertAlign w:val="superscript"/>
              </w:rPr>
              <w:t>(1)</w:t>
            </w:r>
          </w:p>
        </w:tc>
        <w:tc>
          <w:tcPr>
            <w:tcW w:w="4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1,082</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1,172</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1,017</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2,254</w:t>
            </w: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1,905</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costs</w:t>
            </w:r>
          </w:p>
        </w:tc>
        <w:tc>
          <w:tcPr>
            <w:tcW w:w="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237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428</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44</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665</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Non-GAAP Adjustments</w:t>
            </w:r>
          </w:p>
        </w:tc>
        <w:tc>
          <w:tcPr>
            <w:tcW w:w="920" w:type="dxa"/>
            <w:vAlign w:val="bottom"/>
            <w:gridSpan w:val="2"/>
            <w:shd w:val="clear" w:color="auto" w:fill="CFF0FC"/>
          </w:tcPr>
          <w:p>
            <w:pPr>
              <w:ind w:left="48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6,486</w:t>
            </w:r>
          </w:p>
        </w:tc>
        <w:tc>
          <w:tcPr>
            <w:tcW w:w="22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6,772</w:t>
            </w: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6,902</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13,258</w:t>
            </w:r>
          </w:p>
        </w:tc>
        <w:tc>
          <w:tcPr>
            <w:tcW w:w="2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13,584</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Non-GAAP Gross Profit</w:t>
            </w:r>
          </w:p>
        </w:tc>
        <w:tc>
          <w:tcPr>
            <w:tcW w:w="480" w:type="dxa"/>
            <w:vAlign w:val="bottom"/>
            <w:vMerge w:val="restart"/>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44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142,648</w:t>
            </w:r>
          </w:p>
        </w:tc>
        <w:tc>
          <w:tcPr>
            <w:tcW w:w="2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132,382</w:t>
            </w:r>
          </w:p>
        </w:tc>
        <w:tc>
          <w:tcPr>
            <w:tcW w:w="3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106,194</w:t>
            </w:r>
          </w:p>
        </w:tc>
        <w:tc>
          <w:tcPr>
            <w:tcW w:w="3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275,030</w:t>
            </w:r>
          </w:p>
        </w:tc>
        <w:tc>
          <w:tcPr>
            <w:tcW w:w="24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204,178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Non-GAAP Gross Margin (% of net sales)</w:t>
            </w:r>
          </w:p>
        </w:tc>
        <w:tc>
          <w:tcPr>
            <w:tcW w:w="4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51.5%</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b w:val="1"/>
                <w:bCs w:val="1"/>
                <w:color w:val="auto"/>
              </w:rPr>
              <w:t>51.1%</w:t>
            </w:r>
          </w:p>
        </w:tc>
        <w:tc>
          <w:tcPr>
            <w:tcW w:w="10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5"/>
                <w:szCs w:val="15"/>
                <w:b w:val="1"/>
                <w:bCs w:val="1"/>
                <w:color w:val="auto"/>
              </w:rPr>
              <w:t>49.6%</w:t>
            </w:r>
          </w:p>
        </w:tc>
        <w:tc>
          <w:tcPr>
            <w:tcW w:w="1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51.3%</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b w:val="1"/>
                <w:bCs w:val="1"/>
                <w:color w:val="auto"/>
              </w:rPr>
              <w:t>48.9%</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Included in non-GAAP stock-based compensation charges are stock-based compensation expense and related payroll tax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2"/>
        </w:trPr>
        <w:tc>
          <w:tcPr>
            <w:tcW w:w="33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Reconciliation of Non-GAAP Operating Expenses</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33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Three-Month Period Ended</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Six-Month Period Ended</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b w:val="1"/>
                <w:bCs w:val="1"/>
                <w:color w:val="auto"/>
              </w:rPr>
              <w:t>September 25, 2026</w:t>
            </w:r>
          </w:p>
        </w:tc>
        <w:tc>
          <w:tcPr>
            <w:tcW w:w="36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June 26, 2026</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Borders>
              <w:bottom w:val="single" w:sz="8" w:color="auto"/>
            </w:tcBorders>
            <w:gridSpan w:val="2"/>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September 26, 2025</w:t>
            </w:r>
          </w:p>
        </w:tc>
        <w:tc>
          <w:tcPr>
            <w:tcW w:w="220" w:type="dxa"/>
            <w:vAlign w:val="bottom"/>
          </w:tcPr>
          <w:p>
            <w:pPr>
              <w:spacing w:after="0"/>
              <w:rPr>
                <w:sz w:val="13"/>
                <w:szCs w:val="13"/>
                <w:color w:val="auto"/>
              </w:rPr>
            </w:pPr>
          </w:p>
        </w:tc>
        <w:tc>
          <w:tcPr>
            <w:tcW w:w="1440" w:type="dxa"/>
            <w:vAlign w:val="bottom"/>
            <w:tcBorders>
              <w:bottom w:val="single" w:sz="8" w:color="auto"/>
            </w:tcBorders>
            <w:gridSpan w:val="2"/>
          </w:tcPr>
          <w:p>
            <w:pPr>
              <w:jc w:val="right"/>
              <w:ind w:right="24"/>
              <w:spacing w:after="0" w:line="156" w:lineRule="exact"/>
              <w:rPr>
                <w:sz w:val="20"/>
                <w:szCs w:val="20"/>
                <w:color w:val="auto"/>
              </w:rPr>
            </w:pPr>
            <w:r>
              <w:rPr>
                <w:rFonts w:ascii="Times New Roman" w:cs="Times New Roman" w:eastAsia="Times New Roman" w:hAnsi="Times New Roman"/>
                <w:sz w:val="15"/>
                <w:szCs w:val="15"/>
                <w:b w:val="1"/>
                <w:bCs w:val="1"/>
                <w:color w:val="auto"/>
              </w:rPr>
              <w:t>September 25, 2026</w:t>
            </w:r>
          </w:p>
        </w:tc>
        <w:tc>
          <w:tcPr>
            <w:tcW w:w="200" w:type="dxa"/>
            <w:vAlign w:val="bottom"/>
          </w:tcPr>
          <w:p>
            <w:pPr>
              <w:spacing w:after="0"/>
              <w:rPr>
                <w:sz w:val="13"/>
                <w:szCs w:val="13"/>
                <w:color w:val="auto"/>
              </w:rPr>
            </w:pPr>
          </w:p>
        </w:tc>
        <w:tc>
          <w:tcPr>
            <w:tcW w:w="1380" w:type="dxa"/>
            <w:vAlign w:val="bottom"/>
            <w:tcBorders>
              <w:bottom w:val="single" w:sz="8" w:color="auto"/>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September 26, 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5"/>
              </w:rPr>
              <w:t>(Dollars in thousands)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3"/>
          </w:tcPr>
          <w:p>
            <w:pPr>
              <w:jc w:val="right"/>
              <w:ind w:right="104"/>
              <w:spacing w:after="0" w:line="156" w:lineRule="exact"/>
              <w:rPr>
                <w:sz w:val="20"/>
                <w:szCs w:val="20"/>
                <w:color w:val="auto"/>
              </w:rPr>
            </w:pPr>
            <w:r>
              <w:rPr>
                <w:rFonts w:ascii="Times New Roman" w:cs="Times New Roman" w:eastAsia="Times New Roman" w:hAnsi="Times New Roman"/>
                <w:sz w:val="15"/>
                <w:szCs w:val="15"/>
                <w:b w:val="1"/>
                <w:bCs w:val="1"/>
                <w:color w:val="auto"/>
              </w:rPr>
              <w:t>(Dollars 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GAAP Operating Expenses</w:t>
            </w:r>
          </w:p>
        </w:tc>
        <w:tc>
          <w:tcPr>
            <w:tcW w:w="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100,714</w:t>
            </w:r>
          </w:p>
        </w:tc>
        <w:tc>
          <w:tcPr>
            <w:tcW w:w="64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100,143</w:t>
            </w:r>
          </w:p>
        </w:tc>
        <w:tc>
          <w:tcPr>
            <w:tcW w:w="1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38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93,049</w:t>
            </w:r>
          </w:p>
        </w:tc>
        <w:tc>
          <w:tcPr>
            <w:tcW w:w="600" w:type="dxa"/>
            <w:vAlign w:val="bottom"/>
            <w:gridSpan w:val="2"/>
            <w:shd w:val="clear" w:color="auto" w:fill="CFF0FC"/>
          </w:tcPr>
          <w:p>
            <w:pPr>
              <w:jc w:val="right"/>
              <w:ind w:right="22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200,857</w:t>
            </w:r>
          </w:p>
        </w:tc>
        <w:tc>
          <w:tcPr>
            <w:tcW w:w="960" w:type="dxa"/>
            <w:vAlign w:val="bottom"/>
            <w:gridSpan w:val="2"/>
            <w:shd w:val="clear" w:color="auto" w:fill="CFF0FC"/>
          </w:tcPr>
          <w:p>
            <w:pPr>
              <w:jc w:val="right"/>
              <w:ind w:right="60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187,091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Research and Development Expenses</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GAAP Research and Development Expenses</w:t>
            </w:r>
          </w:p>
        </w:tc>
        <w:tc>
          <w:tcPr>
            <w:tcW w:w="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55,756</w:t>
            </w: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55,168</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50,891</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110,924</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97,391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Non-GAAP adjustments</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Purchased intangible amortization</w:t>
            </w:r>
          </w:p>
        </w:tc>
        <w:tc>
          <w:tcPr>
            <w:tcW w:w="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Restructuring costs</w:t>
            </w:r>
          </w:p>
        </w:tc>
        <w:tc>
          <w:tcPr>
            <w:tcW w:w="8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134</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1,639</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214</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80" w:type="dxa"/>
            <w:vAlign w:val="bottom"/>
            <w:shd w:val="clear" w:color="auto" w:fill="CFF0FC"/>
          </w:tcPr>
          <w:p>
            <w:pPr>
              <w:ind w:left="60"/>
              <w:spacing w:after="0" w:line="176" w:lineRule="exact"/>
              <w:rPr>
                <w:sz w:val="20"/>
                <w:szCs w:val="20"/>
                <w:color w:val="auto"/>
              </w:rPr>
            </w:pPr>
            <w:r>
              <w:rPr>
                <w:rFonts w:ascii="Times New Roman" w:cs="Times New Roman" w:eastAsia="Times New Roman" w:hAnsi="Times New Roman"/>
                <w:sz w:val="15"/>
                <w:szCs w:val="15"/>
                <w:color w:val="auto"/>
              </w:rPr>
              <w:t>Stock-based compensation</w:t>
            </w:r>
            <w:r>
              <w:rPr>
                <w:rFonts w:ascii="Times New Roman" w:cs="Times New Roman" w:eastAsia="Times New Roman" w:hAnsi="Times New Roman"/>
                <w:sz w:val="20"/>
                <w:szCs w:val="20"/>
                <w:color w:val="auto"/>
                <w:vertAlign w:val="superscript"/>
              </w:rPr>
              <w:t>(1)</w:t>
            </w:r>
          </w:p>
        </w:tc>
        <w:tc>
          <w:tcPr>
            <w:tcW w:w="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4,659</w:t>
            </w: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6,613</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4,907</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11,272</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60"/>
              <w:spacing w:after="0" w:line="162" w:lineRule="exact"/>
              <w:rPr>
                <w:sz w:val="20"/>
                <w:szCs w:val="20"/>
                <w:color w:val="auto"/>
              </w:rPr>
            </w:pPr>
            <w:r>
              <w:rPr>
                <w:rFonts w:ascii="Times New Roman" w:cs="Times New Roman" w:eastAsia="Times New Roman" w:hAnsi="Times New Roman"/>
                <w:sz w:val="14"/>
                <w:szCs w:val="14"/>
                <w:color w:val="auto"/>
              </w:rPr>
              <w:t>Other costs</w:t>
            </w:r>
            <w:r>
              <w:rPr>
                <w:rFonts w:ascii="Times New Roman" w:cs="Times New Roman" w:eastAsia="Times New Roman" w:hAnsi="Times New Roman"/>
                <w:sz w:val="18"/>
                <w:szCs w:val="18"/>
                <w:color w:val="auto"/>
                <w:vertAlign w:val="superscript"/>
              </w:rPr>
              <w:t>(2)</w:t>
            </w: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560</w:t>
            </w: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514</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112</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1,074</w:t>
            </w:r>
          </w:p>
        </w:tc>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Non-GAAP Research and Development Expenses</w:t>
            </w:r>
          </w:p>
        </w:tc>
        <w:tc>
          <w:tcPr>
            <w:tcW w:w="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50,452</w:t>
            </w:r>
          </w:p>
        </w:tc>
        <w:tc>
          <w:tcPr>
            <w:tcW w:w="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47,901</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44,225</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98,353</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86,645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Selling, General and Administrative Expenses</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38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GAAP Selling, General and Administrative</w:t>
            </w:r>
          </w:p>
        </w:tc>
        <w:tc>
          <w:tcPr>
            <w:tcW w:w="8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Expenses</w:t>
            </w:r>
          </w:p>
        </w:tc>
        <w:tc>
          <w:tcPr>
            <w:tcW w:w="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44,958</w:t>
            </w: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44,975</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42,158</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89,933</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89,700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Non-GAAP adjustments</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Transaction-related costs</w:t>
            </w:r>
          </w:p>
        </w:tc>
        <w:tc>
          <w:tcPr>
            <w:tcW w:w="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Purchased intangible amortization</w:t>
            </w:r>
          </w:p>
        </w:tc>
        <w:tc>
          <w:tcPr>
            <w:tcW w:w="8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535</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535</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1,070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Restructuring costs</w:t>
            </w:r>
          </w:p>
        </w:tc>
        <w:tc>
          <w:tcPr>
            <w:tcW w:w="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224</w:t>
            </w: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443</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1,158</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667</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60"/>
              <w:spacing w:after="0" w:line="176" w:lineRule="exact"/>
              <w:rPr>
                <w:sz w:val="20"/>
                <w:szCs w:val="20"/>
                <w:color w:val="auto"/>
              </w:rPr>
            </w:pPr>
            <w:r>
              <w:rPr>
                <w:rFonts w:ascii="Times New Roman" w:cs="Times New Roman" w:eastAsia="Times New Roman" w:hAnsi="Times New Roman"/>
                <w:sz w:val="15"/>
                <w:szCs w:val="15"/>
                <w:color w:val="auto"/>
              </w:rPr>
              <w:t>Stock-based compensation</w:t>
            </w:r>
            <w:r>
              <w:rPr>
                <w:rFonts w:ascii="Times New Roman" w:cs="Times New Roman" w:eastAsia="Times New Roman" w:hAnsi="Times New Roman"/>
                <w:sz w:val="20"/>
                <w:szCs w:val="20"/>
                <w:color w:val="auto"/>
                <w:vertAlign w:val="superscript"/>
              </w:rPr>
              <w:t>(1)</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8,456</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9,420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7,757</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17,876</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tcBorders>
              <w:bottom w:val="single" w:sz="8" w:color="CFF0FC"/>
            </w:tcBorders>
            <w:shd w:val="clear" w:color="auto" w:fill="CFF0FC"/>
          </w:tcPr>
          <w:p>
            <w:pPr>
              <w:ind w:left="60"/>
              <w:spacing w:after="0" w:line="162" w:lineRule="exact"/>
              <w:rPr>
                <w:sz w:val="20"/>
                <w:szCs w:val="20"/>
                <w:color w:val="auto"/>
              </w:rPr>
            </w:pPr>
            <w:r>
              <w:rPr>
                <w:rFonts w:ascii="Times New Roman" w:cs="Times New Roman" w:eastAsia="Times New Roman" w:hAnsi="Times New Roman"/>
                <w:sz w:val="14"/>
                <w:szCs w:val="14"/>
                <w:color w:val="auto"/>
              </w:rPr>
              <w:t>Other costs</w:t>
            </w:r>
            <w:r>
              <w:rPr>
                <w:rFonts w:ascii="Times New Roman" w:cs="Times New Roman" w:eastAsia="Times New Roman" w:hAnsi="Times New Roman"/>
                <w:sz w:val="18"/>
                <w:szCs w:val="18"/>
                <w:color w:val="auto"/>
                <w:vertAlign w:val="superscript"/>
              </w:rPr>
              <w:t>(2)</w:t>
            </w:r>
          </w:p>
        </w:tc>
        <w:tc>
          <w:tcPr>
            <w:tcW w:w="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567</w:t>
            </w:r>
          </w:p>
        </w:tc>
        <w:tc>
          <w:tcPr>
            <w:tcW w:w="3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487</w:t>
            </w: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476</w:t>
            </w:r>
          </w:p>
        </w:tc>
        <w:tc>
          <w:tcPr>
            <w:tcW w:w="2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1,054</w:t>
            </w:r>
          </w:p>
        </w:tc>
        <w:tc>
          <w:tcPr>
            <w:tcW w:w="2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6,314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380" w:type="dxa"/>
            <w:vAlign w:val="bottom"/>
          </w:tcPr>
          <w:p>
            <w:pPr>
              <w:spacing w:after="0" w:line="138" w:lineRule="exact"/>
              <w:rPr>
                <w:sz w:val="20"/>
                <w:szCs w:val="20"/>
                <w:color w:val="auto"/>
              </w:rPr>
            </w:pPr>
            <w:r>
              <w:rPr>
                <w:rFonts w:ascii="Times New Roman" w:cs="Times New Roman" w:eastAsia="Times New Roman" w:hAnsi="Times New Roman"/>
                <w:sz w:val="15"/>
                <w:szCs w:val="15"/>
                <w:color w:val="auto"/>
              </w:rPr>
              <w:t>Non-GAAP Selling, General and Administrative</w:t>
            </w: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Expenses</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35,176</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34,081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32,231</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69,257</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Non-GAAP Adjustments</w:t>
            </w:r>
          </w:p>
        </w:tc>
        <w:tc>
          <w:tcPr>
            <w:tcW w:w="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15,086</w:t>
            </w:r>
          </w:p>
        </w:tc>
        <w:tc>
          <w:tcPr>
            <w:tcW w:w="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18,161</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16,593</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33,247</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35,323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Non-GAAP Operating Expenses</w:t>
            </w: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360" w:type="dxa"/>
            <w:vAlign w:val="bottom"/>
            <w:vMerge w:val="restart"/>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vMerge w:val="restart"/>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vMerge w:val="restart"/>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4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85,628</w:t>
            </w:r>
          </w:p>
        </w:tc>
        <w:tc>
          <w:tcPr>
            <w:tcW w:w="360" w:type="dxa"/>
            <w:vAlign w:val="bottom"/>
            <w:vMerge w:val="continue"/>
          </w:tcPr>
          <w:p>
            <w:pPr>
              <w:spacing w:after="0"/>
              <w:rPr>
                <w:sz w:val="13"/>
                <w:szCs w:val="13"/>
                <w:color w:val="auto"/>
              </w:rPr>
            </w:pPr>
          </w:p>
        </w:tc>
        <w:tc>
          <w:tcPr>
            <w:tcW w:w="280" w:type="dxa"/>
            <w:vAlign w:val="bottom"/>
            <w:tcBorders>
              <w:bottom w:val="single" w:sz="8" w:color="auto"/>
            </w:tcBorders>
          </w:tcPr>
          <w:p>
            <w:pPr>
              <w:jc w:val="right"/>
              <w:ind w:right="12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81,982</w:t>
            </w:r>
          </w:p>
        </w:tc>
        <w:tc>
          <w:tcPr>
            <w:tcW w:w="18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540" w:type="dxa"/>
            <w:vAlign w:val="bottom"/>
            <w:tcBorders>
              <w:bottom w:val="single" w:sz="8" w:color="auto"/>
            </w:tcBorders>
          </w:tcPr>
          <w:p>
            <w:pPr>
              <w:jc w:val="right"/>
              <w:ind w:right="38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76,456</w:t>
            </w:r>
          </w:p>
        </w:tc>
        <w:tc>
          <w:tcPr>
            <w:tcW w:w="220" w:type="dxa"/>
            <w:vAlign w:val="bottom"/>
            <w:vMerge w:val="continue"/>
          </w:tcPr>
          <w:p>
            <w:pPr>
              <w:spacing w:after="0"/>
              <w:rPr>
                <w:sz w:val="13"/>
                <w:szCs w:val="13"/>
                <w:color w:val="auto"/>
              </w:rPr>
            </w:pPr>
          </w:p>
        </w:tc>
        <w:tc>
          <w:tcPr>
            <w:tcW w:w="380" w:type="dxa"/>
            <w:vAlign w:val="bottom"/>
            <w:tcBorders>
              <w:bottom w:val="single" w:sz="8" w:color="auto"/>
            </w:tcBorders>
          </w:tcPr>
          <w:p>
            <w:pPr>
              <w:jc w:val="right"/>
              <w:ind w:right="22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167,610</w:t>
            </w:r>
          </w:p>
        </w:tc>
        <w:tc>
          <w:tcPr>
            <w:tcW w:w="200" w:type="dxa"/>
            <w:vAlign w:val="bottom"/>
            <w:vMerge w:val="continue"/>
          </w:tcPr>
          <w:p>
            <w:pPr>
              <w:spacing w:after="0"/>
              <w:rPr>
                <w:sz w:val="13"/>
                <w:szCs w:val="13"/>
                <w:color w:val="auto"/>
              </w:rPr>
            </w:pPr>
          </w:p>
        </w:tc>
        <w:tc>
          <w:tcPr>
            <w:tcW w:w="760" w:type="dxa"/>
            <w:vAlign w:val="bottom"/>
            <w:tcBorders>
              <w:bottom w:val="single" w:sz="8" w:color="auto"/>
            </w:tcBorders>
          </w:tcPr>
          <w:p>
            <w:pPr>
              <w:jc w:val="right"/>
              <w:ind w:right="60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151,768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-650875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-650875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-650875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-650875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5"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in non-GAAP stock-based compensation charges are stock-based compensation expense and related payroll tax effects.</w:t>
      </w:r>
    </w:p>
    <w:p>
      <w:pPr>
        <w:spacing w:after="0" w:line="5" w:lineRule="exact"/>
        <w:rPr>
          <w:rFonts w:ascii="Times New Roman" w:cs="Times New Roman" w:eastAsia="Times New Roman" w:hAnsi="Times New Roman"/>
          <w:sz w:val="15"/>
          <w:szCs w:val="15"/>
          <w:color w:val="auto"/>
        </w:rPr>
      </w:pPr>
    </w:p>
    <w:p>
      <w:pPr>
        <w:ind w:right="140" w:firstLine="8"/>
        <w:spacing w:after="0" w:line="239" w:lineRule="auto"/>
        <w:tabs>
          <w:tab w:leader="none" w:pos="2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in non-GAAP other costs are non-recurring charges that are individually immaterial for separate disclosure, such as project evaluation costs, which consist of costs and estimated costs incurred in connection with other non-recurring transactions.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40" w:type="dxa"/>
            <w:vAlign w:val="bottom"/>
            <w:gridSpan w:val="8"/>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Reconciliation of Non-GAAP Operating Income and Non-GAAP Operating Margin</w:t>
            </w: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05"/>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Three-Month Period Ended</w:t>
            </w:r>
          </w:p>
        </w:tc>
        <w:tc>
          <w:tcPr>
            <w:tcW w:w="8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Six-Month Period Ended</w:t>
            </w:r>
          </w:p>
        </w:tc>
        <w:tc>
          <w:tcPr>
            <w:tcW w:w="5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55"/>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bottom w:val="single" w:sz="8" w:color="auto"/>
            </w:tcBorders>
            <w:gridSpan w:val="2"/>
          </w:tcPr>
          <w:p>
            <w:pPr>
              <w:jc w:val="right"/>
              <w:ind w:right="24"/>
              <w:spacing w:after="0" w:line="156" w:lineRule="exact"/>
              <w:rPr>
                <w:sz w:val="20"/>
                <w:szCs w:val="20"/>
                <w:color w:val="auto"/>
              </w:rPr>
            </w:pPr>
            <w:r>
              <w:rPr>
                <w:rFonts w:ascii="Times New Roman" w:cs="Times New Roman" w:eastAsia="Times New Roman" w:hAnsi="Times New Roman"/>
                <w:sz w:val="15"/>
                <w:szCs w:val="15"/>
                <w:b w:val="1"/>
                <w:bCs w:val="1"/>
                <w:color w:val="auto"/>
              </w:rPr>
              <w:t>September 25, 2026</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b w:val="1"/>
                <w:bCs w:val="1"/>
                <w:color w:val="auto"/>
              </w:rPr>
              <w:t>June 26, 2026</w:t>
            </w:r>
          </w:p>
        </w:tc>
        <w:tc>
          <w:tcPr>
            <w:tcW w:w="280" w:type="dxa"/>
            <w:vAlign w:val="bottom"/>
          </w:tcPr>
          <w:p>
            <w:pPr>
              <w:spacing w:after="0"/>
              <w:rPr>
                <w:sz w:val="13"/>
                <w:szCs w:val="13"/>
                <w:color w:val="auto"/>
              </w:rPr>
            </w:pPr>
          </w:p>
        </w:tc>
        <w:tc>
          <w:tcPr>
            <w:tcW w:w="1400" w:type="dxa"/>
            <w:vAlign w:val="bottom"/>
            <w:tcBorders>
              <w:bottom w:val="single" w:sz="8" w:color="auto"/>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September 26, 2025</w:t>
            </w:r>
          </w:p>
        </w:tc>
        <w:tc>
          <w:tcPr>
            <w:tcW w:w="280" w:type="dxa"/>
            <w:vAlign w:val="bottom"/>
          </w:tcPr>
          <w:p>
            <w:pPr>
              <w:spacing w:after="0"/>
              <w:rPr>
                <w:sz w:val="13"/>
                <w:szCs w:val="13"/>
                <w:color w:val="auto"/>
              </w:rPr>
            </w:pPr>
          </w:p>
        </w:tc>
        <w:tc>
          <w:tcPr>
            <w:tcW w:w="1420" w:type="dxa"/>
            <w:vAlign w:val="bottom"/>
            <w:tcBorders>
              <w:bottom w:val="single" w:sz="8" w:color="auto"/>
            </w:tcBorders>
            <w:gridSpan w:val="2"/>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September 25, 2026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bottom w:val="single" w:sz="8" w:color="auto"/>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September 26, 2025</w:t>
            </w:r>
          </w:p>
        </w:tc>
        <w:tc>
          <w:tcPr>
            <w:tcW w:w="180" w:type="dxa"/>
            <w:vAlign w:val="bottom"/>
          </w:tcPr>
          <w:p>
            <w:pPr>
              <w:spacing w:after="0"/>
              <w:rPr>
                <w:sz w:val="13"/>
                <w:szCs w:val="13"/>
                <w:color w:val="auto"/>
              </w:rPr>
            </w:pPr>
          </w:p>
        </w:tc>
      </w:tr>
      <w:tr>
        <w:trPr>
          <w:trHeight w:val="156"/>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4"/>
              </w:rPr>
              <w:t>(Dollars in thousands)</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gridSpan w:val="4"/>
          </w:tcPr>
          <w:p>
            <w:pPr>
              <w:jc w:val="right"/>
              <w:ind w:right="164"/>
              <w:spacing w:after="0" w:line="156" w:lineRule="exact"/>
              <w:rPr>
                <w:sz w:val="20"/>
                <w:szCs w:val="20"/>
                <w:color w:val="auto"/>
              </w:rPr>
            </w:pPr>
            <w:r>
              <w:rPr>
                <w:rFonts w:ascii="Times New Roman" w:cs="Times New Roman" w:eastAsia="Times New Roman" w:hAnsi="Times New Roman"/>
                <w:sz w:val="15"/>
                <w:szCs w:val="15"/>
                <w:b w:val="1"/>
                <w:bCs w:val="1"/>
                <w:color w:val="auto"/>
              </w:rPr>
              <w:t>(Dollars in thousands)</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2"/>
        </w:trPr>
        <w:tc>
          <w:tcPr>
            <w:tcW w:w="31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GAAP Operating Income</w:t>
            </w:r>
          </w:p>
        </w:tc>
        <w:tc>
          <w:tcPr>
            <w:tcW w:w="640" w:type="dxa"/>
            <w:vAlign w:val="bottom"/>
            <w:gridSpan w:val="2"/>
            <w:shd w:val="clear" w:color="auto" w:fill="CFF0FC"/>
          </w:tcPr>
          <w:p>
            <w:pPr>
              <w:jc w:val="right"/>
              <w:ind w:right="38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35,448</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25,467</w:t>
            </w:r>
          </w:p>
        </w:tc>
        <w:tc>
          <w:tcPr>
            <w:tcW w:w="280" w:type="dxa"/>
            <w:vAlign w:val="bottom"/>
            <w:tcBorders>
              <w:right w:val="single" w:sz="8" w:color="CFF0FC"/>
            </w:tcBorders>
            <w:shd w:val="clear" w:color="auto" w:fill="CFF0FC"/>
          </w:tcPr>
          <w:p>
            <w:pPr>
              <w:spacing w:after="0"/>
              <w:rPr>
                <w:sz w:val="14"/>
                <w:szCs w:val="14"/>
                <w:color w:val="auto"/>
              </w:rPr>
            </w:pPr>
          </w:p>
        </w:tc>
        <w:tc>
          <w:tcPr>
            <w:tcW w:w="520" w:type="dxa"/>
            <w:vAlign w:val="bottom"/>
            <w:shd w:val="clear" w:color="auto" w:fill="CFF0FC"/>
          </w:tcPr>
          <w:p>
            <w:pPr>
              <w:jc w:val="right"/>
              <w:ind w:right="364"/>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6,243</w:t>
            </w: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244"/>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60,915</w:t>
            </w:r>
          </w:p>
        </w:tc>
        <w:tc>
          <w:tcPr>
            <w:tcW w:w="2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2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3,503</w:t>
            </w:r>
          </w:p>
        </w:tc>
        <w:tc>
          <w:tcPr>
            <w:tcW w:w="180" w:type="dxa"/>
            <w:vAlign w:val="bottom"/>
            <w:shd w:val="clear" w:color="auto" w:fill="CFF0FC"/>
          </w:tcPr>
          <w:p>
            <w:pPr>
              <w:spacing w:after="0"/>
              <w:rPr>
                <w:sz w:val="14"/>
                <w:szCs w:val="14"/>
                <w:color w:val="auto"/>
              </w:rPr>
            </w:pPr>
          </w:p>
        </w:tc>
      </w:tr>
      <w:tr>
        <w:trPr>
          <w:trHeight w:val="202"/>
        </w:trPr>
        <w:tc>
          <w:tcPr>
            <w:tcW w:w="3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GAAP Operating Margin (% of net sales)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12.8%</w:t>
            </w:r>
          </w:p>
        </w:tc>
        <w:tc>
          <w:tcPr>
            <w:tcW w:w="8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9.8%</w:t>
            </w:r>
          </w:p>
        </w:tc>
        <w:tc>
          <w:tcPr>
            <w:tcW w:w="5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2.9%</w:t>
            </w:r>
          </w:p>
        </w:tc>
        <w:tc>
          <w:tcPr>
            <w:tcW w:w="4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11.4%</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0.8%</w:t>
            </w:r>
          </w:p>
        </w:tc>
      </w:tr>
      <w:tr>
        <w:trPr>
          <w:trHeight w:val="122"/>
        </w:trPr>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62"/>
        </w:trPr>
        <w:tc>
          <w:tcPr>
            <w:tcW w:w="316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Transaction-related costs</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w:t>
            </w:r>
          </w:p>
        </w:tc>
        <w:tc>
          <w:tcPr>
            <w:tcW w:w="280" w:type="dxa"/>
            <w:vAlign w:val="bottom"/>
            <w:tcBorders>
              <w:right w:val="single" w:sz="8" w:color="CFF0FC"/>
            </w:tcBorders>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131</w:t>
            </w:r>
          </w:p>
        </w:tc>
        <w:tc>
          <w:tcPr>
            <w:tcW w:w="180" w:type="dxa"/>
            <w:vAlign w:val="bottom"/>
            <w:shd w:val="clear" w:color="auto" w:fill="CFF0FC"/>
          </w:tcPr>
          <w:p>
            <w:pPr>
              <w:spacing w:after="0"/>
              <w:rPr>
                <w:sz w:val="14"/>
                <w:szCs w:val="14"/>
                <w:color w:val="auto"/>
              </w:rPr>
            </w:pPr>
          </w:p>
        </w:tc>
      </w:tr>
      <w:tr>
        <w:trPr>
          <w:trHeight w:val="162"/>
        </w:trPr>
        <w:tc>
          <w:tcPr>
            <w:tcW w:w="31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Purchased intangible amortization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5,630</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5,633</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11,260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11,260</w:t>
            </w:r>
          </w:p>
        </w:tc>
        <w:tc>
          <w:tcPr>
            <w:tcW w:w="180" w:type="dxa"/>
            <w:vAlign w:val="bottom"/>
          </w:tcPr>
          <w:p>
            <w:pPr>
              <w:spacing w:after="0"/>
              <w:rPr>
                <w:sz w:val="14"/>
                <w:szCs w:val="14"/>
                <w:color w:val="auto"/>
              </w:rPr>
            </w:pPr>
          </w:p>
        </w:tc>
      </w:tr>
      <w:tr>
        <w:trPr>
          <w:trHeight w:val="162"/>
        </w:trPr>
        <w:tc>
          <w:tcPr>
            <w:tcW w:w="316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Restructuring costs</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381</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660</w:t>
            </w:r>
          </w:p>
        </w:tc>
        <w:tc>
          <w:tcPr>
            <w:tcW w:w="280" w:type="dxa"/>
            <w:vAlign w:val="bottom"/>
            <w:tcBorders>
              <w:right w:val="single" w:sz="8" w:color="CFF0FC"/>
            </w:tcBorders>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3,548</w:t>
            </w: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1,041</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6,568</w:t>
            </w:r>
          </w:p>
        </w:tc>
        <w:tc>
          <w:tcPr>
            <w:tcW w:w="180" w:type="dxa"/>
            <w:vAlign w:val="bottom"/>
            <w:shd w:val="clear" w:color="auto" w:fill="CFF0FC"/>
          </w:tcPr>
          <w:p>
            <w:pPr>
              <w:spacing w:after="0"/>
              <w:rPr>
                <w:sz w:val="14"/>
                <w:szCs w:val="14"/>
                <w:color w:val="auto"/>
              </w:rPr>
            </w:pPr>
          </w:p>
        </w:tc>
      </w:tr>
      <w:tr>
        <w:trPr>
          <w:trHeight w:val="175"/>
        </w:trPr>
        <w:tc>
          <w:tcPr>
            <w:tcW w:w="3160" w:type="dxa"/>
            <w:vAlign w:val="bottom"/>
          </w:tcPr>
          <w:p>
            <w:pPr>
              <w:ind w:left="60"/>
              <w:spacing w:after="0" w:line="176" w:lineRule="exact"/>
              <w:rPr>
                <w:sz w:val="20"/>
                <w:szCs w:val="20"/>
                <w:color w:val="auto"/>
              </w:rPr>
            </w:pPr>
            <w:r>
              <w:rPr>
                <w:rFonts w:ascii="Times New Roman" w:cs="Times New Roman" w:eastAsia="Times New Roman" w:hAnsi="Times New Roman"/>
                <w:sz w:val="15"/>
                <w:szCs w:val="15"/>
                <w:color w:val="auto"/>
              </w:rPr>
              <w:t>Stock-based compensation</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14,197</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17,205</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13,681</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31,402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24,443</w:t>
            </w:r>
          </w:p>
        </w:tc>
        <w:tc>
          <w:tcPr>
            <w:tcW w:w="180" w:type="dxa"/>
            <w:vAlign w:val="bottom"/>
          </w:tcPr>
          <w:p>
            <w:pPr>
              <w:spacing w:after="0"/>
              <w:rPr>
                <w:sz w:val="15"/>
                <w:szCs w:val="15"/>
                <w:color w:val="auto"/>
              </w:rPr>
            </w:pPr>
          </w:p>
        </w:tc>
      </w:tr>
      <w:tr>
        <w:trPr>
          <w:trHeight w:val="162"/>
        </w:trPr>
        <w:tc>
          <w:tcPr>
            <w:tcW w:w="3160" w:type="dxa"/>
            <w:vAlign w:val="bottom"/>
            <w:tcBorders>
              <w:bottom w:val="single" w:sz="8" w:color="CFF0FC"/>
            </w:tcBorders>
            <w:shd w:val="clear" w:color="auto" w:fill="CFF0FC"/>
          </w:tcPr>
          <w:p>
            <w:pPr>
              <w:ind w:left="60"/>
              <w:spacing w:after="0" w:line="162" w:lineRule="exact"/>
              <w:rPr>
                <w:sz w:val="20"/>
                <w:szCs w:val="20"/>
                <w:color w:val="auto"/>
              </w:rPr>
            </w:pPr>
            <w:r>
              <w:rPr>
                <w:rFonts w:ascii="Times New Roman" w:cs="Times New Roman" w:eastAsia="Times New Roman" w:hAnsi="Times New Roman"/>
                <w:sz w:val="14"/>
                <w:szCs w:val="14"/>
                <w:color w:val="auto"/>
              </w:rPr>
              <w:t>Other costs</w:t>
            </w:r>
            <w:r>
              <w:rPr>
                <w:rFonts w:ascii="Times New Roman" w:cs="Times New Roman" w:eastAsia="Times New Roman" w:hAnsi="Times New Roman"/>
                <w:sz w:val="18"/>
                <w:szCs w:val="18"/>
                <w:color w:val="auto"/>
                <w:vertAlign w:val="superscript"/>
              </w:rPr>
              <w:t>(2)</w:t>
            </w:r>
          </w:p>
        </w:tc>
        <w:tc>
          <w:tcPr>
            <w:tcW w:w="10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1,364</w:t>
            </w:r>
          </w:p>
        </w:tc>
        <w:tc>
          <w:tcPr>
            <w:tcW w:w="2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1,429</w:t>
            </w:r>
          </w:p>
        </w:tc>
        <w:tc>
          <w:tcPr>
            <w:tcW w:w="280" w:type="dxa"/>
            <w:vAlign w:val="bottom"/>
            <w:tcBorders>
              <w:bottom w:val="single" w:sz="8" w:color="CFF0FC"/>
              <w:right w:val="single" w:sz="8" w:color="CFF0FC"/>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632</w:t>
            </w:r>
          </w:p>
        </w:tc>
        <w:tc>
          <w:tcPr>
            <w:tcW w:w="28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2,793</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6,505</w:t>
            </w:r>
          </w:p>
        </w:tc>
        <w:tc>
          <w:tcPr>
            <w:tcW w:w="180" w:type="dxa"/>
            <w:vAlign w:val="bottom"/>
            <w:tcBorders>
              <w:bottom w:val="single" w:sz="8" w:color="CFF0FC"/>
            </w:tcBorders>
            <w:shd w:val="clear" w:color="auto" w:fill="CFF0FC"/>
          </w:tcPr>
          <w:p>
            <w:pPr>
              <w:spacing w:after="0"/>
              <w:rPr>
                <w:sz w:val="14"/>
                <w:szCs w:val="14"/>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Non-GAAP Adjustments</w:t>
            </w:r>
          </w:p>
        </w:tc>
        <w:tc>
          <w:tcPr>
            <w:tcW w:w="640" w:type="dxa"/>
            <w:vAlign w:val="bottom"/>
            <w:gridSpan w:val="2"/>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21,572</w:t>
            </w:r>
          </w:p>
        </w:tc>
        <w:tc>
          <w:tcPr>
            <w:tcW w:w="2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24,933</w:t>
            </w:r>
          </w:p>
        </w:tc>
        <w:tc>
          <w:tcPr>
            <w:tcW w:w="280" w:type="dxa"/>
            <w:vAlign w:val="bottom"/>
          </w:tcPr>
          <w:p>
            <w:pPr>
              <w:spacing w:after="0"/>
              <w:rPr>
                <w:sz w:val="17"/>
                <w:szCs w:val="17"/>
                <w:color w:val="auto"/>
              </w:rPr>
            </w:pPr>
          </w:p>
        </w:tc>
        <w:tc>
          <w:tcPr>
            <w:tcW w:w="52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23,495</w:t>
            </w:r>
          </w:p>
        </w:tc>
        <w:tc>
          <w:tcPr>
            <w:tcW w:w="28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46,505</w:t>
            </w:r>
          </w:p>
        </w:tc>
        <w:tc>
          <w:tcPr>
            <w:tcW w:w="200" w:type="dxa"/>
            <w:vAlign w:val="bottom"/>
          </w:tcPr>
          <w:p>
            <w:pPr>
              <w:spacing w:after="0"/>
              <w:rPr>
                <w:sz w:val="17"/>
                <w:szCs w:val="17"/>
                <w:color w:val="auto"/>
              </w:rPr>
            </w:pPr>
          </w:p>
        </w:tc>
        <w:tc>
          <w:tcPr>
            <w:tcW w:w="860" w:type="dxa"/>
            <w:vAlign w:val="bottom"/>
            <w:gridSpan w:val="2"/>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48,907</w:t>
            </w:r>
          </w:p>
        </w:tc>
        <w:tc>
          <w:tcPr>
            <w:tcW w:w="180" w:type="dxa"/>
            <w:vAlign w:val="bottom"/>
          </w:tcPr>
          <w:p>
            <w:pPr>
              <w:spacing w:after="0"/>
              <w:rPr>
                <w:sz w:val="17"/>
                <w:szCs w:val="17"/>
                <w:color w:val="auto"/>
              </w:rPr>
            </w:pPr>
          </w:p>
        </w:tc>
      </w:tr>
      <w:tr>
        <w:trPr>
          <w:trHeight w:val="122"/>
        </w:trPr>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155"/>
        </w:trPr>
        <w:tc>
          <w:tcPr>
            <w:tcW w:w="31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Non-GAAP Operating Income</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38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57,020</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50,400</w:t>
            </w:r>
          </w:p>
        </w:tc>
        <w:tc>
          <w:tcPr>
            <w:tcW w:w="280" w:type="dxa"/>
            <w:vAlign w:val="bottom"/>
            <w:tcBorders>
              <w:right w:val="single" w:sz="8" w:color="CFF0FC"/>
            </w:tcBorders>
            <w:shd w:val="clear" w:color="auto" w:fill="CFF0FC"/>
          </w:tcPr>
          <w:p>
            <w:pPr>
              <w:spacing w:after="0"/>
              <w:rPr>
                <w:sz w:val="13"/>
                <w:szCs w:val="13"/>
                <w:color w:val="auto"/>
              </w:rPr>
            </w:pPr>
          </w:p>
        </w:tc>
        <w:tc>
          <w:tcPr>
            <w:tcW w:w="520" w:type="dxa"/>
            <w:vAlign w:val="bottom"/>
            <w:shd w:val="clear" w:color="auto" w:fill="CFF0FC"/>
          </w:tcPr>
          <w:p>
            <w:pPr>
              <w:jc w:val="right"/>
              <w:ind w:right="36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29,738</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jc w:val="right"/>
              <w:ind w:right="24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107,420</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24"/>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52,410</w:t>
            </w:r>
          </w:p>
        </w:tc>
        <w:tc>
          <w:tcPr>
            <w:tcW w:w="180" w:type="dxa"/>
            <w:vAlign w:val="bottom"/>
            <w:shd w:val="clear" w:color="auto" w:fill="CFF0FC"/>
          </w:tcPr>
          <w:p>
            <w:pPr>
              <w:spacing w:after="0"/>
              <w:rPr>
                <w:sz w:val="13"/>
                <w:szCs w:val="13"/>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Non-GAAP Operating Margin (% of net sales)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20.6%</w:t>
            </w:r>
          </w:p>
        </w:tc>
        <w:tc>
          <w:tcPr>
            <w:tcW w:w="8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19.4%</w:t>
            </w:r>
          </w:p>
        </w:tc>
        <w:tc>
          <w:tcPr>
            <w:tcW w:w="5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13.9%</w:t>
            </w:r>
          </w:p>
        </w:tc>
        <w:tc>
          <w:tcPr>
            <w:tcW w:w="4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20.0%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-462280</wp:posOffset>
            </wp:positionV>
            <wp:extent cx="1111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-462280</wp:posOffset>
            </wp:positionV>
            <wp:extent cx="1111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-462280</wp:posOffset>
            </wp:positionV>
            <wp:extent cx="1111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-462280</wp:posOffset>
            </wp:positionV>
            <wp:extent cx="111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-462280</wp:posOffset>
            </wp:positionV>
            <wp:extent cx="1117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-136525</wp:posOffset>
            </wp:positionV>
            <wp:extent cx="1111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-136525</wp:posOffset>
            </wp:positionV>
            <wp:extent cx="1111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-136525</wp:posOffset>
            </wp:positionV>
            <wp:extent cx="1111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-136525</wp:posOffset>
            </wp:positionV>
            <wp:extent cx="1111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-136525</wp:posOffset>
            </wp:positionV>
            <wp:extent cx="1117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84"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in non-GAAP stock-based compensation charges are stock-based compensation expense and related payroll tax effects.</w:t>
      </w:r>
    </w:p>
    <w:p>
      <w:pPr>
        <w:spacing w:after="0" w:line="5" w:lineRule="exact"/>
        <w:rPr>
          <w:rFonts w:ascii="Times New Roman" w:cs="Times New Roman" w:eastAsia="Times New Roman" w:hAnsi="Times New Roman"/>
          <w:sz w:val="15"/>
          <w:szCs w:val="15"/>
          <w:color w:val="auto"/>
        </w:rPr>
      </w:pPr>
    </w:p>
    <w:p>
      <w:pPr>
        <w:ind w:right="200" w:firstLine="8"/>
        <w:spacing w:after="0" w:line="239" w:lineRule="auto"/>
        <w:tabs>
          <w:tab w:leader="none" w:pos="219"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in non-GAAP other costs are non-recurring charges that are individually immaterial for separate disclosure such as project evaluation costs, which consist of costs and estimated costs incurred in connection with other non-recurring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2"/>
        </w:trPr>
        <w:tc>
          <w:tcPr>
            <w:tcW w:w="520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Reconciliation of EBITDA, Adjusted EBITDA and Adjusted EBITDA Margin</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05"/>
        </w:trPr>
        <w:tc>
          <w:tcPr>
            <w:tcW w:w="3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20" w:type="dxa"/>
            <w:vAlign w:val="bottom"/>
            <w:gridSpan w:val="7"/>
          </w:tcPr>
          <w:p>
            <w:pPr>
              <w:jc w:val="right"/>
              <w:spacing w:after="0"/>
              <w:rPr>
                <w:sz w:val="20"/>
                <w:szCs w:val="20"/>
                <w:color w:val="auto"/>
              </w:rPr>
            </w:pPr>
            <w:r>
              <w:rPr>
                <w:rFonts w:ascii="Times New Roman" w:cs="Times New Roman" w:eastAsia="Times New Roman" w:hAnsi="Times New Roman"/>
                <w:sz w:val="15"/>
                <w:szCs w:val="15"/>
                <w:b w:val="1"/>
                <w:bCs w:val="1"/>
                <w:color w:val="auto"/>
              </w:rPr>
              <w:t>Three-Month Period Ended</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5"/>
          </w:tcPr>
          <w:p>
            <w:pPr>
              <w:jc w:val="right"/>
              <w:ind w:right="820"/>
              <w:spacing w:after="0"/>
              <w:rPr>
                <w:sz w:val="20"/>
                <w:szCs w:val="20"/>
                <w:color w:val="auto"/>
              </w:rPr>
            </w:pPr>
            <w:r>
              <w:rPr>
                <w:rFonts w:ascii="Times New Roman" w:cs="Times New Roman" w:eastAsia="Times New Roman" w:hAnsi="Times New Roman"/>
                <w:sz w:val="15"/>
                <w:szCs w:val="15"/>
                <w:b w:val="1"/>
                <w:bCs w:val="1"/>
                <w:color w:val="auto"/>
              </w:rPr>
              <w:t>Six-Month Period Ended</w:t>
            </w:r>
          </w:p>
        </w:tc>
      </w:tr>
      <w:tr>
        <w:trPr>
          <w:trHeight w:val="134"/>
        </w:trPr>
        <w:tc>
          <w:tcPr>
            <w:tcW w:w="36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2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right"/>
              <w:ind w:right="500"/>
              <w:spacing w:after="0" w:line="134" w:lineRule="exact"/>
              <w:rPr>
                <w:sz w:val="20"/>
                <w:szCs w:val="20"/>
                <w:color w:val="auto"/>
              </w:rPr>
            </w:pPr>
            <w:r>
              <w:rPr>
                <w:rFonts w:ascii="Times New Roman" w:cs="Times New Roman" w:eastAsia="Times New Roman" w:hAnsi="Times New Roman"/>
                <w:sz w:val="15"/>
                <w:szCs w:val="15"/>
                <w:b w:val="1"/>
                <w:bCs w:val="1"/>
                <w:color w:val="auto"/>
              </w:rPr>
              <w:t>September 25,</w:t>
            </w: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8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220" w:type="dxa"/>
            <w:vAlign w:val="bottom"/>
          </w:tcPr>
          <w:p>
            <w:pPr>
              <w:spacing w:after="0"/>
              <w:rPr>
                <w:sz w:val="11"/>
                <w:szCs w:val="11"/>
                <w:color w:val="auto"/>
              </w:rPr>
            </w:pPr>
          </w:p>
        </w:tc>
      </w:tr>
      <w:tr>
        <w:trPr>
          <w:trHeight w:val="183"/>
        </w:trPr>
        <w:tc>
          <w:tcPr>
            <w:tcW w:w="3680" w:type="dxa"/>
            <w:vAlign w:val="bottom"/>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September 25, 2026</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June 26, 2026</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2026</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5"/>
                <w:szCs w:val="15"/>
                <w:color w:val="auto"/>
              </w:rPr>
            </w:pPr>
          </w:p>
        </w:tc>
      </w:tr>
      <w:tr>
        <w:trPr>
          <w:trHeight w:val="156"/>
        </w:trPr>
        <w:tc>
          <w:tcPr>
            <w:tcW w:w="3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gridSpan w:val="4"/>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4"/>
              </w:rPr>
              <w:t>(Dollars in thousands)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5"/>
          </w:tcPr>
          <w:p>
            <w:pPr>
              <w:jc w:val="right"/>
              <w:ind w:right="900"/>
              <w:spacing w:after="0" w:line="156" w:lineRule="exact"/>
              <w:rPr>
                <w:sz w:val="20"/>
                <w:szCs w:val="20"/>
                <w:color w:val="auto"/>
              </w:rPr>
            </w:pPr>
            <w:r>
              <w:rPr>
                <w:rFonts w:ascii="Times New Roman" w:cs="Times New Roman" w:eastAsia="Times New Roman" w:hAnsi="Times New Roman"/>
                <w:sz w:val="15"/>
                <w:szCs w:val="15"/>
                <w:b w:val="1"/>
                <w:bCs w:val="1"/>
                <w:color w:val="auto"/>
              </w:rPr>
              <w:t>(Dollars in thousands)</w:t>
            </w:r>
          </w:p>
        </w:tc>
      </w:tr>
      <w:tr>
        <w:trPr>
          <w:trHeight w:val="162"/>
        </w:trPr>
        <w:tc>
          <w:tcPr>
            <w:tcW w:w="36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GAAP Net Income (Loss)</w:t>
            </w:r>
          </w:p>
        </w:tc>
        <w:tc>
          <w:tcPr>
            <w:tcW w:w="4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23,318</w:t>
            </w:r>
          </w:p>
        </w:tc>
        <w:tc>
          <w:tcPr>
            <w:tcW w:w="22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15,919</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6,583</w:t>
            </w:r>
          </w:p>
        </w:tc>
        <w:tc>
          <w:tcPr>
            <w:tcW w:w="2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39,237</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3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(6,579)</w:t>
            </w:r>
          </w:p>
        </w:tc>
      </w:tr>
      <w:tr>
        <w:trPr>
          <w:trHeight w:val="202"/>
        </w:trPr>
        <w:tc>
          <w:tcPr>
            <w:tcW w:w="3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GAAP Net Income (Loss) Margin (% of net sales)</w:t>
            </w:r>
          </w:p>
        </w:tc>
        <w:tc>
          <w:tcPr>
            <w:tcW w:w="460" w:type="dxa"/>
            <w:vAlign w:val="bottom"/>
          </w:tcPr>
          <w:p>
            <w:pPr>
              <w:spacing w:after="0"/>
              <w:rPr>
                <w:sz w:val="17"/>
                <w:szCs w:val="17"/>
                <w:color w:val="auto"/>
              </w:rPr>
            </w:pPr>
          </w:p>
        </w:tc>
        <w:tc>
          <w:tcPr>
            <w:tcW w:w="10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8.4%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6.1%</w:t>
            </w:r>
          </w:p>
        </w:tc>
        <w:tc>
          <w:tcPr>
            <w:tcW w:w="12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3.1%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7.3%</w:t>
            </w:r>
          </w:p>
        </w:tc>
        <w:tc>
          <w:tcPr>
            <w:tcW w:w="10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(1.6)%</w:t>
            </w:r>
          </w:p>
        </w:tc>
      </w:tr>
      <w:tr>
        <w:trPr>
          <w:trHeight w:val="122"/>
        </w:trPr>
        <w:tc>
          <w:tcPr>
            <w:tcW w:w="3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62"/>
        </w:trPr>
        <w:tc>
          <w:tcPr>
            <w:tcW w:w="36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4,469</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4,384</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5,730</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8,853</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12,089</w:t>
            </w:r>
          </w:p>
        </w:tc>
        <w:tc>
          <w:tcPr>
            <w:tcW w:w="220" w:type="dxa"/>
            <w:vAlign w:val="bottom"/>
            <w:shd w:val="clear" w:color="auto" w:fill="CFF0FC"/>
          </w:tcPr>
          <w:p>
            <w:pPr>
              <w:spacing w:after="0"/>
              <w:rPr>
                <w:sz w:val="14"/>
                <w:szCs w:val="14"/>
                <w:color w:val="auto"/>
              </w:rPr>
            </w:pPr>
          </w:p>
        </w:tc>
      </w:tr>
      <w:tr>
        <w:trPr>
          <w:trHeight w:val="162"/>
        </w:trPr>
        <w:tc>
          <w:tcPr>
            <w:tcW w:w="36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Interest income</w:t>
            </w:r>
          </w:p>
        </w:tc>
        <w:tc>
          <w:tcPr>
            <w:tcW w:w="460" w:type="dxa"/>
            <w:vAlign w:val="bottom"/>
          </w:tcPr>
          <w:p>
            <w:pPr>
              <w:spacing w:after="0"/>
              <w:rPr>
                <w:sz w:val="14"/>
                <w:szCs w:val="14"/>
                <w:color w:val="auto"/>
              </w:rPr>
            </w:pPr>
          </w:p>
        </w:tc>
        <w:tc>
          <w:tcPr>
            <w:tcW w:w="1060" w:type="dxa"/>
            <w:vAlign w:val="bottom"/>
            <w:gridSpan w:val="2"/>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(267)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(405)</w:t>
            </w:r>
          </w:p>
        </w:tc>
        <w:tc>
          <w:tcPr>
            <w:tcW w:w="120" w:type="dxa"/>
            <w:vAlign w:val="bottom"/>
          </w:tcPr>
          <w:p>
            <w:pPr>
              <w:spacing w:after="0"/>
              <w:rPr>
                <w:sz w:val="14"/>
                <w:szCs w:val="14"/>
                <w:color w:val="auto"/>
              </w:rPr>
            </w:pPr>
          </w:p>
        </w:tc>
        <w:tc>
          <w:tcPr>
            <w:tcW w:w="14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(159)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(672)</w:t>
            </w:r>
          </w:p>
        </w:tc>
        <w:tc>
          <w:tcPr>
            <w:tcW w:w="100" w:type="dxa"/>
            <w:vAlign w:val="bottom"/>
          </w:tcPr>
          <w:p>
            <w:pPr>
              <w:spacing w:after="0"/>
              <w:rPr>
                <w:sz w:val="14"/>
                <w:szCs w:val="14"/>
                <w:color w:val="auto"/>
              </w:rPr>
            </w:pPr>
          </w:p>
        </w:tc>
        <w:tc>
          <w:tcPr>
            <w:tcW w:w="13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(393)</w:t>
            </w:r>
          </w:p>
        </w:tc>
      </w:tr>
      <w:tr>
        <w:trPr>
          <w:trHeight w:val="162"/>
        </w:trPr>
        <w:tc>
          <w:tcPr>
            <w:tcW w:w="36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Income tax provision (benefit)</w:t>
            </w: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4,510</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1,506</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(9,298)</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6,016</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(6,129)</w:t>
            </w:r>
          </w:p>
        </w:tc>
      </w:tr>
      <w:tr>
        <w:trPr>
          <w:trHeight w:val="162"/>
        </w:trPr>
        <w:tc>
          <w:tcPr>
            <w:tcW w:w="36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Depreciation &amp; amortization</w:t>
            </w: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17,241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16,867</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16,611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34,108</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32,827</w:t>
            </w:r>
          </w:p>
        </w:tc>
        <w:tc>
          <w:tcPr>
            <w:tcW w:w="220" w:type="dxa"/>
            <w:vAlign w:val="bottom"/>
          </w:tcPr>
          <w:p>
            <w:pPr>
              <w:spacing w:after="0"/>
              <w:rPr>
                <w:sz w:val="14"/>
                <w:szCs w:val="14"/>
                <w:color w:val="auto"/>
              </w:rPr>
            </w:pPr>
          </w:p>
        </w:tc>
      </w:tr>
      <w:tr>
        <w:trPr>
          <w:trHeight w:val="156"/>
        </w:trPr>
        <w:tc>
          <w:tcPr>
            <w:tcW w:w="3680" w:type="dxa"/>
            <w:vAlign w:val="bottom"/>
            <w:shd w:val="clear" w:color="auto" w:fill="CFF0FC"/>
          </w:tcPr>
          <w:p>
            <w:pPr>
              <w:ind w:left="140"/>
              <w:spacing w:after="0" w:line="156" w:lineRule="exact"/>
              <w:rPr>
                <w:sz w:val="20"/>
                <w:szCs w:val="20"/>
                <w:color w:val="auto"/>
              </w:rPr>
            </w:pPr>
            <w:r>
              <w:rPr>
                <w:rFonts w:ascii="Times New Roman" w:cs="Times New Roman" w:eastAsia="Times New Roman" w:hAnsi="Times New Roman"/>
                <w:sz w:val="15"/>
                <w:szCs w:val="15"/>
                <w:b w:val="1"/>
                <w:bCs w:val="1"/>
                <w:color w:val="auto"/>
              </w:rPr>
              <w:t>EBITDA</w:t>
            </w:r>
          </w:p>
        </w:tc>
        <w:tc>
          <w:tcPr>
            <w:tcW w:w="4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49,271</w:t>
            </w:r>
          </w:p>
        </w:tc>
        <w:tc>
          <w:tcPr>
            <w:tcW w:w="22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38,271</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19,467</w:t>
            </w:r>
          </w:p>
        </w:tc>
        <w:tc>
          <w:tcPr>
            <w:tcW w:w="2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87,542</w:t>
            </w: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31,815</w:t>
            </w:r>
          </w:p>
        </w:tc>
        <w:tc>
          <w:tcPr>
            <w:tcW w:w="220" w:type="dxa"/>
            <w:vAlign w:val="bottom"/>
            <w:shd w:val="clear" w:color="auto" w:fill="CFF0FC"/>
          </w:tcPr>
          <w:p>
            <w:pPr>
              <w:spacing w:after="0"/>
              <w:rPr>
                <w:sz w:val="13"/>
                <w:szCs w:val="13"/>
                <w:color w:val="auto"/>
              </w:rPr>
            </w:pPr>
          </w:p>
        </w:tc>
      </w:tr>
      <w:tr>
        <w:trPr>
          <w:trHeight w:val="318"/>
        </w:trPr>
        <w:tc>
          <w:tcPr>
            <w:tcW w:w="368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5"/>
                <w:szCs w:val="15"/>
                <w:color w:val="auto"/>
              </w:rPr>
              <w:t>Transaction-related costs</w:t>
            </w:r>
          </w:p>
        </w:tc>
        <w:tc>
          <w:tcPr>
            <w:tcW w:w="4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3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220" w:type="dxa"/>
            <w:vAlign w:val="bottom"/>
            <w:tcBorders>
              <w:top w:val="single" w:sz="8" w:color="CFF0FC"/>
            </w:tcBorders>
          </w:tcPr>
          <w:p>
            <w:pPr>
              <w:spacing w:after="0"/>
              <w:rPr>
                <w:sz w:val="24"/>
                <w:szCs w:val="24"/>
                <w:color w:val="auto"/>
              </w:rPr>
            </w:pPr>
          </w:p>
        </w:tc>
      </w:tr>
      <w:tr>
        <w:trPr>
          <w:trHeight w:val="162"/>
        </w:trPr>
        <w:tc>
          <w:tcPr>
            <w:tcW w:w="36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Restructuring costs</w:t>
            </w: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381</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662</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3,403</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1,043</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6,227</w:t>
            </w:r>
          </w:p>
        </w:tc>
        <w:tc>
          <w:tcPr>
            <w:tcW w:w="220" w:type="dxa"/>
            <w:vAlign w:val="bottom"/>
            <w:shd w:val="clear" w:color="auto" w:fill="CFF0FC"/>
          </w:tcPr>
          <w:p>
            <w:pPr>
              <w:spacing w:after="0"/>
              <w:rPr>
                <w:sz w:val="14"/>
                <w:szCs w:val="14"/>
                <w:color w:val="auto"/>
              </w:rPr>
            </w:pPr>
          </w:p>
        </w:tc>
      </w:tr>
      <w:tr>
        <w:trPr>
          <w:trHeight w:val="176"/>
        </w:trPr>
        <w:tc>
          <w:tcPr>
            <w:tcW w:w="3680" w:type="dxa"/>
            <w:vAlign w:val="bottom"/>
          </w:tcPr>
          <w:p>
            <w:pPr>
              <w:ind w:left="80"/>
              <w:spacing w:after="0" w:line="176" w:lineRule="exact"/>
              <w:rPr>
                <w:sz w:val="20"/>
                <w:szCs w:val="20"/>
                <w:color w:val="auto"/>
              </w:rPr>
            </w:pPr>
            <w:r>
              <w:rPr>
                <w:rFonts w:ascii="Times New Roman" w:cs="Times New Roman" w:eastAsia="Times New Roman" w:hAnsi="Times New Roman"/>
                <w:sz w:val="15"/>
                <w:szCs w:val="15"/>
                <w:color w:val="auto"/>
              </w:rPr>
              <w:t>Stock-based compensation</w:t>
            </w:r>
            <w:r>
              <w:rPr>
                <w:rFonts w:ascii="Times New Roman" w:cs="Times New Roman" w:eastAsia="Times New Roman" w:hAnsi="Times New Roman"/>
                <w:sz w:val="20"/>
                <w:szCs w:val="20"/>
                <w:color w:val="auto"/>
                <w:vertAlign w:val="superscript"/>
              </w:rPr>
              <w:t>(1)</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14,197</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17,205</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13,681</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31,402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24,443</w:t>
            </w:r>
          </w:p>
        </w:tc>
        <w:tc>
          <w:tcPr>
            <w:tcW w:w="220" w:type="dxa"/>
            <w:vAlign w:val="bottom"/>
          </w:tcPr>
          <w:p>
            <w:pPr>
              <w:spacing w:after="0"/>
              <w:rPr>
                <w:sz w:val="15"/>
                <w:szCs w:val="15"/>
                <w:color w:val="auto"/>
              </w:rPr>
            </w:pPr>
          </w:p>
        </w:tc>
      </w:tr>
      <w:tr>
        <w:trPr>
          <w:trHeight w:val="162"/>
        </w:trPr>
        <w:tc>
          <w:tcPr>
            <w:tcW w:w="3680" w:type="dxa"/>
            <w:vAlign w:val="bottom"/>
            <w:tcBorders>
              <w:bottom w:val="single" w:sz="8" w:color="CFF0FC"/>
            </w:tcBorders>
            <w:shd w:val="clear" w:color="auto" w:fill="CFF0FC"/>
          </w:tcPr>
          <w:p>
            <w:pPr>
              <w:ind w:left="80"/>
              <w:spacing w:after="0" w:line="162" w:lineRule="exact"/>
              <w:rPr>
                <w:sz w:val="20"/>
                <w:szCs w:val="20"/>
                <w:color w:val="auto"/>
              </w:rPr>
            </w:pPr>
            <w:r>
              <w:rPr>
                <w:rFonts w:ascii="Times New Roman" w:cs="Times New Roman" w:eastAsia="Times New Roman" w:hAnsi="Times New Roman"/>
                <w:sz w:val="14"/>
                <w:szCs w:val="14"/>
                <w:color w:val="auto"/>
              </w:rPr>
              <w:t>Other costs</w:t>
            </w:r>
            <w:r>
              <w:rPr>
                <w:rFonts w:ascii="Times New Roman" w:cs="Times New Roman" w:eastAsia="Times New Roman" w:hAnsi="Times New Roman"/>
                <w:sz w:val="18"/>
                <w:szCs w:val="18"/>
                <w:color w:val="auto"/>
                <w:vertAlign w:val="superscript"/>
              </w:rPr>
              <w:t>(2)</w:t>
            </w:r>
          </w:p>
        </w:tc>
        <w:tc>
          <w:tcPr>
            <w:tcW w:w="4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5,378</w:t>
            </w: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5,902</w:t>
            </w:r>
          </w:p>
        </w:tc>
        <w:tc>
          <w:tcPr>
            <w:tcW w:w="3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4,271</w:t>
            </w:r>
          </w:p>
        </w:tc>
        <w:tc>
          <w:tcPr>
            <w:tcW w:w="24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11,280</w:t>
            </w:r>
          </w:p>
        </w:tc>
        <w:tc>
          <w:tcPr>
            <w:tcW w:w="3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11,575</w:t>
            </w:r>
          </w:p>
        </w:tc>
        <w:tc>
          <w:tcPr>
            <w:tcW w:w="220" w:type="dxa"/>
            <w:vAlign w:val="bottom"/>
            <w:tcBorders>
              <w:bottom w:val="single" w:sz="8" w:color="CFF0FC"/>
            </w:tcBorders>
            <w:shd w:val="clear" w:color="auto" w:fill="CFF0FC"/>
          </w:tcPr>
          <w:p>
            <w:pPr>
              <w:spacing w:after="0"/>
              <w:rPr>
                <w:sz w:val="14"/>
                <w:szCs w:val="14"/>
                <w:color w:val="auto"/>
              </w:rPr>
            </w:pPr>
          </w:p>
        </w:tc>
      </w:tr>
      <w:tr>
        <w:trPr>
          <w:trHeight w:val="156"/>
        </w:trPr>
        <w:tc>
          <w:tcPr>
            <w:tcW w:w="368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Adjusted EBITDA</w:t>
            </w:r>
          </w:p>
        </w:tc>
        <w:tc>
          <w:tcPr>
            <w:tcW w:w="4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69,227</w:t>
            </w:r>
          </w:p>
        </w:tc>
        <w:tc>
          <w:tcPr>
            <w:tcW w:w="220" w:type="dxa"/>
            <w:vAlign w:val="bottom"/>
          </w:tcPr>
          <w:p>
            <w:pPr>
              <w:spacing w:after="0"/>
              <w:rPr>
                <w:sz w:val="13"/>
                <w:szCs w:val="13"/>
                <w:color w:val="auto"/>
              </w:rPr>
            </w:pPr>
          </w:p>
        </w:tc>
        <w:tc>
          <w:tcPr>
            <w:tcW w:w="1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62,049</w:t>
            </w:r>
          </w:p>
        </w:tc>
        <w:tc>
          <w:tcPr>
            <w:tcW w:w="30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40,823</w:t>
            </w:r>
          </w:p>
        </w:tc>
        <w:tc>
          <w:tcPr>
            <w:tcW w:w="240" w:type="dxa"/>
            <w:vAlign w:val="bottom"/>
          </w:tcPr>
          <w:p>
            <w:pPr>
              <w:spacing w:after="0"/>
              <w:rPr>
                <w:sz w:val="13"/>
                <w:szCs w:val="13"/>
                <w:color w:val="auto"/>
              </w:rPr>
            </w:pPr>
          </w:p>
        </w:tc>
        <w:tc>
          <w:tcPr>
            <w:tcW w:w="18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131,276</w:t>
            </w:r>
          </w:p>
        </w:tc>
        <w:tc>
          <w:tcPr>
            <w:tcW w:w="30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74,191</w:t>
            </w:r>
          </w:p>
        </w:tc>
        <w:tc>
          <w:tcPr>
            <w:tcW w:w="220" w:type="dxa"/>
            <w:vAlign w:val="bottom"/>
          </w:tcPr>
          <w:p>
            <w:pPr>
              <w:spacing w:after="0"/>
              <w:rPr>
                <w:sz w:val="13"/>
                <w:szCs w:val="13"/>
                <w:color w:val="auto"/>
              </w:rPr>
            </w:pPr>
          </w:p>
        </w:tc>
      </w:tr>
      <w:tr>
        <w:trPr>
          <w:trHeight w:val="20"/>
        </w:trPr>
        <w:tc>
          <w:tcPr>
            <w:tcW w:w="3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5"/>
        </w:trPr>
        <w:tc>
          <w:tcPr>
            <w:tcW w:w="36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Adjusted EBITDA Margin (% of net sales)</w:t>
            </w:r>
          </w:p>
        </w:tc>
        <w:tc>
          <w:tcPr>
            <w:tcW w:w="4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25.0%</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5"/>
                <w:szCs w:val="15"/>
                <w:b w:val="1"/>
                <w:bCs w:val="1"/>
                <w:color w:val="auto"/>
              </w:rPr>
              <w:t>23.9%</w:t>
            </w:r>
          </w:p>
        </w:tc>
        <w:tc>
          <w:tcPr>
            <w:tcW w:w="1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19.0%</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5"/>
                <w:szCs w:val="15"/>
                <w:b w:val="1"/>
                <w:bCs w:val="1"/>
                <w:color w:val="auto"/>
              </w:rPr>
              <w:t>24.5%</w:t>
            </w:r>
          </w:p>
        </w:tc>
        <w:tc>
          <w:tcPr>
            <w:tcW w:w="1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-753745</wp:posOffset>
            </wp:positionV>
            <wp:extent cx="111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-753745</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-753745</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-753745</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-753745</wp:posOffset>
            </wp:positionV>
            <wp:extent cx="1454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-222250</wp:posOffset>
            </wp:positionV>
            <wp:extent cx="1117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-222250</wp:posOffset>
            </wp:positionV>
            <wp:extent cx="111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-222250</wp:posOffset>
            </wp:positionV>
            <wp:extent cx="1111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-222250</wp:posOffset>
            </wp:positionV>
            <wp:extent cx="1111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-222250</wp:posOffset>
            </wp:positionV>
            <wp:extent cx="1454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25"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in non-GAAP stock-based compensation charges are stock-based compensation expense and related payroll tax effects.</w:t>
      </w:r>
    </w:p>
    <w:p>
      <w:pPr>
        <w:spacing w:after="0" w:line="5" w:lineRule="exact"/>
        <w:rPr>
          <w:rFonts w:ascii="Times New Roman" w:cs="Times New Roman" w:eastAsia="Times New Roman" w:hAnsi="Times New Roman"/>
          <w:sz w:val="15"/>
          <w:szCs w:val="15"/>
          <w:color w:val="auto"/>
        </w:rPr>
      </w:pPr>
    </w:p>
    <w:p>
      <w:pPr>
        <w:jc w:val="both"/>
        <w:ind w:right="240" w:firstLine="8"/>
        <w:spacing w:after="0" w:line="234" w:lineRule="auto"/>
        <w:tabs>
          <w:tab w:leader="none" w:pos="217"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in non-GAAP other costs are non-recurring charges that are individually immaterial for separate disclosure such as project evaluation costs, which consist of costs and estimated costs incurred in connection with other non-recurring transactions, certain impacts of foreign currency exchange gain (loss), net, and income (loss) in earnings of equity investments.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Reconciliation of Non-GAAP Profit before Tax</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05"/>
        </w:trPr>
        <w:tc>
          <w:tcPr>
            <w:tcW w:w="3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6"/>
          </w:tcPr>
          <w:p>
            <w:pPr>
              <w:jc w:val="center"/>
              <w:ind w:left="184"/>
              <w:spacing w:after="0"/>
              <w:rPr>
                <w:sz w:val="20"/>
                <w:szCs w:val="20"/>
                <w:color w:val="auto"/>
              </w:rPr>
            </w:pPr>
            <w:r>
              <w:rPr>
                <w:rFonts w:ascii="Times New Roman" w:cs="Times New Roman" w:eastAsia="Times New Roman" w:hAnsi="Times New Roman"/>
                <w:sz w:val="15"/>
                <w:szCs w:val="15"/>
                <w:b w:val="1"/>
                <w:bCs w:val="1"/>
                <w:color w:val="auto"/>
              </w:rPr>
              <w:t>Three-Month Period Ended</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5"/>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Six-Month Period Ended</w:t>
            </w:r>
          </w:p>
        </w:tc>
      </w:tr>
      <w:tr>
        <w:trPr>
          <w:trHeight w:val="134"/>
        </w:trPr>
        <w:tc>
          <w:tcPr>
            <w:tcW w:w="39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2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100" w:type="dxa"/>
            <w:vAlign w:val="bottom"/>
          </w:tcPr>
          <w:p>
            <w:pPr>
              <w:spacing w:after="0"/>
              <w:rPr>
                <w:sz w:val="11"/>
                <w:szCs w:val="11"/>
                <w:color w:val="auto"/>
              </w:rPr>
            </w:pPr>
          </w:p>
        </w:tc>
      </w:tr>
      <w:tr>
        <w:trPr>
          <w:trHeight w:val="183"/>
        </w:trPr>
        <w:tc>
          <w:tcPr>
            <w:tcW w:w="3980" w:type="dxa"/>
            <w:vAlign w:val="bottom"/>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25, 2026</w:t>
            </w:r>
          </w:p>
        </w:tc>
        <w:tc>
          <w:tcPr>
            <w:tcW w:w="22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June 26, 2026</w:t>
            </w:r>
          </w:p>
        </w:tc>
        <w:tc>
          <w:tcPr>
            <w:tcW w:w="260" w:type="dxa"/>
            <w:vAlign w:val="bottom"/>
          </w:tcPr>
          <w:p>
            <w:pPr>
              <w:spacing w:after="0"/>
              <w:rPr>
                <w:sz w:val="15"/>
                <w:szCs w:val="15"/>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September 26, 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September 25, 2026</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5"/>
                <w:szCs w:val="15"/>
                <w:color w:val="auto"/>
              </w:rPr>
            </w:pPr>
          </w:p>
        </w:tc>
      </w:tr>
      <w:tr>
        <w:trPr>
          <w:trHeight w:val="155"/>
        </w:trPr>
        <w:tc>
          <w:tcPr>
            <w:tcW w:w="3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60" w:type="dxa"/>
            <w:vAlign w:val="bottom"/>
            <w:gridSpan w:val="4"/>
          </w:tcPr>
          <w:p>
            <w:pPr>
              <w:jc w:val="center"/>
              <w:ind w:right="40"/>
              <w:spacing w:after="0" w:line="156" w:lineRule="exact"/>
              <w:rPr>
                <w:sz w:val="20"/>
                <w:szCs w:val="20"/>
                <w:color w:val="auto"/>
              </w:rPr>
            </w:pPr>
            <w:r>
              <w:rPr>
                <w:rFonts w:ascii="Times New Roman" w:cs="Times New Roman" w:eastAsia="Times New Roman" w:hAnsi="Times New Roman"/>
                <w:sz w:val="15"/>
                <w:szCs w:val="15"/>
                <w:b w:val="1"/>
                <w:bCs w:val="1"/>
                <w:color w:val="auto"/>
              </w:rPr>
              <w:t>(Dollars in thousands)</w:t>
            </w: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0" w:type="dxa"/>
            <w:vAlign w:val="bottom"/>
            <w:gridSpan w:val="5"/>
          </w:tcPr>
          <w:p>
            <w:pPr>
              <w:jc w:val="right"/>
              <w:ind w:right="800"/>
              <w:spacing w:after="0" w:line="156" w:lineRule="exact"/>
              <w:rPr>
                <w:sz w:val="20"/>
                <w:szCs w:val="20"/>
                <w:color w:val="auto"/>
              </w:rPr>
            </w:pPr>
            <w:r>
              <w:rPr>
                <w:rFonts w:ascii="Times New Roman" w:cs="Times New Roman" w:eastAsia="Times New Roman" w:hAnsi="Times New Roman"/>
                <w:sz w:val="15"/>
                <w:szCs w:val="15"/>
                <w:b w:val="1"/>
                <w:bCs w:val="1"/>
                <w:color w:val="auto"/>
              </w:rPr>
              <w:t>(Dollars in thousands)</w:t>
            </w:r>
          </w:p>
        </w:tc>
      </w:tr>
      <w:tr>
        <w:trPr>
          <w:trHeight w:val="162"/>
        </w:trPr>
        <w:tc>
          <w:tcPr>
            <w:tcW w:w="39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GAAP Income (Loss) before Income Taxes</w:t>
            </w:r>
          </w:p>
        </w:tc>
        <w:tc>
          <w:tcPr>
            <w:tcW w:w="500" w:type="dxa"/>
            <w:vAlign w:val="bottom"/>
            <w:shd w:val="clear" w:color="auto" w:fill="CFF0FC"/>
          </w:tcPr>
          <w:p>
            <w:pPr>
              <w:jc w:val="right"/>
              <w:ind w:right="344"/>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27,828</w:t>
            </w:r>
          </w:p>
        </w:tc>
        <w:tc>
          <w:tcPr>
            <w:tcW w:w="540" w:type="dxa"/>
            <w:vAlign w:val="bottom"/>
            <w:gridSpan w:val="2"/>
            <w:shd w:val="clear" w:color="auto" w:fill="CFF0FC"/>
          </w:tcPr>
          <w:p>
            <w:pPr>
              <w:jc w:val="right"/>
              <w:ind w:right="16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17,425</w:t>
            </w:r>
          </w:p>
        </w:tc>
        <w:tc>
          <w:tcPr>
            <w:tcW w:w="260" w:type="dxa"/>
            <w:vAlign w:val="bottom"/>
            <w:tcBorders>
              <w:right w:val="single" w:sz="8" w:color="CFF0FC"/>
            </w:tcBorders>
            <w:shd w:val="clear" w:color="auto" w:fill="CFF0FC"/>
          </w:tcPr>
          <w:p>
            <w:pPr>
              <w:spacing w:after="0"/>
              <w:rPr>
                <w:sz w:val="14"/>
                <w:szCs w:val="14"/>
                <w:color w:val="auto"/>
              </w:rPr>
            </w:pPr>
          </w:p>
        </w:tc>
        <w:tc>
          <w:tcPr>
            <w:tcW w:w="5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(2,715)</w:t>
            </w:r>
          </w:p>
        </w:tc>
        <w:tc>
          <w:tcPr>
            <w:tcW w:w="420" w:type="dxa"/>
            <w:vAlign w:val="bottom"/>
            <w:gridSpan w:val="2"/>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45,253</w:t>
            </w:r>
          </w:p>
        </w:tc>
        <w:tc>
          <w:tcPr>
            <w:tcW w:w="34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(12,708)</w:t>
            </w:r>
          </w:p>
        </w:tc>
      </w:tr>
      <w:tr>
        <w:trPr>
          <w:trHeight w:val="324"/>
        </w:trPr>
        <w:tc>
          <w:tcPr>
            <w:tcW w:w="39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Transaction-related costs</w:t>
            </w: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00" w:type="dxa"/>
            <w:vAlign w:val="bottom"/>
          </w:tcPr>
          <w:p>
            <w:pPr>
              <w:spacing w:after="0"/>
              <w:rPr>
                <w:sz w:val="24"/>
                <w:szCs w:val="24"/>
                <w:color w:val="auto"/>
              </w:rPr>
            </w:pPr>
          </w:p>
        </w:tc>
      </w:tr>
      <w:tr>
        <w:trPr>
          <w:trHeight w:val="162"/>
        </w:trPr>
        <w:tc>
          <w:tcPr>
            <w:tcW w:w="39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Transaction-related interest</w:t>
            </w:r>
          </w:p>
        </w:tc>
        <w:tc>
          <w:tcPr>
            <w:tcW w:w="5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225</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225</w:t>
            </w:r>
          </w:p>
        </w:tc>
        <w:tc>
          <w:tcPr>
            <w:tcW w:w="260" w:type="dxa"/>
            <w:vAlign w:val="bottom"/>
            <w:tcBorders>
              <w:right w:val="single" w:sz="8" w:color="CFF0FC"/>
            </w:tcBorders>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645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450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1,505</w:t>
            </w:r>
          </w:p>
        </w:tc>
        <w:tc>
          <w:tcPr>
            <w:tcW w:w="100" w:type="dxa"/>
            <w:vAlign w:val="bottom"/>
            <w:shd w:val="clear" w:color="auto" w:fill="CFF0FC"/>
          </w:tcPr>
          <w:p>
            <w:pPr>
              <w:spacing w:after="0"/>
              <w:rPr>
                <w:sz w:val="14"/>
                <w:szCs w:val="14"/>
                <w:color w:val="auto"/>
              </w:rPr>
            </w:pPr>
          </w:p>
        </w:tc>
      </w:tr>
      <w:tr>
        <w:trPr>
          <w:trHeight w:val="162"/>
        </w:trPr>
        <w:tc>
          <w:tcPr>
            <w:tcW w:w="39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Purchased intangible amortization</w:t>
            </w:r>
          </w:p>
        </w:tc>
        <w:tc>
          <w:tcPr>
            <w:tcW w:w="5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5,630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5,630</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11,260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11,260</w:t>
            </w:r>
          </w:p>
        </w:tc>
        <w:tc>
          <w:tcPr>
            <w:tcW w:w="100" w:type="dxa"/>
            <w:vAlign w:val="bottom"/>
          </w:tcPr>
          <w:p>
            <w:pPr>
              <w:spacing w:after="0"/>
              <w:rPr>
                <w:sz w:val="14"/>
                <w:szCs w:val="14"/>
                <w:color w:val="auto"/>
              </w:rPr>
            </w:pPr>
          </w:p>
        </w:tc>
      </w:tr>
      <w:tr>
        <w:trPr>
          <w:trHeight w:val="162"/>
        </w:trPr>
        <w:tc>
          <w:tcPr>
            <w:tcW w:w="39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Restructuring costs</w:t>
            </w:r>
          </w:p>
        </w:tc>
        <w:tc>
          <w:tcPr>
            <w:tcW w:w="5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381</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662</w:t>
            </w:r>
          </w:p>
        </w:tc>
        <w:tc>
          <w:tcPr>
            <w:tcW w:w="260" w:type="dxa"/>
            <w:vAlign w:val="bottom"/>
            <w:tcBorders>
              <w:right w:val="single" w:sz="8" w:color="CFF0FC"/>
            </w:tcBorders>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3,736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1,043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6,756</w:t>
            </w:r>
          </w:p>
        </w:tc>
        <w:tc>
          <w:tcPr>
            <w:tcW w:w="100" w:type="dxa"/>
            <w:vAlign w:val="bottom"/>
            <w:shd w:val="clear" w:color="auto" w:fill="CFF0FC"/>
          </w:tcPr>
          <w:p>
            <w:pPr>
              <w:spacing w:after="0"/>
              <w:rPr>
                <w:sz w:val="14"/>
                <w:szCs w:val="14"/>
                <w:color w:val="auto"/>
              </w:rPr>
            </w:pPr>
          </w:p>
        </w:tc>
      </w:tr>
      <w:tr>
        <w:trPr>
          <w:trHeight w:val="176"/>
        </w:trPr>
        <w:tc>
          <w:tcPr>
            <w:tcW w:w="3980" w:type="dxa"/>
            <w:vAlign w:val="bottom"/>
          </w:tcPr>
          <w:p>
            <w:pPr>
              <w:ind w:left="80"/>
              <w:spacing w:after="0" w:line="176" w:lineRule="exact"/>
              <w:rPr>
                <w:sz w:val="20"/>
                <w:szCs w:val="20"/>
                <w:color w:val="auto"/>
              </w:rPr>
            </w:pPr>
            <w:r>
              <w:rPr>
                <w:rFonts w:ascii="Times New Roman" w:cs="Times New Roman" w:eastAsia="Times New Roman" w:hAnsi="Times New Roman"/>
                <w:sz w:val="15"/>
                <w:szCs w:val="15"/>
                <w:color w:val="auto"/>
              </w:rPr>
              <w:t>Stock-based compensation</w:t>
            </w:r>
            <w:r>
              <w:rPr>
                <w:rFonts w:ascii="Times New Roman" w:cs="Times New Roman" w:eastAsia="Times New Roman" w:hAnsi="Times New Roman"/>
                <w:sz w:val="20"/>
                <w:szCs w:val="20"/>
                <w:color w:val="auto"/>
                <w:vertAlign w:val="superscript"/>
              </w:rPr>
              <w:t>(1)</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14,197</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17,205</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13,681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31,402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24,443</w:t>
            </w:r>
          </w:p>
        </w:tc>
        <w:tc>
          <w:tcPr>
            <w:tcW w:w="100" w:type="dxa"/>
            <w:vAlign w:val="bottom"/>
          </w:tcPr>
          <w:p>
            <w:pPr>
              <w:spacing w:after="0"/>
              <w:rPr>
                <w:sz w:val="15"/>
                <w:szCs w:val="15"/>
                <w:color w:val="auto"/>
              </w:rPr>
            </w:pPr>
          </w:p>
        </w:tc>
      </w:tr>
      <w:tr>
        <w:trPr>
          <w:trHeight w:val="162"/>
        </w:trPr>
        <w:tc>
          <w:tcPr>
            <w:tcW w:w="3980" w:type="dxa"/>
            <w:vAlign w:val="bottom"/>
            <w:tcBorders>
              <w:bottom w:val="single" w:sz="8" w:color="CFF0FC"/>
            </w:tcBorders>
            <w:shd w:val="clear" w:color="auto" w:fill="CFF0FC"/>
          </w:tcPr>
          <w:p>
            <w:pPr>
              <w:ind w:left="80"/>
              <w:spacing w:after="0" w:line="162" w:lineRule="exact"/>
              <w:rPr>
                <w:sz w:val="20"/>
                <w:szCs w:val="20"/>
                <w:color w:val="auto"/>
              </w:rPr>
            </w:pPr>
            <w:r>
              <w:rPr>
                <w:rFonts w:ascii="Times New Roman" w:cs="Times New Roman" w:eastAsia="Times New Roman" w:hAnsi="Times New Roman"/>
                <w:sz w:val="14"/>
                <w:szCs w:val="14"/>
                <w:color w:val="auto"/>
              </w:rPr>
              <w:t>Other costs</w:t>
            </w:r>
            <w:r>
              <w:rPr>
                <w:rFonts w:ascii="Times New Roman" w:cs="Times New Roman" w:eastAsia="Times New Roman" w:hAnsi="Times New Roman"/>
                <w:sz w:val="18"/>
                <w:szCs w:val="18"/>
                <w:color w:val="auto"/>
                <w:vertAlign w:val="superscript"/>
              </w:rPr>
              <w:t>(2)</w:t>
            </w:r>
          </w:p>
        </w:tc>
        <w:tc>
          <w:tcPr>
            <w:tcW w:w="5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5,418</w:t>
            </w:r>
          </w:p>
        </w:tc>
        <w:tc>
          <w:tcPr>
            <w:tcW w:w="2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5,941</w:t>
            </w:r>
          </w:p>
        </w:tc>
        <w:tc>
          <w:tcPr>
            <w:tcW w:w="260" w:type="dxa"/>
            <w:vAlign w:val="bottom"/>
            <w:tcBorders>
              <w:bottom w:val="single" w:sz="8" w:color="CFF0FC"/>
              <w:right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4,271</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11,359</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11,575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Non-GAAP Adjustments</w:t>
            </w:r>
          </w:p>
        </w:tc>
        <w:tc>
          <w:tcPr>
            <w:tcW w:w="50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25,851</w:t>
            </w:r>
          </w:p>
        </w:tc>
        <w:tc>
          <w:tcPr>
            <w:tcW w:w="54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29,672</w:t>
            </w:r>
          </w:p>
        </w:tc>
        <w:tc>
          <w:tcPr>
            <w:tcW w:w="26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27,967</w:t>
            </w:r>
          </w:p>
        </w:tc>
        <w:tc>
          <w:tcPr>
            <w:tcW w:w="160" w:type="dxa"/>
            <w:vAlign w:val="bottom"/>
          </w:tcPr>
          <w:p>
            <w:pPr>
              <w:spacing w:after="0"/>
              <w:rPr>
                <w:sz w:val="17"/>
                <w:szCs w:val="17"/>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55,523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55,670</w:t>
            </w:r>
          </w:p>
        </w:tc>
        <w:tc>
          <w:tcPr>
            <w:tcW w:w="100" w:type="dxa"/>
            <w:vAlign w:val="bottom"/>
          </w:tcPr>
          <w:p>
            <w:pPr>
              <w:spacing w:after="0"/>
              <w:rPr>
                <w:sz w:val="17"/>
                <w:szCs w:val="17"/>
                <w:color w:val="auto"/>
              </w:rPr>
            </w:pPr>
          </w:p>
        </w:tc>
      </w:tr>
      <w:tr>
        <w:trPr>
          <w:trHeight w:val="122"/>
        </w:trPr>
        <w:tc>
          <w:tcPr>
            <w:tcW w:w="39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55"/>
        </w:trPr>
        <w:tc>
          <w:tcPr>
            <w:tcW w:w="39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Non-GAAP Profit before Tax</w:t>
            </w:r>
          </w:p>
        </w:tc>
        <w:tc>
          <w:tcPr>
            <w:tcW w:w="500" w:type="dxa"/>
            <w:vAlign w:val="bottom"/>
            <w:shd w:val="clear" w:color="auto" w:fill="CFF0FC"/>
          </w:tcPr>
          <w:p>
            <w:pPr>
              <w:jc w:val="right"/>
              <w:ind w:right="34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53,679</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6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6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47,097</w:t>
            </w:r>
          </w:p>
        </w:tc>
        <w:tc>
          <w:tcPr>
            <w:tcW w:w="260" w:type="dxa"/>
            <w:vAlign w:val="bottom"/>
            <w:tcBorders>
              <w:right w:val="single" w:sz="8" w:color="CFF0FC"/>
            </w:tcBorders>
            <w:shd w:val="clear" w:color="auto" w:fill="CFF0FC"/>
          </w:tcPr>
          <w:p>
            <w:pPr>
              <w:spacing w:after="0"/>
              <w:rPr>
                <w:sz w:val="13"/>
                <w:szCs w:val="13"/>
                <w:color w:val="auto"/>
              </w:rPr>
            </w:pPr>
          </w:p>
        </w:tc>
        <w:tc>
          <w:tcPr>
            <w:tcW w:w="5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25,252</w:t>
            </w:r>
          </w:p>
        </w:tc>
        <w:tc>
          <w:tcPr>
            <w:tcW w:w="160" w:type="dxa"/>
            <w:vAlign w:val="bottom"/>
            <w:shd w:val="clear" w:color="auto" w:fill="CFF0FC"/>
          </w:tcPr>
          <w:p>
            <w:pPr>
              <w:spacing w:after="0"/>
              <w:rPr>
                <w:sz w:val="13"/>
                <w:szCs w:val="13"/>
                <w:color w:val="auto"/>
              </w:rPr>
            </w:pPr>
          </w:p>
        </w:tc>
        <w:tc>
          <w:tcPr>
            <w:tcW w:w="420" w:type="dxa"/>
            <w:vAlign w:val="bottom"/>
            <w:gridSpan w:val="2"/>
            <w:shd w:val="clear" w:color="auto" w:fill="CFF0FC"/>
          </w:tcPr>
          <w:p>
            <w:pPr>
              <w:ind w:left="10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100,776</w:t>
            </w:r>
          </w:p>
        </w:tc>
        <w:tc>
          <w:tcPr>
            <w:tcW w:w="34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42,962</w:t>
            </w:r>
          </w:p>
        </w:tc>
        <w:tc>
          <w:tcPr>
            <w:tcW w:w="100" w:type="dxa"/>
            <w:vAlign w:val="bottom"/>
            <w:shd w:val="clear" w:color="auto" w:fill="CFF0FC"/>
          </w:tcPr>
          <w:p>
            <w:pPr>
              <w:spacing w:after="0"/>
              <w:rPr>
                <w:sz w:val="13"/>
                <w:szCs w:val="13"/>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-334010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-334010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-334010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-334010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5"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in non-GAAP stock-based compensation charges are stock-based compensation expense and related payroll tax effects.</w:t>
      </w:r>
    </w:p>
    <w:p>
      <w:pPr>
        <w:spacing w:after="0" w:line="5" w:lineRule="exact"/>
        <w:rPr>
          <w:rFonts w:ascii="Times New Roman" w:cs="Times New Roman" w:eastAsia="Times New Roman" w:hAnsi="Times New Roman"/>
          <w:sz w:val="15"/>
          <w:szCs w:val="15"/>
          <w:color w:val="auto"/>
        </w:rPr>
      </w:pPr>
    </w:p>
    <w:p>
      <w:pPr>
        <w:jc w:val="both"/>
        <w:ind w:right="120" w:firstLine="8"/>
        <w:spacing w:after="0" w:line="234" w:lineRule="auto"/>
        <w:tabs>
          <w:tab w:leader="none" w:pos="221"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in non-GAAP other costs are non-recurring charges that are individually immaterial for separate disclosure such as project evaluation costs, which consist of costs and estimated costs incurred in connection with other non-recurring transactions, certain impacts of foreign currency exchange gain (loss), net, and income (loss) in earnings of equity investments.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20" w:type="dxa"/>
            <w:vAlign w:val="bottom"/>
            <w:gridSpan w:val="8"/>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Reconciliation of Non-GAAP Income Tax Provision and Non-GAAP Effective Tax Rate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3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80" w:type="dxa"/>
            <w:vAlign w:val="bottom"/>
            <w:gridSpan w:val="8"/>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Three-Month Period Ended</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6"/>
          </w:tcPr>
          <w:p>
            <w:pPr>
              <w:jc w:val="right"/>
              <w:ind w:right="760"/>
              <w:spacing w:after="0"/>
              <w:rPr>
                <w:sz w:val="20"/>
                <w:szCs w:val="20"/>
                <w:color w:val="auto"/>
              </w:rPr>
            </w:pPr>
            <w:r>
              <w:rPr>
                <w:rFonts w:ascii="Times New Roman" w:cs="Times New Roman" w:eastAsia="Times New Roman" w:hAnsi="Times New Roman"/>
                <w:sz w:val="15"/>
                <w:szCs w:val="15"/>
                <w:b w:val="1"/>
                <w:bCs w:val="1"/>
                <w:color w:val="auto"/>
              </w:rPr>
              <w:t>Six-Month Period Ended</w:t>
            </w: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2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right"/>
              <w:ind w:right="440"/>
              <w:spacing w:after="0" w:line="134" w:lineRule="exact"/>
              <w:rPr>
                <w:sz w:val="20"/>
                <w:szCs w:val="20"/>
                <w:color w:val="auto"/>
              </w:rPr>
            </w:pPr>
            <w:r>
              <w:rPr>
                <w:rFonts w:ascii="Times New Roman" w:cs="Times New Roman" w:eastAsia="Times New Roman" w:hAnsi="Times New Roman"/>
                <w:sz w:val="15"/>
                <w:szCs w:val="15"/>
                <w:b w:val="1"/>
                <w:bCs w:val="1"/>
                <w:color w:val="auto"/>
              </w:rPr>
              <w:t>September 25,</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8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September 25, 2026</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June 26, 2026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2026</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gridSpan w:val="4"/>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5"/>
              </w:rPr>
              <w:t>(Dollars in thousands)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60" w:type="dxa"/>
            <w:vAlign w:val="bottom"/>
            <w:gridSpan w:val="6"/>
          </w:tcPr>
          <w:p>
            <w:pPr>
              <w:jc w:val="right"/>
              <w:ind w:right="860"/>
              <w:spacing w:after="0" w:line="156" w:lineRule="exact"/>
              <w:rPr>
                <w:sz w:val="20"/>
                <w:szCs w:val="20"/>
                <w:color w:val="auto"/>
              </w:rPr>
            </w:pPr>
            <w:r>
              <w:rPr>
                <w:rFonts w:ascii="Times New Roman" w:cs="Times New Roman" w:eastAsia="Times New Roman" w:hAnsi="Times New Roman"/>
                <w:sz w:val="15"/>
                <w:szCs w:val="15"/>
                <w:b w:val="1"/>
                <w:bCs w:val="1"/>
                <w:color w:val="auto"/>
              </w:rPr>
              <w:t>(Dollars in thousands)</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GAAP Income Tax Provision (Benefit)</w:t>
            </w:r>
          </w:p>
        </w:tc>
        <w:tc>
          <w:tcPr>
            <w:tcW w:w="5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4,510</w:t>
            </w:r>
          </w:p>
        </w:tc>
        <w:tc>
          <w:tcPr>
            <w:tcW w:w="2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1,506</w:t>
            </w:r>
          </w:p>
        </w:tc>
        <w:tc>
          <w:tcPr>
            <w:tcW w:w="2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(9,298)</w:t>
            </w:r>
          </w:p>
        </w:tc>
        <w:tc>
          <w:tcPr>
            <w:tcW w:w="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6,016</w:t>
            </w:r>
          </w:p>
        </w:tc>
        <w:tc>
          <w:tcPr>
            <w:tcW w:w="2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3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(6,129)</w:t>
            </w:r>
          </w:p>
        </w:tc>
        <w:tc>
          <w:tcPr>
            <w:tcW w:w="0" w:type="dxa"/>
            <w:vAlign w:val="bottom"/>
          </w:tcPr>
          <w:p>
            <w:pPr>
              <w:spacing w:after="0"/>
              <w:rPr>
                <w:sz w:val="1"/>
                <w:szCs w:val="1"/>
                <w:color w:val="auto"/>
              </w:rPr>
            </w:pPr>
          </w:p>
        </w:tc>
      </w:tr>
      <w:tr>
        <w:trPr>
          <w:trHeight w:val="198"/>
        </w:trPr>
        <w:tc>
          <w:tcPr>
            <w:tcW w:w="37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GAAP effective tax rate</w:t>
            </w:r>
          </w:p>
        </w:tc>
        <w:tc>
          <w:tcPr>
            <w:tcW w:w="520" w:type="dxa"/>
            <w:vAlign w:val="bottom"/>
          </w:tcPr>
          <w:p>
            <w:pPr>
              <w:spacing w:after="0"/>
              <w:rPr>
                <w:sz w:val="17"/>
                <w:szCs w:val="17"/>
                <w:color w:val="auto"/>
              </w:rPr>
            </w:pPr>
          </w:p>
        </w:tc>
        <w:tc>
          <w:tcPr>
            <w:tcW w:w="100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16.2%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342.5%</w:t>
            </w:r>
          </w:p>
        </w:tc>
        <w:tc>
          <w:tcPr>
            <w:tcW w:w="12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13.3%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48.2%</w:t>
            </w:r>
          </w:p>
        </w:tc>
        <w:tc>
          <w:tcPr>
            <w:tcW w:w="0" w:type="dxa"/>
            <w:vAlign w:val="bottom"/>
          </w:tcPr>
          <w:p>
            <w:pPr>
              <w:spacing w:after="0"/>
              <w:rPr>
                <w:sz w:val="1"/>
                <w:szCs w:val="1"/>
                <w:color w:val="auto"/>
              </w:rPr>
            </w:pPr>
          </w:p>
        </w:tc>
      </w:tr>
      <w:tr>
        <w:trPr>
          <w:trHeight w:val="126"/>
        </w:trPr>
        <w:tc>
          <w:tcPr>
            <w:tcW w:w="3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Tax effect of adjustments to GAAP results</w:t>
            </w:r>
          </w:p>
        </w:tc>
        <w:tc>
          <w:tcPr>
            <w:tcW w:w="5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968</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3,071</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10,733</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4,039</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9,250</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Non-GAAP Income Tax Provision</w:t>
            </w: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00" w:type="dxa"/>
            <w:vAlign w:val="bottom"/>
            <w:vMerge w:val="continue"/>
          </w:tcPr>
          <w:p>
            <w:pPr>
              <w:spacing w:after="0"/>
              <w:rPr>
                <w:sz w:val="13"/>
                <w:szCs w:val="13"/>
                <w:color w:val="auto"/>
              </w:rPr>
            </w:pPr>
          </w:p>
        </w:tc>
        <w:tc>
          <w:tcPr>
            <w:tcW w:w="52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5,478</w:t>
            </w:r>
          </w:p>
        </w:tc>
        <w:tc>
          <w:tcPr>
            <w:tcW w:w="2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4,577</w:t>
            </w:r>
          </w:p>
        </w:tc>
        <w:tc>
          <w:tcPr>
            <w:tcW w:w="24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1,435</w:t>
            </w:r>
          </w:p>
        </w:tc>
        <w:tc>
          <w:tcPr>
            <w:tcW w:w="3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10,055</w:t>
            </w:r>
          </w:p>
        </w:tc>
        <w:tc>
          <w:tcPr>
            <w:tcW w:w="24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3,121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Non-GAAP Effective Tax Rate</w:t>
            </w:r>
          </w:p>
        </w:tc>
        <w:tc>
          <w:tcPr>
            <w:tcW w:w="5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10.2%</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9.7%</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5"/>
                <w:szCs w:val="15"/>
                <w:b w:val="1"/>
                <w:bCs w:val="1"/>
                <w:color w:val="auto"/>
              </w:rPr>
              <w:t>5.7%</w:t>
            </w:r>
          </w:p>
        </w:tc>
        <w:tc>
          <w:tcPr>
            <w:tcW w:w="1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10.0%</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b w:val="1"/>
                <w:bCs w:val="1"/>
                <w:color w:val="auto"/>
              </w:rPr>
              <w:t>7.3%</w:t>
            </w:r>
          </w:p>
        </w:tc>
        <w:tc>
          <w:tcPr>
            <w:tcW w:w="0" w:type="dxa"/>
            <w:vAlign w:val="bottom"/>
          </w:tcPr>
          <w:p>
            <w:pPr>
              <w:spacing w:after="0"/>
              <w:rPr>
                <w:sz w:val="1"/>
                <w:szCs w:val="1"/>
                <w:color w:val="auto"/>
              </w:rPr>
            </w:pPr>
          </w:p>
        </w:tc>
      </w:tr>
      <w:tr>
        <w:trPr>
          <w:trHeight w:val="1195"/>
        </w:trPr>
        <w:tc>
          <w:tcPr>
            <w:tcW w:w="3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2"/>
        </w:trPr>
        <w:tc>
          <w:tcPr>
            <w:tcW w:w="8260" w:type="dxa"/>
            <w:vAlign w:val="bottom"/>
            <w:gridSpan w:val="11"/>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Reconciliation of Non-GAAP Net Income Attributable to Allegro MicroSystems, Inc. and Non-GAAP Earnings per Share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3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gridSpan w:val="7"/>
          </w:tcPr>
          <w:p>
            <w:pPr>
              <w:jc w:val="right"/>
              <w:spacing w:after="0"/>
              <w:rPr>
                <w:sz w:val="20"/>
                <w:szCs w:val="20"/>
                <w:color w:val="auto"/>
              </w:rPr>
            </w:pPr>
            <w:r>
              <w:rPr>
                <w:rFonts w:ascii="Times New Roman" w:cs="Times New Roman" w:eastAsia="Times New Roman" w:hAnsi="Times New Roman"/>
                <w:sz w:val="15"/>
                <w:szCs w:val="15"/>
                <w:b w:val="1"/>
                <w:bCs w:val="1"/>
                <w:color w:val="auto"/>
              </w:rPr>
              <w:t>Three-Month Period Ended</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6"/>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Six-Month Period Ended</w:t>
            </w:r>
          </w:p>
        </w:tc>
        <w:tc>
          <w:tcPr>
            <w:tcW w:w="0" w:type="dxa"/>
            <w:vAlign w:val="bottom"/>
          </w:tcPr>
          <w:p>
            <w:pPr>
              <w:spacing w:after="0"/>
              <w:rPr>
                <w:sz w:val="1"/>
                <w:szCs w:val="1"/>
                <w:color w:val="auto"/>
              </w:rPr>
            </w:pPr>
          </w:p>
        </w:tc>
      </w:tr>
      <w:tr>
        <w:trPr>
          <w:trHeight w:val="134"/>
        </w:trPr>
        <w:tc>
          <w:tcPr>
            <w:tcW w:w="39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2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0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25, 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June 26, 2026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September 25, 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gridSpan w:val="4"/>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86"/>
              </w:rPr>
              <w:t>(Dollars in thousands)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6"/>
          </w:tcPr>
          <w:p>
            <w:pPr>
              <w:jc w:val="right"/>
              <w:ind w:right="780"/>
              <w:spacing w:after="0" w:line="156" w:lineRule="exact"/>
              <w:rPr>
                <w:sz w:val="20"/>
                <w:szCs w:val="20"/>
                <w:color w:val="auto"/>
              </w:rPr>
            </w:pPr>
            <w:r>
              <w:rPr>
                <w:rFonts w:ascii="Times New Roman" w:cs="Times New Roman" w:eastAsia="Times New Roman" w:hAnsi="Times New Roman"/>
                <w:sz w:val="15"/>
                <w:szCs w:val="15"/>
                <w:b w:val="1"/>
                <w:bCs w:val="1"/>
                <w:color w:val="auto"/>
              </w:rPr>
              <w:t>(Dollars in thousands)</w:t>
            </w:r>
          </w:p>
        </w:tc>
        <w:tc>
          <w:tcPr>
            <w:tcW w:w="0" w:type="dxa"/>
            <w:vAlign w:val="bottom"/>
          </w:tcPr>
          <w:p>
            <w:pPr>
              <w:spacing w:after="0"/>
              <w:rPr>
                <w:sz w:val="1"/>
                <w:szCs w:val="1"/>
                <w:color w:val="auto"/>
              </w:rPr>
            </w:pPr>
          </w:p>
        </w:tc>
      </w:tr>
      <w:tr>
        <w:trPr>
          <w:trHeight w:val="135"/>
        </w:trPr>
        <w:tc>
          <w:tcPr>
            <w:tcW w:w="39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GAAP Net Income (Loss) Attributable to Allegro</w:t>
            </w:r>
          </w:p>
        </w:tc>
        <w:tc>
          <w:tcPr>
            <w:tcW w:w="3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5"/>
                <w:szCs w:val="15"/>
                <w:b w:val="1"/>
                <w:bCs w:val="1"/>
                <w:color w:val="auto"/>
              </w:rPr>
              <w:t>MicroSystems, Inc.</w:t>
            </w:r>
            <w:r>
              <w:rPr>
                <w:rFonts w:ascii="Times New Roman" w:cs="Times New Roman" w:eastAsia="Times New Roman" w:hAnsi="Times New Roman"/>
                <w:sz w:val="20"/>
                <w:szCs w:val="20"/>
                <w:b w:val="1"/>
                <w:bCs w:val="1"/>
                <w:color w:val="auto"/>
                <w:vertAlign w:val="superscript"/>
              </w:rPr>
              <w:t>(1)</w:t>
            </w:r>
          </w:p>
        </w:tc>
        <w:tc>
          <w:tcPr>
            <w:tcW w:w="3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23,257</w:t>
            </w:r>
          </w:p>
        </w:tc>
        <w:tc>
          <w:tcPr>
            <w:tcW w:w="14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15,871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6,519</w:t>
            </w:r>
          </w:p>
        </w:tc>
        <w:tc>
          <w:tcPr>
            <w:tcW w:w="140" w:type="dxa"/>
            <w:vAlign w:val="bottom"/>
            <w:shd w:val="clear" w:color="auto" w:fill="CFF0FC"/>
          </w:tcPr>
          <w:p>
            <w:pPr>
              <w:spacing w:after="0"/>
              <w:rPr>
                <w:sz w:val="16"/>
                <w:szCs w:val="16"/>
                <w:color w:val="auto"/>
              </w:rPr>
            </w:pPr>
          </w:p>
        </w:tc>
        <w:tc>
          <w:tcPr>
            <w:tcW w:w="4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39,128</w:t>
            </w:r>
          </w:p>
        </w:tc>
        <w:tc>
          <w:tcPr>
            <w:tcW w:w="14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(6,708)</w:t>
            </w:r>
          </w:p>
        </w:tc>
        <w:tc>
          <w:tcPr>
            <w:tcW w:w="0" w:type="dxa"/>
            <w:vAlign w:val="bottom"/>
          </w:tcPr>
          <w:p>
            <w:pPr>
              <w:spacing w:after="0"/>
              <w:rPr>
                <w:sz w:val="1"/>
                <w:szCs w:val="1"/>
                <w:color w:val="auto"/>
              </w:rPr>
            </w:pPr>
          </w:p>
        </w:tc>
      </w:tr>
      <w:tr>
        <w:trPr>
          <w:trHeight w:val="156"/>
        </w:trPr>
        <w:tc>
          <w:tcPr>
            <w:tcW w:w="394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color w:val="auto"/>
              </w:rPr>
              <w:t>GAAP Basic weighted average common shares</w:t>
            </w:r>
          </w:p>
        </w:tc>
        <w:tc>
          <w:tcPr>
            <w:tcW w:w="3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186,449,984</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185,806,543</w:t>
            </w:r>
          </w:p>
        </w:tc>
        <w:tc>
          <w:tcPr>
            <w:tcW w:w="26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185,074,119</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186,128,253</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184,830,588</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GAAP Diluted weighted average common shares</w:t>
            </w:r>
          </w:p>
        </w:tc>
        <w:tc>
          <w:tcPr>
            <w:tcW w:w="3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187,717,425</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187,770,061</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186,305,785</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187,760,302</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184,830,588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GAAP Basic Income (Loss) per Share</w:t>
            </w:r>
          </w:p>
        </w:tc>
        <w:tc>
          <w:tcPr>
            <w:tcW w:w="360" w:type="dxa"/>
            <w:vAlign w:val="bottom"/>
          </w:tcPr>
          <w:p>
            <w:pPr>
              <w:jc w:val="right"/>
              <w:ind w:right="20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0.12</w:t>
            </w:r>
          </w:p>
        </w:tc>
        <w:tc>
          <w:tcPr>
            <w:tcW w:w="140" w:type="dxa"/>
            <w:vAlign w:val="bottom"/>
          </w:tcPr>
          <w:p>
            <w:pPr>
              <w:spacing w:after="0"/>
              <w:rPr>
                <w:sz w:val="13"/>
                <w:szCs w:val="13"/>
                <w:color w:val="auto"/>
              </w:rPr>
            </w:pPr>
          </w:p>
        </w:tc>
        <w:tc>
          <w:tcPr>
            <w:tcW w:w="260" w:type="dxa"/>
            <w:vAlign w:val="bottom"/>
            <w:gridSpan w:val="2"/>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0.09</w:t>
            </w:r>
          </w:p>
        </w:tc>
        <w:tc>
          <w:tcPr>
            <w:tcW w:w="26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0.04</w:t>
            </w:r>
          </w:p>
        </w:tc>
        <w:tc>
          <w:tcPr>
            <w:tcW w:w="140" w:type="dxa"/>
            <w:vAlign w:val="bottom"/>
          </w:tcPr>
          <w:p>
            <w:pPr>
              <w:spacing w:after="0"/>
              <w:rPr>
                <w:sz w:val="13"/>
                <w:szCs w:val="13"/>
                <w:color w:val="auto"/>
              </w:rPr>
            </w:pPr>
          </w:p>
        </w:tc>
        <w:tc>
          <w:tcPr>
            <w:tcW w:w="40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0.21</w:t>
            </w:r>
          </w:p>
        </w:tc>
        <w:tc>
          <w:tcPr>
            <w:tcW w:w="140" w:type="dxa"/>
            <w:vAlign w:val="bottom"/>
          </w:tcPr>
          <w:p>
            <w:pPr>
              <w:spacing w:after="0"/>
              <w:rPr>
                <w:sz w:val="13"/>
                <w:szCs w:val="13"/>
                <w:color w:val="auto"/>
              </w:rPr>
            </w:pPr>
          </w:p>
        </w:tc>
        <w:tc>
          <w:tcPr>
            <w:tcW w:w="2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b w:val="1"/>
                <w:bCs w:val="1"/>
                <w:color w:val="auto"/>
              </w:rPr>
              <w:t>(0.04)</w:t>
            </w:r>
          </w:p>
        </w:tc>
        <w:tc>
          <w:tcPr>
            <w:tcW w:w="0" w:type="dxa"/>
            <w:vAlign w:val="bottom"/>
          </w:tcPr>
          <w:p>
            <w:pPr>
              <w:spacing w:after="0"/>
              <w:rPr>
                <w:sz w:val="1"/>
                <w:szCs w:val="1"/>
                <w:color w:val="auto"/>
              </w:rPr>
            </w:pPr>
          </w:p>
        </w:tc>
      </w:tr>
      <w:tr>
        <w:trPr>
          <w:trHeight w:val="162"/>
        </w:trPr>
        <w:tc>
          <w:tcPr>
            <w:tcW w:w="39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GAAP Diluted Income (Loss) per Share</w:t>
            </w:r>
          </w:p>
        </w:tc>
        <w:tc>
          <w:tcPr>
            <w:tcW w:w="360" w:type="dxa"/>
            <w:vAlign w:val="bottom"/>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0.12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0.08</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0.03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0.21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2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(0.04)</w:t>
            </w:r>
          </w:p>
        </w:tc>
        <w:tc>
          <w:tcPr>
            <w:tcW w:w="0" w:type="dxa"/>
            <w:vAlign w:val="bottom"/>
          </w:tcPr>
          <w:p>
            <w:pPr>
              <w:spacing w:after="0"/>
              <w:rPr>
                <w:sz w:val="1"/>
                <w:szCs w:val="1"/>
                <w:color w:val="auto"/>
              </w:rPr>
            </w:pPr>
          </w:p>
        </w:tc>
      </w:tr>
      <w:tr>
        <w:trPr>
          <w:trHeight w:val="318"/>
        </w:trPr>
        <w:tc>
          <w:tcPr>
            <w:tcW w:w="394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5"/>
                <w:szCs w:val="15"/>
                <w:color w:val="auto"/>
              </w:rPr>
              <w:t>Transaction-related costs</w:t>
            </w:r>
          </w:p>
        </w:tc>
        <w:tc>
          <w:tcPr>
            <w:tcW w:w="3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Transaction-related interest</w:t>
            </w: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225</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645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450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Purchased intangible amortization</w:t>
            </w:r>
          </w:p>
        </w:tc>
        <w:tc>
          <w:tcPr>
            <w:tcW w:w="36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5,633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11,260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11,260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Restructuring costs</w:t>
            </w: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381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662</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3,736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1,043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6,756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80"/>
              <w:spacing w:after="0" w:line="176" w:lineRule="exact"/>
              <w:rPr>
                <w:sz w:val="20"/>
                <w:szCs w:val="20"/>
                <w:color w:val="auto"/>
              </w:rPr>
            </w:pPr>
            <w:r>
              <w:rPr>
                <w:rFonts w:ascii="Times New Roman" w:cs="Times New Roman" w:eastAsia="Times New Roman" w:hAnsi="Times New Roman"/>
                <w:sz w:val="15"/>
                <w:szCs w:val="15"/>
                <w:color w:val="auto"/>
              </w:rPr>
              <w:t>Stock-based compensation</w:t>
            </w:r>
            <w:r>
              <w:rPr>
                <w:rFonts w:ascii="Times New Roman" w:cs="Times New Roman" w:eastAsia="Times New Roman" w:hAnsi="Times New Roman"/>
                <w:sz w:val="20"/>
                <w:szCs w:val="20"/>
                <w:color w:val="auto"/>
                <w:vertAlign w:val="superscript"/>
              </w:rPr>
              <w:t>(2)</w:t>
            </w: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14,197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17,205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13,681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31,402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40" w:type="dxa"/>
            <w:vAlign w:val="bottom"/>
            <w:tcBorders>
              <w:bottom w:val="single" w:sz="8" w:color="CFF0FC"/>
            </w:tcBorders>
            <w:shd w:val="clear" w:color="auto" w:fill="CFF0FC"/>
          </w:tcPr>
          <w:p>
            <w:pPr>
              <w:ind w:left="80"/>
              <w:spacing w:after="0" w:line="162" w:lineRule="exact"/>
              <w:rPr>
                <w:sz w:val="20"/>
                <w:szCs w:val="20"/>
                <w:color w:val="auto"/>
              </w:rPr>
            </w:pPr>
            <w:r>
              <w:rPr>
                <w:rFonts w:ascii="Times New Roman" w:cs="Times New Roman" w:eastAsia="Times New Roman" w:hAnsi="Times New Roman"/>
                <w:sz w:val="14"/>
                <w:szCs w:val="14"/>
                <w:color w:val="auto"/>
              </w:rPr>
              <w:t>Other costs</w:t>
            </w:r>
            <w:r>
              <w:rPr>
                <w:rFonts w:ascii="Times New Roman" w:cs="Times New Roman" w:eastAsia="Times New Roman" w:hAnsi="Times New Roman"/>
                <w:sz w:val="18"/>
                <w:szCs w:val="18"/>
                <w:color w:val="auto"/>
                <w:vertAlign w:val="superscript"/>
              </w:rPr>
              <w:t>(3)</w:t>
            </w:r>
          </w:p>
        </w:tc>
        <w:tc>
          <w:tcPr>
            <w:tcW w:w="3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5,418</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5,941</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4,271</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11,359</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11,575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b w:val="1"/>
                <w:bCs w:val="1"/>
                <w:color w:val="auto"/>
              </w:rPr>
              <w:t>Total Non-GAAP Adjustments</w:t>
            </w:r>
          </w:p>
        </w:tc>
        <w:tc>
          <w:tcPr>
            <w:tcW w:w="36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25,851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29,672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27,967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55,523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55,670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4"/>
                <w:szCs w:val="14"/>
                <w:color w:val="auto"/>
              </w:rPr>
              <w:t>Tax effect of adjustments to GAAP results</w:t>
            </w:r>
            <w:r>
              <w:rPr>
                <w:rFonts w:ascii="Times New Roman" w:cs="Times New Roman" w:eastAsia="Times New Roman" w:hAnsi="Times New Roman"/>
                <w:sz w:val="18"/>
                <w:szCs w:val="18"/>
                <w:color w:val="auto"/>
                <w:vertAlign w:val="superscript"/>
              </w:rPr>
              <w:t>(4)</w:t>
            </w:r>
          </w:p>
        </w:tc>
        <w:tc>
          <w:tcPr>
            <w:tcW w:w="3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(968)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(3,071)</w:t>
            </w:r>
          </w:p>
        </w:tc>
        <w:tc>
          <w:tcPr>
            <w:tcW w:w="1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(10,733)</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(4,039)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(9,250)</w:t>
            </w:r>
          </w:p>
        </w:tc>
        <w:tc>
          <w:tcPr>
            <w:tcW w:w="0" w:type="dxa"/>
            <w:vAlign w:val="bottom"/>
          </w:tcPr>
          <w:p>
            <w:pPr>
              <w:spacing w:after="0"/>
              <w:rPr>
                <w:sz w:val="1"/>
                <w:szCs w:val="1"/>
                <w:color w:val="auto"/>
              </w:rPr>
            </w:pPr>
          </w:p>
        </w:tc>
      </w:tr>
      <w:tr>
        <w:trPr>
          <w:trHeight w:val="134"/>
        </w:trPr>
        <w:tc>
          <w:tcPr>
            <w:tcW w:w="3940" w:type="dxa"/>
            <w:vAlign w:val="bottom"/>
            <w:tcBorders>
              <w:top w:val="single" w:sz="8" w:color="CFF0FC"/>
            </w:tcBorders>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Non-GAAP Net Income Attributable to Allegro</w:t>
            </w:r>
          </w:p>
        </w:tc>
        <w:tc>
          <w:tcPr>
            <w:tcW w:w="360" w:type="dxa"/>
            <w:vAlign w:val="bottom"/>
            <w:tcBorders>
              <w:top w:val="single" w:sz="8" w:color="auto"/>
            </w:tcBorders>
            <w:vMerge w:val="restart"/>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48,140</w:t>
            </w: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vMerge w:val="restart"/>
          </w:tcPr>
          <w:p>
            <w:pPr>
              <w:spacing w:after="0"/>
              <w:rPr>
                <w:sz w:val="11"/>
                <w:szCs w:val="11"/>
                <w:color w:val="auto"/>
              </w:rPr>
            </w:pPr>
          </w:p>
        </w:tc>
        <w:tc>
          <w:tcPr>
            <w:tcW w:w="16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42,472</w:t>
            </w:r>
          </w:p>
        </w:tc>
        <w:tc>
          <w:tcPr>
            <w:tcW w:w="2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23,753</w:t>
            </w: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vMerge w:val="restart"/>
          </w:tcPr>
          <w:p>
            <w:pPr>
              <w:spacing w:after="0"/>
              <w:rPr>
                <w:sz w:val="11"/>
                <w:szCs w:val="11"/>
                <w:color w:val="auto"/>
              </w:rPr>
            </w:pPr>
          </w:p>
        </w:tc>
        <w:tc>
          <w:tcPr>
            <w:tcW w:w="3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90,612</w:t>
            </w: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vMerge w:val="restart"/>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39,712</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940" w:type="dxa"/>
            <w:vAlign w:val="bottom"/>
          </w:tcPr>
          <w:p>
            <w:pPr>
              <w:spacing w:after="0" w:line="170" w:lineRule="exact"/>
              <w:rPr>
                <w:sz w:val="20"/>
                <w:szCs w:val="20"/>
                <w:color w:val="auto"/>
              </w:rPr>
            </w:pPr>
            <w:r>
              <w:rPr>
                <w:rFonts w:ascii="Times New Roman" w:cs="Times New Roman" w:eastAsia="Times New Roman" w:hAnsi="Times New Roman"/>
                <w:sz w:val="15"/>
                <w:szCs w:val="15"/>
                <w:b w:val="1"/>
                <w:bCs w:val="1"/>
                <w:color w:val="auto"/>
              </w:rPr>
              <w:t>MicroSystems, Inc.</w:t>
            </w:r>
          </w:p>
        </w:tc>
        <w:tc>
          <w:tcPr>
            <w:tcW w:w="36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Basic weighted average common shares</w:t>
            </w:r>
          </w:p>
        </w:tc>
        <w:tc>
          <w:tcPr>
            <w:tcW w:w="3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186,449,984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185,806,543</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185,074,119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186,128,253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184,830,588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Diluted weighted average common shares</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187,717,425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187,770,061</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186,305,785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187,760,302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185,800,398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Non-GAAP Basic Earnings per Share</w:t>
            </w:r>
          </w:p>
        </w:tc>
        <w:tc>
          <w:tcPr>
            <w:tcW w:w="360" w:type="dxa"/>
            <w:vAlign w:val="bottom"/>
            <w:shd w:val="clear" w:color="auto" w:fill="CFF0FC"/>
          </w:tcPr>
          <w:p>
            <w:pPr>
              <w:jc w:val="right"/>
              <w:ind w:right="20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0.26</w:t>
            </w:r>
          </w:p>
        </w:tc>
        <w:tc>
          <w:tcPr>
            <w:tcW w:w="14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0.23</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0.13</w:t>
            </w:r>
          </w:p>
        </w:tc>
        <w:tc>
          <w:tcPr>
            <w:tcW w:w="140" w:type="dxa"/>
            <w:vAlign w:val="bottom"/>
            <w:shd w:val="clear" w:color="auto" w:fill="CFF0FC"/>
          </w:tcPr>
          <w:p>
            <w:pPr>
              <w:spacing w:after="0"/>
              <w:rPr>
                <w:sz w:val="13"/>
                <w:szCs w:val="13"/>
                <w:color w:val="auto"/>
              </w:rPr>
            </w:pPr>
          </w:p>
        </w:tc>
        <w:tc>
          <w:tcPr>
            <w:tcW w:w="400" w:type="dxa"/>
            <w:vAlign w:val="bottom"/>
            <w:gridSpan w:val="2"/>
            <w:shd w:val="clear" w:color="auto" w:fill="CFF0FC"/>
          </w:tcPr>
          <w:p>
            <w:pPr>
              <w:ind w:left="10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0.49</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0.21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Non-GAAP Diluted Earnings per Share</w:t>
            </w:r>
          </w:p>
        </w:tc>
        <w:tc>
          <w:tcPr>
            <w:tcW w:w="360" w:type="dxa"/>
            <w:vAlign w:val="bottom"/>
            <w:tcBorders>
              <w:bottom w:val="single" w:sz="8" w:color="auto"/>
            </w:tcBorders>
          </w:tcPr>
          <w:p>
            <w:pPr>
              <w:jc w:val="right"/>
              <w:ind w:right="204"/>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0.26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0.23</w:t>
            </w: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0.13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0.48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-2022475</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-2022475</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-2022475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-2022475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-1807845</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-1807845</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-1807845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-1807845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-1593850</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-1593850</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-1593850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-1593850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-856615</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-856615</wp:posOffset>
            </wp:positionV>
            <wp:extent cx="768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-856615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-856615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-642620</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-642620</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-642620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-642620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5"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GAAP Net Income (Loss) Attributable to Allegro MicroSystems, Inc. represents GAAP Net Income (Loss) adjusted for Net Income Attributable to non-controlling interests.</w:t>
      </w:r>
    </w:p>
    <w:p>
      <w:pPr>
        <w:spacing w:after="0" w:line="5" w:lineRule="exact"/>
        <w:rPr>
          <w:rFonts w:ascii="Times New Roman" w:cs="Times New Roman" w:eastAsia="Times New Roman" w:hAnsi="Times New Roman"/>
          <w:sz w:val="15"/>
          <w:szCs w:val="15"/>
          <w:color w:val="auto"/>
        </w:rPr>
      </w:pPr>
    </w:p>
    <w:p>
      <w:pPr>
        <w:ind w:left="220" w:hanging="212"/>
        <w:spacing w:after="0" w:line="225" w:lineRule="auto"/>
        <w:tabs>
          <w:tab w:leader="none" w:pos="2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in non-GAAP stock-based compensation charges are stock-based compensation expense and related payroll tax effects.</w:t>
      </w:r>
    </w:p>
    <w:p>
      <w:pPr>
        <w:jc w:val="both"/>
        <w:ind w:right="120" w:firstLine="8"/>
        <w:spacing w:after="0" w:line="225" w:lineRule="auto"/>
        <w:tabs>
          <w:tab w:leader="none" w:pos="218"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in non-GAAP other costs are non-recurring charges that are individually immaterial for separate disclosure, such as project evaluation costs, which consists of costs and estimated costs incurred in connection with other non-recurring transactions, certain impacts of foreign currency exchange gain (loss), net, and income (loss) in earnings of equity investments.</w:t>
      </w:r>
    </w:p>
    <w:p>
      <w:pPr>
        <w:ind w:right="120" w:firstLine="8"/>
        <w:spacing w:after="0" w:line="239" w:lineRule="auto"/>
        <w:tabs>
          <w:tab w:leader="none" w:pos="21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calculate the tax effect of adjustments to GAAP results, the Company considers each Non-GAAP adjustment by tax jurisdiction, reverses all discrete items and non-recurring law changes to calculate an annual NG ETR. This NG ETR is then applied to Non-GAAP Profit Before Tax to arrive at the tax effect of adjustments to 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02"/>
        </w:trPr>
        <w:tc>
          <w:tcPr>
            <w:tcW w:w="8100" w:type="dxa"/>
            <w:vAlign w:val="bottom"/>
            <w:gridSpan w:val="13"/>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Reconciliation of Non-GAAP Free Cash Flow and Non-GAAP Free Cash Flow as Percentage of Net Sales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40" w:type="dxa"/>
            <w:vAlign w:val="bottom"/>
            <w:gridSpan w:val="7"/>
          </w:tcPr>
          <w:p>
            <w:pPr>
              <w:jc w:val="right"/>
              <w:spacing w:after="0"/>
              <w:rPr>
                <w:sz w:val="20"/>
                <w:szCs w:val="20"/>
                <w:color w:val="auto"/>
              </w:rPr>
            </w:pPr>
            <w:r>
              <w:rPr>
                <w:rFonts w:ascii="Times New Roman" w:cs="Times New Roman" w:eastAsia="Times New Roman" w:hAnsi="Times New Roman"/>
                <w:sz w:val="15"/>
                <w:szCs w:val="15"/>
                <w:b w:val="1"/>
                <w:bCs w:val="1"/>
                <w:color w:val="auto"/>
              </w:rPr>
              <w:t>Three-Month Period Ended</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6"/>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Six-Month Period Ended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tcBorders>
              <w:top w:val="single" w:sz="8" w:color="auto"/>
            </w:tcBorders>
            <w:gridSpan w:val="3"/>
          </w:tcPr>
          <w:p>
            <w:pPr>
              <w:jc w:val="right"/>
              <w:ind w:right="34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25,</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2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right"/>
              <w:ind w:right="32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25,</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0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98"/>
              </w:rPr>
              <w:t>June 26, 2026</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2026</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in</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gridSpan w:val="5"/>
          </w:tcPr>
          <w:p>
            <w:pPr>
              <w:jc w:val="right"/>
              <w:ind w:right="120"/>
              <w:spacing w:after="0" w:line="156" w:lineRule="exact"/>
              <w:rPr>
                <w:sz w:val="20"/>
                <w:szCs w:val="20"/>
                <w:color w:val="auto"/>
              </w:rPr>
            </w:pPr>
            <w:r>
              <w:rPr>
                <w:rFonts w:ascii="Times New Roman" w:cs="Times New Roman" w:eastAsia="Times New Roman" w:hAnsi="Times New Roman"/>
                <w:sz w:val="15"/>
                <w:szCs w:val="15"/>
                <w:b w:val="1"/>
                <w:bCs w:val="1"/>
                <w:color w:val="auto"/>
              </w:rPr>
              <w:t>(Dollars in thousands)</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(Dollars</w:t>
            </w:r>
          </w:p>
        </w:tc>
        <w:tc>
          <w:tcPr>
            <w:tcW w:w="300" w:type="dxa"/>
            <w:vAlign w:val="bottom"/>
            <w:gridSpan w:val="2"/>
            <w:vMerge w:val="continue"/>
          </w:tcPr>
          <w:p>
            <w:pPr>
              <w:spacing w:after="0"/>
              <w:rPr>
                <w:sz w:val="13"/>
                <w:szCs w:val="13"/>
                <w:color w:val="auto"/>
              </w:rPr>
            </w:pPr>
          </w:p>
        </w:tc>
        <w:tc>
          <w:tcPr>
            <w:tcW w:w="122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thousands)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GAAP Operating Cash Flow</w:t>
            </w:r>
          </w:p>
        </w:tc>
        <w:tc>
          <w:tcPr>
            <w:tcW w:w="1140" w:type="dxa"/>
            <w:vAlign w:val="bottom"/>
            <w:gridSpan w:val="2"/>
            <w:shd w:val="clear" w:color="auto" w:fill="CFF0FC"/>
          </w:tcPr>
          <w:p>
            <w:pPr>
              <w:jc w:val="right"/>
              <w:ind w:right="62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96"/>
              </w:rPr>
              <w:t>36,848</w:t>
            </w:r>
          </w:p>
        </w:tc>
        <w:tc>
          <w:tcPr>
            <w:tcW w:w="2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21,989</w:t>
            </w:r>
          </w:p>
        </w:tc>
        <w:tc>
          <w:tcPr>
            <w:tcW w:w="3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20,362</w:t>
            </w:r>
          </w:p>
        </w:tc>
        <w:tc>
          <w:tcPr>
            <w:tcW w:w="26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58,837</w:t>
            </w:r>
          </w:p>
        </w:tc>
        <w:tc>
          <w:tcPr>
            <w:tcW w:w="2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81,980</w:t>
            </w: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8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GAAP Operating Cash Flow (% of net sales)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b w:val="1"/>
                <w:bCs w:val="1"/>
                <w:color w:val="auto"/>
              </w:rPr>
              <w:t>13.3%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8.5%</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b w:val="1"/>
                <w:bCs w:val="1"/>
                <w:color w:val="auto"/>
              </w:rPr>
              <w:t>11.0%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b w:val="1"/>
                <w:bCs w:val="1"/>
                <w:color w:val="auto"/>
              </w:rPr>
              <w:t>19.6%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Non-GAAP adjustments</w:t>
            </w: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8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Purchases of property, plant and equipment</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gridSpan w:val="2"/>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(6,343)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(8,017)</w:t>
            </w:r>
          </w:p>
        </w:tc>
        <w:tc>
          <w:tcPr>
            <w:tcW w:w="100" w:type="dxa"/>
            <w:vAlign w:val="bottom"/>
          </w:tcPr>
          <w:p>
            <w:pPr>
              <w:spacing w:after="0"/>
              <w:rPr>
                <w:sz w:val="14"/>
                <w:szCs w:val="14"/>
                <w:color w:val="auto"/>
              </w:rPr>
            </w:pPr>
          </w:p>
        </w:tc>
        <w:tc>
          <w:tcPr>
            <w:tcW w:w="14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(6,444)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(14,360)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(17,044)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2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Non-GAAP Free Cash Flow</w:t>
            </w:r>
          </w:p>
        </w:tc>
        <w:tc>
          <w:tcPr>
            <w:tcW w:w="1140" w:type="dxa"/>
            <w:vAlign w:val="bottom"/>
            <w:gridSpan w:val="2"/>
            <w:shd w:val="clear" w:color="auto" w:fill="CFF0FC"/>
          </w:tcPr>
          <w:p>
            <w:pPr>
              <w:jc w:val="right"/>
              <w:ind w:right="624"/>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6"/>
              </w:rPr>
              <w:t>30,505</w:t>
            </w:r>
          </w:p>
        </w:tc>
        <w:tc>
          <w:tcPr>
            <w:tcW w:w="2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13,972</w:t>
            </w:r>
          </w:p>
        </w:tc>
        <w:tc>
          <w:tcPr>
            <w:tcW w:w="3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13,918</w:t>
            </w:r>
          </w:p>
        </w:tc>
        <w:tc>
          <w:tcPr>
            <w:tcW w:w="26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44,477</w:t>
            </w:r>
          </w:p>
        </w:tc>
        <w:tc>
          <w:tcPr>
            <w:tcW w:w="2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ind w:left="8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64,936</w:t>
            </w: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Non-GAAP Free Cash Flow (% of net sales)</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11.0%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5.4%</w:t>
            </w:r>
          </w:p>
        </w:tc>
        <w:tc>
          <w:tcPr>
            <w:tcW w:w="10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-136525</wp:posOffset>
            </wp:positionV>
            <wp:extent cx="1111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-136525</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-136525</wp:posOffset>
            </wp:positionV>
            <wp:extent cx="1111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-136525</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-136525</wp:posOffset>
            </wp:positionV>
            <wp:extent cx="111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Jalene Hoover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of Investor Relations &amp;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(512) 751-6526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jhoover@allegromicro.com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2" w:right="39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2026-10-29T06:11:28Z</dcterms:created>
  <dcterms:modified xsi:type="dcterms:W3CDTF">2026-10-29T06:11:28Z</dcterms:modified>
</cp:coreProperties>
</file>