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FORM 10-K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March 25, 2022</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9" w:lineRule="exact"/>
        <w:rPr>
          <w:sz w:val="24"/>
          <w:szCs w:val="24"/>
          <w:color w:val="auto"/>
        </w:rPr>
      </w:pPr>
    </w:p>
    <w:p>
      <w:pPr>
        <w:ind w:left="31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3476625</wp:posOffset>
            </wp:positionH>
            <wp:positionV relativeFrom="paragraph">
              <wp:posOffset>-5080</wp:posOffset>
            </wp:positionV>
            <wp:extent cx="1694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001-39675</w:t>
      </w:r>
    </w:p>
    <w:p>
      <w:pPr>
        <w:spacing w:after="0" w:line="2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color w:val="auto"/>
        </w:rPr>
        <w:t>__________________________________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ALLEGRO MICROSYSTEMS,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color w:val="auto"/>
        </w:rPr>
        <w:t>__________________________________</w:t>
      </w:r>
    </w:p>
    <w:p>
      <w:pPr>
        <w:spacing w:after="0" w:line="174" w:lineRule="exact"/>
        <w:rPr>
          <w:sz w:val="24"/>
          <w:szCs w:val="24"/>
          <w:color w:val="auto"/>
        </w:rPr>
      </w:pPr>
    </w:p>
    <w:tbl>
      <w:tblPr>
        <w:tblLayout w:type="fixed"/>
        <w:tblInd w:w="1620" w:type="dxa"/>
        <w:tblCellMar>
          <w:top w:w="0" w:type="dxa"/>
          <w:left w:w="0" w:type="dxa"/>
          <w:bottom w:w="0" w:type="dxa"/>
          <w:right w:w="0" w:type="dxa"/>
        </w:tblCellMar>
      </w:tblPr>
      <w:tr>
        <w:trPr>
          <w:trHeight w:val="21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 w:type="dxa"/>
            <w:vAlign w:val="bottom"/>
          </w:tcPr>
          <w:p>
            <w:pPr>
              <w:spacing w:after="0"/>
              <w:rPr>
                <w:sz w:val="18"/>
                <w:szCs w:val="18"/>
                <w:color w:val="auto"/>
              </w:rPr>
            </w:pPr>
          </w:p>
        </w:tc>
        <w:tc>
          <w:tcPr>
            <w:tcW w:w="3360" w:type="dxa"/>
            <w:vAlign w:val="bottom"/>
            <w:tcBorders>
              <w:bottom w:val="single" w:sz="8" w:color="auto"/>
            </w:tcBorders>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46-2405937</w:t>
            </w:r>
          </w:p>
        </w:tc>
      </w:tr>
      <w:tr>
        <w:trPr>
          <w:trHeight w:val="189"/>
        </w:trPr>
        <w:tc>
          <w:tcPr>
            <w:tcW w:w="4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55"/>
        </w:trPr>
        <w:tc>
          <w:tcPr>
            <w:tcW w:w="4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955 Perimeter Road</w:t>
            </w:r>
          </w:p>
        </w:tc>
        <w:tc>
          <w:tcPr>
            <w:tcW w:w="3360" w:type="dxa"/>
            <w:vAlign w:val="bottom"/>
          </w:tcPr>
          <w:p>
            <w:pPr>
              <w:spacing w:after="0"/>
              <w:rPr>
                <w:sz w:val="24"/>
                <w:szCs w:val="24"/>
                <w:color w:val="auto"/>
              </w:rPr>
            </w:pPr>
          </w:p>
        </w:tc>
      </w:tr>
      <w:tr>
        <w:trPr>
          <w:trHeight w:val="219"/>
        </w:trPr>
        <w:tc>
          <w:tcPr>
            <w:tcW w:w="4660" w:type="dxa"/>
            <w:vAlign w:val="bottom"/>
            <w:gridSpan w:val="2"/>
          </w:tcPr>
          <w:p>
            <w:pPr>
              <w:ind w:left="1400"/>
              <w:spacing w:after="0"/>
              <w:rPr>
                <w:sz w:val="20"/>
                <w:szCs w:val="20"/>
                <w:color w:val="auto"/>
              </w:rPr>
            </w:pPr>
            <w:r>
              <w:rPr>
                <w:rFonts w:ascii="Times New Roman" w:cs="Times New Roman" w:eastAsia="Times New Roman" w:hAnsi="Times New Roman"/>
                <w:sz w:val="16"/>
                <w:szCs w:val="16"/>
                <w:b w:val="1"/>
                <w:bCs w:val="1"/>
                <w:color w:val="auto"/>
              </w:rPr>
              <w:t>Manchester, New Hampshire</w:t>
            </w:r>
          </w:p>
        </w:tc>
        <w:tc>
          <w:tcPr>
            <w:tcW w:w="3360" w:type="dxa"/>
            <w:vAlign w:val="bottom"/>
          </w:tcPr>
          <w:p>
            <w:pPr>
              <w:jc w:val="right"/>
              <w:ind w:right="1404"/>
              <w:spacing w:after="0"/>
              <w:rPr>
                <w:sz w:val="20"/>
                <w:szCs w:val="20"/>
                <w:color w:val="auto"/>
              </w:rPr>
            </w:pPr>
            <w:r>
              <w:rPr>
                <w:rFonts w:ascii="Times New Roman" w:cs="Times New Roman" w:eastAsia="Times New Roman" w:hAnsi="Times New Roman"/>
                <w:sz w:val="16"/>
                <w:szCs w:val="16"/>
                <w:b w:val="1"/>
                <w:bCs w:val="1"/>
                <w:color w:val="auto"/>
              </w:rPr>
              <w:t>03103</w:t>
            </w:r>
          </w:p>
        </w:tc>
      </w:tr>
      <w:tr>
        <w:trPr>
          <w:trHeight w:val="187"/>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 w:type="dxa"/>
            <w:vAlign w:val="bottom"/>
          </w:tcPr>
          <w:p>
            <w:pPr>
              <w:spacing w:after="0"/>
              <w:rPr>
                <w:sz w:val="16"/>
                <w:szCs w:val="16"/>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(603) 626-2300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color w:val="auto"/>
        </w:rPr>
        <w:t>__________________________________</w:t>
      </w:r>
    </w:p>
    <w:p>
      <w:pPr>
        <w:spacing w:after="0" w:line="4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ALGM</w:t>
            </w:r>
          </w:p>
        </w:tc>
        <w:tc>
          <w:tcPr>
            <w:tcW w:w="120" w:type="dxa"/>
            <w:vAlign w:val="bottom"/>
          </w:tcPr>
          <w:p>
            <w:pPr>
              <w:spacing w:after="0"/>
              <w:rPr>
                <w:sz w:val="19"/>
                <w:szCs w:val="19"/>
                <w:color w:val="auto"/>
              </w:rPr>
            </w:pPr>
          </w:p>
        </w:tc>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327"/>
        </w:trPr>
        <w:tc>
          <w:tcPr>
            <w:tcW w:w="8260" w:type="dxa"/>
            <w:vAlign w:val="bottom"/>
            <w:gridSpan w:val="5"/>
          </w:tcPr>
          <w:p>
            <w:pPr>
              <w:jc w:val="center"/>
              <w:ind w:left="289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2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298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4"/>
        </w:trPr>
        <w:tc>
          <w:tcPr>
            <w:tcW w:w="826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98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8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51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5"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3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5"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As of September 24, 2021, the last business day of the registrant’s most recently completed second fiscal quarter, the aggregate market value of the voting and non-voting common equity held by non-affiliates was $1.9 billion based on the closing sale price as reported on the NASDAQ Global Select Market on such date.</w:t>
      </w:r>
    </w:p>
    <w:p>
      <w:pPr>
        <w:spacing w:after="0" w:line="1" w:lineRule="exact"/>
        <w:rPr>
          <w:sz w:val="24"/>
          <w:szCs w:val="24"/>
          <w:color w:val="auto"/>
        </w:rPr>
      </w:pPr>
    </w:p>
    <w:p>
      <w:pPr>
        <w:jc w:val="right"/>
        <w:ind w:right="3760"/>
        <w:spacing w:after="0" w:line="396" w:lineRule="auto"/>
        <w:rPr>
          <w:sz w:val="20"/>
          <w:szCs w:val="20"/>
          <w:color w:val="auto"/>
        </w:rPr>
      </w:pPr>
      <w:r>
        <w:rPr>
          <w:rFonts w:ascii="Times New Roman" w:cs="Times New Roman" w:eastAsia="Times New Roman" w:hAnsi="Times New Roman"/>
          <w:sz w:val="16"/>
          <w:szCs w:val="16"/>
          <w:color w:val="auto"/>
        </w:rPr>
        <w:t xml:space="preserve">As of May 6, 2022, the registrant had 190,500,630 shares of common stock, $0.01 par value per share, outstanding. </w:t>
      </w:r>
      <w:r>
        <w:rPr>
          <w:rFonts w:ascii="Times New Roman" w:cs="Times New Roman" w:eastAsia="Times New Roman" w:hAnsi="Times New Roman"/>
          <w:sz w:val="16"/>
          <w:szCs w:val="16"/>
          <w:b w:val="1"/>
          <w:bCs w:val="1"/>
          <w:color w:val="auto"/>
        </w:rPr>
        <w:t>DOCUMENTS INCORPORATED BY REFERENCE</w:t>
      </w:r>
    </w:p>
    <w:p>
      <w:pPr>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for its 2022 Annual Meeting of Stockholders to be filed pursuant to Regulation 14A within 120 days of the end of the registrant’s fiscal year ended March 25, 2022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Forward Looking Statements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6"/>
              </w:rPr>
              <w:t>Business</w:t>
            </w:r>
          </w:p>
        </w:tc>
        <w:tc>
          <w:tcPr>
            <w:tcW w:w="8140" w:type="dxa"/>
            <w:vAlign w:val="bottom"/>
            <w:gridSpan w:val="28"/>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740" w:type="dxa"/>
            <w:vAlign w:val="bottom"/>
            <w:gridSpan w:val="19"/>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21"/>
                <w:szCs w:val="21"/>
                <w:color w:val="auto"/>
              </w:rPr>
            </w:pP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Mine Safety Disclosures</w:t>
            </w:r>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9"/>
          </w:tcPr>
          <w:p>
            <w:pPr>
              <w:spacing w:after="0" w:line="202"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7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gridSpan w:val="4"/>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7"/>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300" w:type="dxa"/>
            <w:vAlign w:val="bottom"/>
            <w:gridSpan w:val="3"/>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20" w:type="dxa"/>
            <w:vAlign w:val="bottom"/>
            <w:gridSpan w:val="21"/>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9C.</w:t>
            </w: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878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780" w:type="dxa"/>
            <w:vAlign w:val="bottom"/>
            <w:gridSpan w:val="30"/>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2"/>
          </w:tcPr>
          <w:p>
            <w:pPr>
              <w:spacing w:after="0" w:line="202"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80" w:type="dxa"/>
            <w:vAlign w:val="bottom"/>
            <w:gridSpan w:val="8"/>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00" w:type="dxa"/>
            <w:vAlign w:val="bottom"/>
            <w:gridSpan w:val="2"/>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40" w:type="dxa"/>
            <w:vAlign w:val="bottom"/>
            <w:gridSpan w:val="5"/>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87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00" w:type="dxa"/>
            <w:vAlign w:val="bottom"/>
            <w:gridSpan w:val="14"/>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Index to Financial Statements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Reports of Independent Public Accounting Firm</w:t>
            </w:r>
          </w:p>
        </w:tc>
        <w:tc>
          <w:tcPr>
            <w:tcW w:w="5300" w:type="dxa"/>
            <w:vAlign w:val="bottom"/>
            <w:gridSpan w:val="10"/>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1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380" w:type="dxa"/>
            <w:vAlign w:val="bottom"/>
            <w:gridSpan w:val="2"/>
          </w:tcPr>
          <w:p>
            <w:pPr>
              <w:spacing w:after="0"/>
              <w:rPr>
                <w:sz w:val="21"/>
                <w:szCs w:val="21"/>
                <w:color w:val="auto"/>
              </w:rPr>
            </w:pPr>
          </w:p>
        </w:tc>
        <w:tc>
          <w:tcPr>
            <w:tcW w:w="5040" w:type="dxa"/>
            <w:vAlign w:val="bottom"/>
            <w:gridSpan w:val="9"/>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040" w:type="dxa"/>
            <w:vAlign w:val="bottom"/>
            <w:gridSpan w:val="9"/>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420" w:type="dxa"/>
            <w:vAlign w:val="bottom"/>
            <w:gridSpan w:val="11"/>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1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Annual Report, including statements regarding our future results of operations and financial position, business strategy, the impact of the ongoing and global COVID-19 pandemic on our business, prospective products and the plans and objectives of management for future operations, may be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Statements regarding our future results of operations and financial position, business strategy and plans and objectives of management for future operations, including, among others, statements regarding the liquidity, growth and profitability strategies and factors and trends affecting our business are forward-looking statements. Without limiting the foregoing, in some cases, you can identify forward-looking statements by terms such as “aim,” “may,” “will,” “should,” “expect,” “exploring,” “plan,” “anticipate,” “could,” “intend,” “target,” “project,” “contemplate,” “believe,” “estimate,” “predict,” “potential,” “seek,”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7. “Management’s Discussion and Analysis of Financial Condition and Results of Operations” and Part I, Item 1A “Risk Factors” in this Annual Report. These risks and uncertainties include, but are not limited to:</w:t>
      </w:r>
    </w:p>
    <w:p>
      <w:pPr>
        <w:spacing w:after="0" w:line="7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volatility in general economic conditions, including as a result of the COVID-19 pandemic, particularly in the automotive market;</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expand our market share and increase our net sales and profitability;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wafer fabrication facilities and suppliers of other materials;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adjust purchase commitments and inventory management based on changing market conditions or customer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our product mix or customer mix, which could negatively impact our gross margin;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analog semiconductor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downturn in the automotive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compensate for decreases in average selling prices of our products and increases in input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at our primary third-party wafer fabrication facilities;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sustained yield problems or other delays at our third-party wafer fabrication facilities or in the final assembly and test of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benefits of past and potential future initiatives designed to improve our competitiveness, growth and profitability;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our quarterly net sales and operating results;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supply chain volume to account for changing market conditions and customer demand;</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wafer fabrication facilities and suppliers of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manufacturing operations in the Philippines;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to generate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induced lock-downs and suppression on our supply chain and customer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 features or new products in a timely and cost-effective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slowdown in the growth of our end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significant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customers’ quality requirements;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p>
    <w:p>
      <w:pPr>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design win process and our ability to recover design and development expenses and to generate timely or sufficient net sales or margins;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trade policies, including the imposition of tariffs and export restrictions;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exposures to warranty claims, product liability claims and product recalls;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international customers and operations;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rebates, tax credits and other financial incentives on end-user demands for certain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environmental and occupational health and safety, anti-corruption and anti-bribery, and trade controls;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to support our growth strategy;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may limit our flexibility to operate our business;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to retain key and highly skilled personnel;</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technology and inventions through patents or trade secrets;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without infringing third-party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breaches of our information technology systems or those of our third-party service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substantial control over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the “corporate opportunity” doctrine to any director or stockholder who is not employed by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impact on the price of our shares upon future issuance by us or future sales by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intent to declare or pay dividends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and General Corporation Law of the State of Delaware (the “DGCL”);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provision in our Certificate of Incorporation for disputes with stockholders;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implement or maintain effective internal control over financial reporting;</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or the adoption of new tax legislation;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beyond our control.</w:t>
      </w:r>
    </w:p>
    <w:p>
      <w:pPr>
        <w:spacing w:after="0" w:line="9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in this Annual Report, whether as a result of any new information, future events or otherwise.</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“we,” “us,” “our,” the “Company” and “Allegro” refer to the operations of Allegro MicroSystems,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mission is to be a global leader in semiconductor sensing and power solutions for motion control and energy-efficient systems in automotive and industrial applications, moving the world to a safer and more sustainable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is a leading global designer, developer, fabless manufacturer and marketer of sensor integrated circuits (“ICs”) and application-specific analog power ICs enabling critical technologies in the automotive and industrial markets. We are a leading supplier of power ICs and a market share leader in magnetic sensor ICs driven by our market leadership in the automotive market. Our products are foundational to automotive and industrial electronic systems. Our sensor ICs enable our customers to precisely measure motion, speed, position and current, while our power ICs include high-temperature and high-voltage capable motor driver, power management and light emitting diode (“LED”) driver ICs. Our photonics portfolio provides eye-safe distance measurement and 3D imaging solutions. We believe that our technology expertise combined with our deep applications knowledge and strong customer relationships enable us to develop solutions that provide more value to customers than typical ICs. Compared to a typical IC, our solutions are more integrated, intelligent and sophisticated for complex applications and are easier for customers to use.</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Growth in the global semiconductor industry has traditionally been driven by the consumer market. Looking ahead, industry growth is expected to be driven by technology mega trends in the automotive and industrial markets. These mega trends have created requirements for new technologies in vehicles, both under the hood and in the cabin, to support vehicle electrification and advanced driver assistance systems (“ADAS”). These shifts also require technology to enable intelligence and automation in factories and to enable energy efficiency in data centers and green energy applications. According to industry experts, these mega trends are expected to dramatically increase the demand for sensing and power solutions like the ones we develop. We believe our patented portfolio of sensor and power ICs and photonics components provide the underlying technology required to establish an early lead in the market and win in the presence of larger competitors.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longstanding history of innovation over multiple economic and technology cycles in the semiconductor industry is built on our market leading magnetic sensor IC technology. Our “first of its kind” approach took the complexity of magnetic systems design and embedded it within our solutions, dramatically simplifying the customers’ design effort while increasing system reliability. This is a pattern we have repeated over consecutive generations of products, enabling us to establish a strong presence in the most rigorous and demanding automotive markets. Our portfolio now includes more than 1,000 products, and we ship over 1.5 billion units annually to more than 10,000 customers worldwide. By developing sophisticated, analog mixed-signal IC solutions that incorporate our patented intellectual property, proprietary and robust process technologies and our unique packaging know-how, we believe we are well-positioned to compete across all of our target markets. Our established position as an incumbent supplier for the automotive market and our long product life cycles attest to the strength of this competitive advantage.</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value proposition is based on providing complete IC solutions that sense, regulate and drive a variety of mechanical systems. This includes sensing angular or linear position, driving an electric motor or actuator, and regulating the power applied to sensing and driving circuits so they operate safely and efficiently. These capabilities are based on fundamental technical advances we have made in the field of Hall-effect and xMR magnetic sensors and BCD power ICs. We continue to be instrumental in developing Hall-effect and magnetoresistive transducers (“xMR”) and power DMOS devices on silicon, application-optimized packaging, high-temperature operation, high-speed precision signal paths for signal processing, and 100-volt (“100V”) capable Bipolar-CMOS-DMOS (“BCD”) wafer technology. Our photonics portfolio of ultra-miniature lasers and highly sensitive photodetectors relies on proprietary wafer and packaging technologies. In Hybrid Electric Vehicles (“HEV”), Electric Vehicles (“EV”) and ADAS applications, these innovations translate to increased driving range for an electric vehicle, smaller and more reliable power conversion systems, improved safety and efficiency of motor and power management systems and safer and more reliable autonomous driving through long-range object detection. In the industrial market, these technologies enable the automation at the heart of the industrial transformation commonly referred to as “Industry 4.0.” These innovations also improve reliability to avoid factory downtime, accurately measure current to support increased energy efficiency for high-density data centers and green energy applications and reduce the solution footprint to lower total system cost.</w:t>
      </w:r>
    </w:p>
    <w:p>
      <w:pPr>
        <w:spacing w:after="0" w:line="8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maintained our sensor IC leadership and built our power IC business through successfully developing deep customer relationships over time. We commonly collaborate with customers early on over a multi-year period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design products capable of meeting demanding performance and quality requirements. Through this customer collaboration in product design, we believe we have unique insight into market trends and customer requirements for new, improved and innovative products. We believe that these insights enable us to develop differentiated solutions, often in advance of our competitors.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customer list includes virtually all of the world’s top automotive and industrial companies. We are a preferred vendor to tier-one suppliers in the automotive industry that supply parts or systems directly to original equipment manufacturers (“OEMs”). Our products can be found in vehicles built by nearly every automotive OEM worldwide and in many common industrial systems. We support customers through design and application centers located in North America, South America, Asia and Europe. Our local teams in these centers work closely with our customers on their unique design requirements, often acting as an extension of a customer’s development team.</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2016, we began a multi-year strategic transition to extend our market leadership in high-growth markets, improve our operating model through a fabless and asset-lite manufacturing strategy, increase our IC design footprint and capacity, and accelerate growth through enhanced sales operations. To date, we believe we have begun to successfully realize many of the key objectives of this transition, and we expect to continue to benefit from initiatives put in place to further enhance our competitiveness, growth and profitability. As part of our strategic transformation, we began to streamline manufacturing to reduce fixed costs. This resulted in the divestiture of our wafer manufacturing facility, Polar Semiconductor, LLC (“PSL”), in March 2020 (see “The PSL Divestiture” below), and the closure of our manufacturing facility in Thailand (the “AMTC Facility”) as of March 2021. In our current fabless, asset-lite manufacturing model, we use external wafer manufacturing consisting of both standard and proprietary processes, along with internal and external assembly and test capabilities to provide both flexibility and scale. Through our subcontractor manufacturers, we are able to employ our proprietary wafer fabrication processes while leveraging our subcontractors’ manufacturing technologies and high-volume capacity. Our use of both internal and external assembly and test capabilities is designed to balance the protection of our proprietary technology and processes while achieving automotive quality manufacturing at scale.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Within the global semiconductor industry, we focus on the magnetic sensor, power management IC and photonic Light Detection and Ranging (“LiDAR”) markets.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Powertrain Markets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 leading provider of sensing and power solutions for vehicle electrification, building on our decades of experience in powertrain efficiency and performance leadership in technologies that reduce emissions. The ability to improve efficiency is critical as OEMs strive to comply with increasingly stringent regulations and heightened customer awareness of the environmental impact of high emissions.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xEVs become a meaningful share of the automotive market, OEMs face challenges and opportunities to change system architectures in order to reduce complexities while achieving optimal system efficiency and vehicle range. This presents a number of new socket opportunities for semiconductors, and we expect our content per vehicle will continue to increase, driven by research and development innovation to serve this high-growth market.</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the combination of an internal combustion engine and an electric powertrain balances efficiency and cost, production of vehicles that have both ICE and an electric powertrain are expected to represent the majority of xEV shipments through 2030. As a proven and experienced supplier of ICE powertrain ICs that support engine efficiency, and as an expert in delivering ICs supporting power efficiency in HEV and electric vehicles, we believe we are uniquely positioned to support the intersection of ICE and electric powertrains, providing the critical automotive-grade components required to enable energy-efficient and cost-effective hybrid vehicles. We believe this allows us to take advantage of the significant semiconductor content increases expected to result from the xEV migration.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ADAS and Autonomous Vehicles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Advanced Driver Assistance Systems (“ADAS”) capabilities are considered some of the most desirable features in modern vehicles and are already being adopted in vehicles worldwide. Industry experts expect ADAS feature adoption will continue to increase over time. ADAS is a precursor to fully autonomous vehicles, and as ADAS features become more sophisticated, and adoption increases, demand for our sensor and power ICs is expected to expand from steering into additional braking and new radar and LiDAR applications. Based on industry forecasts, we believe the transition to vehicles that incorporate ADAS level 2 through 5 technologies and strong adoption of sensors and power management products 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these vehicles will enable us to increase our total available market related to ADAS and related Safety &amp; Chassis technologies.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devices play a key role in advanced driver assistance systems, which have three main functions: sense, think and act. Our solutions today address the critical “act” function, for example, reacting to system inputs to enable collision avoidance, lane keeping, or self-park features through automatic steering and braking. A steering system equipped with even a modest degree of automation utilizes products across our entire portfolio, including sensors, power management ICs and motor driver ICs, which we believe is indicative of the size of our potential market opportunity as ADAS applications become increasingly more sophisticated.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portfolio of photonic and 3D sensing devices, through our acquisition of Voxtel, Inc. (“Voxtel”), addresses the “sense” opportunity in ADAS systems. Our LiDAR components, which include ultra-miniature lasers, photodetectors and custom integrated circuits, focus on eye-safe technology that provides high-accuracy distance measurements used to generate 3D LiDAR images required for object detection and avoidance when driving at highway speeds.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the market is still in the early stages of adopting new ADAS technologies, we already ship more than 150 million devices every year that enable fundamental safety and drive features in ADAS applications. We believe our track record of supplying devices for safety applications and experience reliably supporting ADAS features in high-end vehicles, combined with increased penetration of ADAS as it scales from luxury vehicles to mainstream and economy vehicles, positions us to expand our early lead in this rapidly growing opportunity.</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Data Center and Communications Infrastructure</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Exponential growth of internet traffic, proliferation of connected devices and global demand for cloud computing services have been driving rapid growth in data center and communications infrastructure spending. A key challenge faced by data center operators is power management. Continued growth of data center buildouts requires advanced cooling and efficient power delivery technologies. This has led to increased demand for energy management technologies that reduce cooling costs and improve operational efficiency.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single chip, small form factor motor driver ICs reduce the size and increase the efficiency of 3-phase fans used to cool the latest generation of servers. Our “lossless” current sensor ICs are used to improve the efficiency of server power supplies. Our 100V BCD wafer process technology and galvanically isolated current sensors are uniquely suited for higher voltage operation and therefore, we believe our motor driver and current sensor ICs will gain market share as data centers convert to 48-volt operating voltages.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Smart Factories and Energy Efficiency</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advent of Industry 4.0, increasing demand for renewable energy and the adoption of green technologies represent additional meaningful growth opportunities for us. We believe we can leverage our technology leadership in solutions optimized for high-temperature, high-voltage and high-reliability conditions to expand our presence in these markets. In particular, we believe we have the potential to leverage the synergy between our power and sensor solutions, including motor drivers, voltage regulators, display drivers, and current, position and speed sensors, into under-penetrated opportunities within industrial automation, and personal mobility, as well as green energy opportunities including renewable energy applications, like solar.</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 Share Expansion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Within our target markets, a key element of our growth strategy is to increase share through portfolio and customer expansion. We are a market share leader in the magnetic sensor IC market and believe there is still considerable runway to expand our share and continue to grow this foundational business. For example, over the last five years, we introduced new position sensor ICs and quickly ramped revenue in motion control applications, particularly in the ADAS market. We believe similar share growth opportunities exist in other adjacent areas of the magnetic sensor IC market.</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also just beginning to leverage our power IC products to increase our total content within automotive and industrial applications. For example, over the last five years, we introduced new power devices, including motor driver ICs, and ramped revenue in the automotive ADAS and data center markets. Our revenue in these new areas has grown approximately 50% faster than the overall growth of the brushless direct current (“BLDC”) motor market during the same period. We believe this is indicative of the success of our footprint expansion strategy and the potential for significant share gains with continued execution on that strategy.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Increasing our Served Available Market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Another focus of our growth strategy is to significantly expand our served available market by using our established position in high-value automotive and industrial applications to increase our content per system. We believe the automotive market is very attractive given the rigorous quality and safety requirements that create meaningful challenges for new competitors and the significant technology shifts currently underway that are expected to significantly increase semiconductor content per vehicle.</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With the growth of semiconductor content opportunities related to xEV and ADAS penetration already accelerating, we have seen significant increases in our electronic system content per vehicle. For example:</w:t>
      </w:r>
    </w:p>
    <w:p>
      <w:pPr>
        <w:spacing w:after="0" w:line="54"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average thirteen devices per vehicle, with as many as 80 devices in a high-end, luxury vehicle adopting early ADAS features. We believe the rapid increase in adoption of ADAS features will result in a similar increase in our average number of devices per vehicle as those features move into mid- and lower-range vehicles.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a popular mid-sized 2022 model sedan shipped worldwide, our content per vehicle increased by over 50% as the vehicle model transitioned from ICE to a battery EV. According to our internal estimates and third-party sources, in a standard ICE model, we believe that we have a total opportunity of $37 increasing up to $59 of potential content in xEV vehicles.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in a mainstream North American pickup truck platform, our content per vehicle nearly tripled from 2017 to 2020 as a result of design wins for our solutions that enable smarter systems for self-park, lane assist and other related ADAS features.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 similar dynamic in the industrial market, where Industry 4.0, the equivalent of the Internet of Things for the factory, is revolutionizing how factories and factory equipment are designed and deployed, and the need for motor and motion control technology that is reliable and energy efficient has dramatically increased. We believe new content opportunities exist in the markets for BLDC motors and motion sensors, where we believe our technology and performance reliability make us uniquely capable of delivering on customer expectations. In addition, as edge devices become more intelligent, they require additional sensing, motor control and power regulation.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semiconductor market is highly competitive. As a leader in sensor and power ICs, we have a strong track record of winning against both established competitors and new entrants. We believe that by effectively navigating technology transitions, maintaining close customer relationships and anticipating market trends, we have established a leadership position in the automotive market and are rapidly gaining share in our targeted industrial markets, including factory automation, data center and green energy. Our research and development investment strategy prioritizes directing our internal investment resources toward high-value, high-growth opportunities where we believe we can apply our competitive strengths to establish a leading position and defend that position over successive product generations. Our competitive strengths include the following:</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Leading market positions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a market share leader in magnetic sensor ICs. We believe that we can continue to increase our share and that our strong market presence and continued innovation in proprietary sensor and power IC technologies will enable us to establish leadership positions for new products in existing and emerging applications. For example, as a result of our sensor IC leadership in ICE, we have been able to establish an early footprint in the emerging HEV and EV market and in advanced driver assistance systems. Growth in electronics in these applications is outpacing total vehicle growth and contributing significantly to the increasing semiconductor content per vehicle. As a proven automotive supplier, with high application content per vehicle in internal combustion and comfort systems, we have established an early position in these high-growth ADAS and xEV applications that we believe will result in a substantial increase in our content per vehicle progressively over the next decade. Our average product life cycle is ten years or more and we believe that product longevity and our ability to compete in our target markets will enable sustained market share gains over a long period.</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Established technology leadership, strong intellectual property and system-level expertise</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technology leadership is based on our strong intellectual property portfolio in analog mixed-signal circuit design, our sensor and power IC process technology innovations, and our intelligent packaging expertise. Additionally, we believe our system-level knowledge resulting from close customer collaboration enables us to understand our customers’ specific system requirements and more quickly and effectively develop advanced solutions to meet their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needs. For example, our innovations in Hall-effect and xMR sensor ICs include assemblies with integrated magnets and optimized silicon design to enable precise robust performance in high-temperature and high-voltage environments. To date, we believe that our competitors have not been able to duplicate the resulting performance advantage. We have expanded innovations in the field of magnetic sensor ICs to the power IC market, where our solutions are developed using our proprietary 100V-capable wafer technology, which enables the efficient integration of various power circuits and proprietary motor control algorithms into one small form factor device. This reduces the solution footprint, increases system efficiency and simplifies our customer’s motor design process, all of which represent key customer requirements. In our newly acquired photonics portfolio, our ultra-miniature lasers provide an eye-safe, long-range light source that can be detected by our proprietary Indium Gallium Arsenide (“InGaAs”) photodiodes that are tightly coupled to our high accuracy, high speed, silicon read out integrated circuits (“ROICs”). We believe these innovations have created tangible performance benefits in a variety of customer end products across a broad range of applications, from traditional 12-volt internal combustion engines to 48-volt mild hybrid vehicles, autonomous vehicles, and from industrial robotics to server and data center hardware.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Broadly diversified business focused on high value customers and end markets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Given the breadth of our customer relationships worldwide, our net sales are diversified across automotive and industrial customers, sales channels and geographies. We believe this diversity contributes to our growth opportunity by providing us early access to emerging customer applications and helping us to maintain relative stability in net sales across the business cycles common to the semiconductor industry. During the most recent global recession in 2008, and during the COVID-19 pandemic, our regional and target market diversification enabled us to partially offset regional or customer demand weakness. For example, recently, our presence in growing, high content electric vehicle systems has helped offset reductions in automotive production generally, and we have been able to capitalize on increased demand for data center infrastructure. Diversification, particularly geographically and within the automotive industry, has enabled us to continue to invest across business cycles, pursue multiple growth opportunities and employ our research and development efforts and technology expertise across multiple products and end markets.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Unlike the consumer market, automotive and industrial markets are characterized by long design cycles and rigorous quality, reliability and safety testing. These end markets often support higher relative average sales prices (“ASPs”) for similar technologies and longer product lifecycles. In addition, for many of our customers, we are among a limited number of suppliers qualified to compete for next generation product designs, and in many of our design wins, we are the sole supplier to the customer. This strong competitive position allows us to gain insight into the specifications for our customers’ evolving products and enables us to develop innovative solutions to meet their needs, providing us with multiple opportunities to secure continued business. In addition, our customer diversity and longstanding track record with key customers, particularly in the automotive market, provides us with a deep channel into which we can introduce new products. As a result, based on our internal metrics, we believe we have sharp visibility into, and understanding of, long-term revenue trends.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Fabless, asset-lite, scalable operations with flexible, advanced manufacturing infrastructure</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Over the course of our multi-year strategic transformation, including our completion of the PSL Divestiture in March 2020, we became a fabless semiconductor company, while retaining certain ownership rights in and a strategic customer relationship with PSL to enhance our security of supply. This has contributed to improving our historical gross margins over the last four years from the 40% range to the 54% range today. Becoming a fabless semiconductor company has also enabled us to access the technology base available through partnerships with strategic contract semiconductor wafer fabrication plants (“fabs”) to which we bring our advanced proprietary processes. Wafers using our proprietary fabrication processes are very often manufactured at multiple wafer foundries, sometimes on dedicated customized tools. We believe this strategy will provide us with enhanced security of supply. Our major fab partners currently include PSL, United Microelectronics Corporation (“UMC”) and Taiwan Semiconductor Manufacturing Company (“TSMC”). We believe that we have developed a flexible and efficient manufacturing model that will continue to reduce our capital requirements, lower our operating costs, enhance reliability of supply and support our continued growth in future periods.</w:t>
      </w:r>
    </w:p>
    <w:p>
      <w:pPr>
        <w:spacing w:after="0" w:line="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successfully reduced our manufacturing footprint by approximately half over the last three years as we optimized our manufacturing capabilities in packaging through a mix of internal and external capacity. In addition, the closure of the AMTC Facility as of March 2021 reduced our remaining manufacturing square footage by approximately an additional 45%. In addition to the implementation of our fabless, asset-lite scalable manufacturing strategy, we believe the AMTC Facility closure as part of our manufacturing footprint optimization strategy further enhanced our gross margins. Our primary internal assembly and test facility based in Manila, Philippines (the “AMPI Facility”) provides high-volume production capacity while facilitating the protection of our proprietary process technology, particularly for the assembly and testing of our magnetic sensor products. Additionally, we make use of other third-party assembly and second-source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manufacturers for industry standard packaging. We are certified under IATF 16949:2016, the automotive sector-specific quality management system standard, and are a major supplier to Japanese automotive manufacturers, who are recognized industry-wide as having very stringent quality standards with respect to safety and reliability. We also have qualified and use external assembly and test facilities to enable flexible capacity utilization and technology access.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Well-positioned to access the Japan markets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Japan remains a very important geographic market for automotive and industrial suppliers and has historically been difficult to penetrate for companies headquartered outside of Japan. We have developed direct end customer relationships with market leading tier-one suppliers and now have an extensive sales, distribution, technical and quality support network in Japan. Through our Japan business development and technical center, we are well-positioned to directly market to and support Japanese manufacturers’ key development projects. We believe we are well-positioned to expand our business in Japan, particularly in the automotive and industrial automation markets. Relationships with leading Japanese customers are particularly valuable since the solutions created for these customers are often quickly adopted by other manufacturers outside of Japan.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Experienced and established management team</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executive management team averages approximately 20 years of semiconductor industry experience. We believe our team has a proven track record of operating in fast-paced, innovation-driven and values-based cultures. Our management team is committed to innovating with purpose, supporting sustainability and managing with transparency.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executive management team’s ability to successfully execute on our strategic transformation demonstrates their strong capabilities. Additionally, their experience of effectively managing through various industry cycles and technology transitions provides us with steady, reliable leadership, uniquely capable of identifying strong investments, executing through changes and maintaining stability during periods of market uncertainty.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Strategy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strategy is to provide complete IC solutions for our customers, innovate with purpose to build on leadership in our key markets and expand our presence to become a global leader in semiconductor power and sensing solutions for motion control and energy efficient systems in automotive and industrial applications.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 in research and development that is market-aligned and focused on targeted portfolio expansion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our investments in research and development in the areas of product design, automotive-grade wafer fabrication technology and IC packaging development are critical to maintaining our competitive advantage. In both the automotive and industrial markets, major technology shifts driven by disruptive technologies are creating high-growth opportunities in areas such as xEVs, ADAS, Industry 4.0, data centers and green energy applications. We believe the convergence of requirements for intelligence and energy efficiency within these emerging markets is directly aligned with our core competencies. Our knowledge of customers’ end systems has driven an expansion of our sensor IC and power solutions to enable these new technologies. By aligning our research and development investments with disruptive technology trends while undergoing a rigorous ROI review, we believe we can deliver an attractive combination of growth and profitability.</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Emphasize our automotive “first” philosophy to align our product development with the most rigorous applications and safety standards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leading supplier of magnetic sensor ICs for the automotive market because we have been intentional about incorporating support for the stringent automotive operating voltages, temperature ranges and safety and reliability standards into every part of our operations, from design to manufacturing. By designing our products from the ground up to operate at high temperatures and at high voltages, we have built a strong technical reputation among our automotive customers. We believe our focus on meeting or exceeding industry standards as the baseline for product development increases our opportunity in the automotive market as customers look for trusted suppliers to deliver highly reliable solutions for rapidly growing emerging markets. For example, the rise in HEVs and EVs has dramatically increased the variety and complexity of components needed to support modern powertrains. We believe our philosophy of designing for automotive safety and reliability gives us a meaningful lead over new entrants attempting to enter the automotive market by modifying existing solutions originally developed for consumer and other less demanding applications. For example, we are applying this philosophy of innovation, quality and reliability to our photonics portfolio which supplies components into safety-critical LiDAR applications. We also believe we can use our expertise in designing for the automotive market and our expanding product portfolio to capitalize on increasing demand among industrial customers for ruggedized solutions that meet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highest quality and reliability standards. Additionally, in our experience, demand for solutions that meet or exceed stringent safety and reliability specifications supports higher ASPs and slower ASP declines over time than are typical for our industry.</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 to lead in chosen markets and apply our intellectual property and technology to pursue adjacent growth markets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technology advancements and our intellectual property portfolio to maintain the number one market share position in magnetic sensor ICs and achieve leadership positions in power ICs within our target markets. We believe we can maximize our investments by leveraging our proven technology and existing research and development, sales and support efforts to take advantage of synergistic opportunities in new, adjacent growth markets. For example:</w:t>
      </w:r>
    </w:p>
    <w:p>
      <w:pPr>
        <w:spacing w:after="0" w:line="72" w:lineRule="exact"/>
        <w:rPr>
          <w:sz w:val="20"/>
          <w:szCs w:val="20"/>
          <w:color w:val="auto"/>
        </w:rPr>
      </w:pPr>
    </w:p>
    <w:p>
      <w:pPr>
        <w:jc w:val="both"/>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target our patented sensor IC, photonics, and power-related intellectual property to address increasing electronics content in automotive applications based on the increasing adoption of electric powertrains and advanced safety systems for semi-autonomous and autonomous vehicles.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investing in advanced current sensor IC and sensor-less motor control technologies to target industrial solar and data center applications where we believe the trend towards increasing energy efficiency provides an opportunity to apply our rich history of innovation to rapidly gain share and accelerate our growth.</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aligning our application domain knowledge, sensor design skills and power management and motor control algorithm expertise to capitalize on the trend towards increasing automation and electronics content inherent in the Industry 4.0 transformation.</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our strategy of leveraging our key capabilities to target adjacent growth markets will enable us to achieve higher returns on our research and development investments.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Expand our sales channels and enhance our sales operations and customer relationships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sell our products globally through our direct sales force, distributors and independent sales representatives. Our global sales infrastructure is optimized to support customers through a combination of key account managers and regional technical and support centers near customer locations. These centers enable us to act as an extension of our customers’ design teams, providing us with key insights into product requirements and accelerating the adoption and ramp up of our products in customer designs. We intend to continue strengthening our relationships with our existing customers while also enabling our channel partners to support demand creation and fulfillment for smaller broad-based industrial customers. We believe we will be able to further penetrate the industrial market and efficiently scale our business to accelerate growth by enabling our channel to become an extension of our demand generation and customer support efforts.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Continue to improve our gross margins through product innovation and cost optimization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improve our profitability by both rapidly introducing new products with value-added features and reducing our manufacturing costs through our fabless, asset-lite manufacturing model. Over the last four years, we have improved our gross margin from the 40% range historically to the 50% range. We expect to continue to improve our product mix by developing new products for growth markets where we believe we can generate higher ASPs and/or higher gross margins. We also intend to further our relationships with key foundry suppliers to apply our product and applications knowledge to develop differentiated and cost-efficient wafer processes and packages. We believe we can reduce our manufacturing costs by leveraging the advanced manufacturing capabilities of our strategic suppliers, implementing more cost-effective packaging technologies and leveraging both internal and external assembly and test capacity to reduce our capital requirements, lower our operating costs, enhance reliability of supply and support our continued growth. We intend to continue to choose the industry’s leading manufacturing partners to maintain the quality of our products for the automotive market, to ensure continuity of supply and to best protect our intellectual property.</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Pursue selective acquisitions and other strategic transactions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evaluate and pursue selective acquisitions and transactions to facilitate our entrance into new applications, add to our intellectual property portfolio and design resources, and accelerate our growth. From time to time, we acquire companies, technologies or assets and participate in joint ventures when we believe they will cost effectively and rapidly improve our product development or manufacturing capabilities or complement our existing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Maintain sustainability efforts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innovate with purpose, aiming to address critical global challenges related to energy efficiency, vehicle emissions and clean and renewable energy with our sensing and power management product portfolio. In addition, we strive to operate our business in a socially responsible and environmentally sustainable manner, and with the goals of maintaining a dedication to social responsibility in our supply chain and disclosing the environmental impact of our business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Products and Solutions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product portfolio includes over 1,000 products across a range of high-performance analog mixed-signal semiconductors and photonic components.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magnetic sensor IC, power IC and photonics solutions address three main electronic system functions – sense, regulate and drive. We apply our deep technology know-how to deliver:</w:t>
      </w:r>
    </w:p>
    <w:p>
      <w:pPr>
        <w:spacing w:after="0" w:line="54"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Sensing of speed, position, current and 3D distance imaging to improve vehicle fuel efficiency and CO2 emissions, enable safer cars through object detection (ADAS “sense”) and collision avoidance (ADAS “act”), and enhance factory automation and green energy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systems to improve safety, improve power efficiency and ultimately reduce solution size;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motors through our advanced, proprietary algorithms that provide industry leading reliability and energy efficiency, with minimal audible noise and vibration.</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Magnetic Sensor ICs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offer what we believe to be the industry’s leading portfolio of integrated magnetic sensor ICs. Our solutions are based on our monolithic Hall-effect and xMR technology that allows customers to develop contactless sensor solutions that reduce mechanical wear and provide greater measurement accuracy and system control. Our portfolio of magnetic sensor ICs includes the following:</w:t>
      </w:r>
    </w:p>
    <w:p>
      <w:pPr>
        <w:spacing w:after="0" w:line="64" w:lineRule="exact"/>
        <w:rPr>
          <w:sz w:val="20"/>
          <w:szCs w:val="20"/>
          <w:color w:val="auto"/>
        </w:rPr>
      </w:pPr>
    </w:p>
    <w:p>
      <w:pPr>
        <w:jc w:val="both"/>
        <w:ind w:left="66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Position Sensor 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sensor ICs provide an analog or digital voltage output that measures the intensity of a magnetic field, thereby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establishing a precise position. In automotive applications, our position sensor ICs are used to improve safety applications such as seatbelt detection, ADAS applications such as advanced power steering and braking systems, ICE powertrain systems such as clutch and fork position in advanced transmissions, and mild HEV powertrain systems such as the shaft position of a starter generator.</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Speed Sensor 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Speed sensor ICs detect and process the magnetic fields created by a rotating gear tooth or ring magnet with the output being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reading proportional to speed. These sensor ICs are used in camshaft/crankshaft and transmission systems and employ proprietary algorithms to reduce CO2 emissions and improve fuel economy of combustion engines.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Current Sensor 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sensor ICs provide output signals proportional to the overall strength of a magnetic field created by a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carrying conductor. Current sensor ICs are used to improve energy efficiency in a broad range of applications, from xEV powertrain, industrial motors, and solar inverters to refrigerators and air conditioners.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Power ICs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power IC portfolio is comprised of high-temperature and high-voltage capable motor driver ICs, regulator power management ICs and LED driver ICs, which allow our customers to design safer, smaller and more power-efficient systems. We employ embedded algorithms that simplify system-level design, reduce audible noise, and increase start-up reliability in BLDC motors and fans. Our portfolio of power ICs includes the following:</w:t>
      </w:r>
    </w:p>
    <w:p>
      <w:pPr>
        <w:spacing w:after="0" w:line="64" w:lineRule="exact"/>
        <w:rPr>
          <w:sz w:val="20"/>
          <w:szCs w:val="20"/>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Motor Driver 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Motor driver ICs contain the power drivers and the sequencing logic to drive the coils of a variety of motors. Our motor driver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ICs utilize embedded algorithms to improve energy efficiency and motion control in HEV and EV systems, automotive fans and pumps, data center cooling fans, robotics and home appliances.</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 and LED Driver 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industry transitions to more highly integrated products, our portfolio of regulator ICs, and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ICs (“PMICs”) is used extensively in under-hood automotive ADAS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left="500" w:right="880" w:firstLine="162"/>
        <w:spacing w:after="0" w:line="375" w:lineRule="auto"/>
        <w:rPr>
          <w:sz w:val="20"/>
          <w:szCs w:val="20"/>
          <w:color w:val="auto"/>
        </w:rPr>
      </w:pPr>
      <w:r>
        <w:rPr>
          <w:rFonts w:ascii="Times New Roman" w:cs="Times New Roman" w:eastAsia="Times New Roman" w:hAnsi="Times New Roman"/>
          <w:sz w:val="18"/>
          <w:szCs w:val="18"/>
          <w:color w:val="auto"/>
        </w:rPr>
        <w:t xml:space="preserve">powertrain systems. Our LED driver ICs and modules are used in smart lighting systems to improve system safety, efficiency and size. </w:t>
      </w:r>
      <w:r>
        <w:rPr>
          <w:rFonts w:ascii="Times New Roman" w:cs="Times New Roman" w:eastAsia="Times New Roman" w:hAnsi="Times New Roman"/>
          <w:sz w:val="18"/>
          <w:szCs w:val="18"/>
          <w:b w:val="1"/>
          <w:bCs w:val="1"/>
          <w:i w:val="1"/>
          <w:iCs w:val="1"/>
          <w:color w:val="auto"/>
        </w:rPr>
        <w:t>Photonic and 3D Sensing Components for LiDAR Applications</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provide photonic and advanced 3D imaging components for use in eye-safe, medium- and long-range industrial and automotive LiDAR applications. Our photonic components include high-performance avalanche photodiodes and photodiode arrays, ultra-miniature, eye-safe, diode-pumped solid-state (“DPSS”) lasers, and custom ROICs, such as TOF ICs. Our components operate within the near-infrared and short-wavelength infrared wavelength ranges, including the important eye-safe region around 1550 nanometers, which we believe is an initiative gaining momentum across the industry. Our suite of industry leading, eye-safe technologies provides the photonic foundation for long-range automotive scanned LiDAR (object detection up to 200 meters or more) or medium-range FLASH LiDAR systems.</w:t>
      </w:r>
    </w:p>
    <w:p>
      <w:pPr>
        <w:spacing w:after="0" w:line="75" w:lineRule="exact"/>
        <w:rPr>
          <w:sz w:val="20"/>
          <w:szCs w:val="20"/>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Photodiodes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Avalanche Photodiodes (“APDs”) are used in detecting and processing the laser signal in LiDAR applications. Our InGaAs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APDs are highly sensitive, enabling images to be obtained at a long distance and wide field of view using an eye-safe laser.</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Eye-safe Lasers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miniature erbium-glass DPSS lasers allow for eye-safe operation at wavelengths between 1500 and 1600 nm, delivering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 high-energy pulses, with diffraction-limited beam quality and low divergence, allowing for long-distance ranging. Additionally, these lasers are much smaller and more cost efficient than the fiber lasers used in many current LiDAR systems.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Readout Integrated Circuits (ROIC)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silicon ROICs include low-noise, high speed analog and digital circuits including proprietary analog-to-digital converters (“ADCs”) and time-to-digital converters (“TDCs”) required for high performance time-of-flight (“TOF”) measurements. We tightly integrate our ROICs with our photodiodes using advanced assembly techniques required to achieve accurate distance measurements in LiDAR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our IC products and their applications in end markets are set forth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Automotive Market IC Solutions</w:t>
            </w:r>
          </w:p>
        </w:tc>
        <w:tc>
          <w:tcPr>
            <w:tcW w:w="180" w:type="dxa"/>
            <w:vAlign w:val="bottom"/>
          </w:tcPr>
          <w:p>
            <w:pPr>
              <w:spacing w:after="0"/>
              <w:rPr>
                <w:sz w:val="16"/>
                <w:szCs w:val="16"/>
                <w:color w:val="auto"/>
              </w:rPr>
            </w:pPr>
          </w:p>
        </w:tc>
        <w:tc>
          <w:tcPr>
            <w:tcW w:w="30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Industrial Market IC Solutions</w:t>
            </w:r>
          </w:p>
        </w:tc>
        <w:tc>
          <w:tcPr>
            <w:tcW w:w="200" w:type="dxa"/>
            <w:vAlign w:val="bottom"/>
          </w:tcPr>
          <w:p>
            <w:pPr>
              <w:spacing w:after="0"/>
              <w:rPr>
                <w:sz w:val="16"/>
                <w:szCs w:val="16"/>
                <w:color w:val="auto"/>
              </w:rPr>
            </w:pPr>
          </w:p>
        </w:tc>
        <w:tc>
          <w:tcPr>
            <w:tcW w:w="27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Other Market IC Solutions</w:t>
            </w:r>
          </w:p>
        </w:tc>
      </w:tr>
      <w:tr>
        <w:trPr>
          <w:trHeight w:val="23"/>
        </w:trPr>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sensors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sensors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sensors</w:t>
            </w:r>
          </w:p>
        </w:tc>
      </w:tr>
      <w:tr>
        <w:trPr>
          <w:trHeight w:val="229"/>
        </w:trPr>
        <w:tc>
          <w:tcPr>
            <w:tcW w:w="15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Position sensors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Position sensors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Position sensors</w:t>
            </w:r>
          </w:p>
        </w:tc>
      </w:tr>
      <w:tr>
        <w:trPr>
          <w:trHeight w:val="230"/>
        </w:trPr>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Speed sensors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Speed sensors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Motor drivers</w:t>
            </w:r>
          </w:p>
        </w:tc>
      </w:tr>
      <w:tr>
        <w:trPr>
          <w:trHeight w:val="229"/>
        </w:trPr>
        <w:tc>
          <w:tcPr>
            <w:tcW w:w="15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LED drivers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LED drivers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Regulators</w:t>
            </w:r>
          </w:p>
        </w:tc>
      </w:tr>
      <w:tr>
        <w:trPr>
          <w:trHeight w:val="229"/>
        </w:trPr>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Motor drivers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Motor drivers</w:t>
            </w:r>
          </w:p>
        </w:tc>
        <w:tc>
          <w:tcPr>
            <w:tcW w:w="20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r>
      <w:tr>
        <w:trPr>
          <w:trHeight w:val="230"/>
        </w:trPr>
        <w:tc>
          <w:tcPr>
            <w:tcW w:w="15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Regulators and PMICs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Regulators</w:t>
            </w: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29"/>
        </w:trPr>
        <w:tc>
          <w:tcPr>
            <w:tcW w:w="1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Photonics and 3D sensing ICs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Photonics and 3D sensing ICs</w:t>
            </w:r>
          </w:p>
        </w:tc>
        <w:tc>
          <w:tcPr>
            <w:tcW w:w="20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spacing w:after="0"/>
              <w:rPr>
                <w:sz w:val="19"/>
                <w:szCs w:val="19"/>
                <w:color w:val="auto"/>
              </w:rPr>
            </w:pPr>
          </w:p>
        </w:tc>
      </w:tr>
      <w:tr>
        <w:trPr>
          <w:trHeight w:val="183"/>
        </w:trPr>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76"/>
        </w:trPr>
        <w:tc>
          <w:tcPr>
            <w:tcW w:w="1580" w:type="dxa"/>
            <w:vAlign w:val="bottom"/>
            <w:shd w:val="clear" w:color="auto" w:fill="CCEEFF"/>
          </w:tcPr>
          <w:p>
            <w:pPr>
              <w:spacing w:after="0"/>
              <w:rPr>
                <w:sz w:val="15"/>
                <w:szCs w:val="15"/>
                <w:color w:val="auto"/>
              </w:rPr>
            </w:pPr>
          </w:p>
        </w:tc>
        <w:tc>
          <w:tcPr>
            <w:tcW w:w="48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Engine management and transmission</w:t>
            </w:r>
          </w:p>
        </w:tc>
        <w:tc>
          <w:tcPr>
            <w:tcW w:w="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Industry 4.0/Factory automation</w:t>
            </w:r>
          </w:p>
        </w:tc>
        <w:tc>
          <w:tcPr>
            <w:tcW w:w="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Gaming</w:t>
            </w:r>
          </w:p>
        </w:tc>
      </w:tr>
      <w:tr>
        <w:trPr>
          <w:trHeight w:val="24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3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systems</w:t>
            </w:r>
          </w:p>
        </w:tc>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r>
      <w:tr>
        <w:trPr>
          <w:trHeight w:val="176"/>
        </w:trPr>
        <w:tc>
          <w:tcPr>
            <w:tcW w:w="1580" w:type="dxa"/>
            <w:vAlign w:val="bottom"/>
          </w:tcPr>
          <w:p>
            <w:pPr>
              <w:spacing w:after="0"/>
              <w:rPr>
                <w:sz w:val="15"/>
                <w:szCs w:val="15"/>
                <w:color w:val="auto"/>
              </w:rPr>
            </w:pPr>
          </w:p>
        </w:tc>
        <w:tc>
          <w:tcPr>
            <w:tcW w:w="48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Electric motor powertrain and</w:t>
            </w:r>
          </w:p>
        </w:tc>
        <w:tc>
          <w:tcPr>
            <w:tcW w:w="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Industrial motors</w:t>
            </w:r>
          </w:p>
        </w:tc>
        <w:tc>
          <w:tcPr>
            <w:tcW w:w="2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PC printers and peripherals</w:t>
            </w:r>
          </w:p>
        </w:tc>
      </w:tr>
      <w:tr>
        <w:trPr>
          <w:trHeight w:val="239"/>
        </w:trPr>
        <w:tc>
          <w:tcPr>
            <w:tcW w:w="1580" w:type="dxa"/>
            <w:vAlign w:val="bottom"/>
          </w:tcPr>
          <w:p>
            <w:pPr>
              <w:spacing w:after="0"/>
              <w:rPr>
                <w:sz w:val="20"/>
                <w:szCs w:val="20"/>
                <w:color w:val="auto"/>
              </w:rPr>
            </w:pPr>
          </w:p>
        </w:tc>
        <w:tc>
          <w:tcPr>
            <w:tcW w:w="35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charging systems for xEV</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180"/>
        </w:trPr>
        <w:tc>
          <w:tcPr>
            <w:tcW w:w="1580" w:type="dxa"/>
            <w:vAlign w:val="bottom"/>
            <w:shd w:val="clear" w:color="auto" w:fill="CCEEFF"/>
          </w:tcPr>
          <w:p>
            <w:pPr>
              <w:spacing w:after="0"/>
              <w:rPr>
                <w:sz w:val="15"/>
                <w:szCs w:val="15"/>
                <w:color w:val="auto"/>
              </w:rPr>
            </w:pPr>
          </w:p>
        </w:tc>
        <w:tc>
          <w:tcPr>
            <w:tcW w:w="4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ADAS, active safety, including</w:t>
            </w:r>
          </w:p>
        </w:tc>
        <w:tc>
          <w:tcPr>
            <w:tcW w:w="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Smart home/IoT</w:t>
            </w:r>
          </w:p>
        </w:tc>
        <w:tc>
          <w:tcPr>
            <w:tcW w:w="2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Personal electronics</w:t>
            </w:r>
          </w:p>
        </w:tc>
      </w:tr>
      <w:tr>
        <w:trPr>
          <w:trHeight w:val="243"/>
        </w:trPr>
        <w:tc>
          <w:tcPr>
            <w:tcW w:w="1580" w:type="dxa"/>
            <w:vAlign w:val="bottom"/>
            <w:shd w:val="clear" w:color="auto" w:fill="CCEEFF"/>
          </w:tcPr>
          <w:p>
            <w:pPr>
              <w:spacing w:after="0"/>
              <w:rPr>
                <w:sz w:val="21"/>
                <w:szCs w:val="21"/>
                <w:color w:val="auto"/>
              </w:rPr>
            </w:pPr>
          </w:p>
        </w:tc>
        <w:tc>
          <w:tcPr>
            <w:tcW w:w="3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steering and braking systems</w:t>
            </w:r>
          </w:p>
        </w:tc>
        <w:tc>
          <w:tcPr>
            <w:tcW w:w="18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r>
      <w:tr>
        <w:trPr>
          <w:trHeight w:val="175"/>
        </w:trPr>
        <w:tc>
          <w:tcPr>
            <w:tcW w:w="1580" w:type="dxa"/>
            <w:vAlign w:val="bottom"/>
          </w:tcPr>
          <w:p>
            <w:pPr>
              <w:spacing w:after="0"/>
              <w:rPr>
                <w:sz w:val="15"/>
                <w:szCs w:val="15"/>
                <w:color w:val="auto"/>
              </w:rPr>
            </w:pPr>
          </w:p>
        </w:tc>
        <w:tc>
          <w:tcPr>
            <w:tcW w:w="48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Automotive LiDAR</w:t>
            </w:r>
          </w:p>
        </w:tc>
        <w:tc>
          <w:tcPr>
            <w:tcW w:w="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Data center and 5G infrastructure</w:t>
            </w:r>
          </w:p>
        </w:tc>
        <w:tc>
          <w:tcPr>
            <w:tcW w:w="2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27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Energy Star household appliances</w:t>
            </w:r>
          </w:p>
        </w:tc>
      </w:tr>
      <w:tr>
        <w:trPr>
          <w:trHeight w:val="239"/>
        </w:trPr>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including white goods</w:t>
            </w:r>
          </w:p>
        </w:tc>
      </w:tr>
      <w:tr>
        <w:trPr>
          <w:trHeight w:val="180"/>
        </w:trPr>
        <w:tc>
          <w:tcPr>
            <w:tcW w:w="1580" w:type="dxa"/>
            <w:vAlign w:val="bottom"/>
            <w:shd w:val="clear" w:color="auto" w:fill="CCEEFF"/>
          </w:tcPr>
          <w:p>
            <w:pPr>
              <w:spacing w:after="0"/>
              <w:rPr>
                <w:sz w:val="15"/>
                <w:szCs w:val="15"/>
                <w:color w:val="auto"/>
              </w:rPr>
            </w:pPr>
          </w:p>
        </w:tc>
        <w:tc>
          <w:tcPr>
            <w:tcW w:w="48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Comfort and convenience including</w:t>
            </w:r>
          </w:p>
        </w:tc>
        <w:tc>
          <w:tcPr>
            <w:tcW w:w="1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EV charging infrastructure</w:t>
            </w:r>
          </w:p>
        </w:tc>
        <w:tc>
          <w:tcPr>
            <w:tcW w:w="20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r>
      <w:tr>
        <w:trPr>
          <w:trHeight w:val="184"/>
        </w:trPr>
        <w:tc>
          <w:tcPr>
            <w:tcW w:w="1580" w:type="dxa"/>
            <w:vAlign w:val="bottom"/>
            <w:shd w:val="clear" w:color="auto" w:fill="CCEEFF"/>
          </w:tcPr>
          <w:p>
            <w:pPr>
              <w:spacing w:after="0"/>
              <w:rPr>
                <w:sz w:val="16"/>
                <w:szCs w:val="16"/>
                <w:color w:val="auto"/>
              </w:rPr>
            </w:pPr>
          </w:p>
        </w:tc>
        <w:tc>
          <w:tcPr>
            <w:tcW w:w="3500" w:type="dxa"/>
            <w:vAlign w:val="bottom"/>
            <w:gridSpan w:val="3"/>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in-cabin motors, HVAC, infotainment,</w:t>
            </w:r>
          </w:p>
        </w:tc>
        <w:tc>
          <w:tcPr>
            <w:tcW w:w="18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r>
      <w:tr>
        <w:trPr>
          <w:trHeight w:val="234"/>
        </w:trPr>
        <w:tc>
          <w:tcPr>
            <w:tcW w:w="1580" w:type="dxa"/>
            <w:vAlign w:val="bottom"/>
            <w:shd w:val="clear" w:color="auto" w:fill="CCEEFF"/>
          </w:tcPr>
          <w:p>
            <w:pPr>
              <w:spacing w:after="0"/>
              <w:rPr>
                <w:sz w:val="20"/>
                <w:szCs w:val="20"/>
                <w:color w:val="auto"/>
              </w:rPr>
            </w:pPr>
          </w:p>
        </w:tc>
        <w:tc>
          <w:tcPr>
            <w:tcW w:w="3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LED lighting</w:t>
            </w:r>
          </w:p>
        </w:tc>
        <w:tc>
          <w:tcPr>
            <w:tcW w:w="1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r>
      <w:tr>
        <w:trPr>
          <w:trHeight w:val="175"/>
        </w:trPr>
        <w:tc>
          <w:tcPr>
            <w:tcW w:w="1580" w:type="dxa"/>
            <w:vAlign w:val="bottom"/>
          </w:tcPr>
          <w:p>
            <w:pPr>
              <w:spacing w:after="0"/>
              <w:rPr>
                <w:sz w:val="15"/>
                <w:szCs w:val="15"/>
                <w:color w:val="auto"/>
              </w:rPr>
            </w:pPr>
          </w:p>
        </w:tc>
        <w:tc>
          <w:tcPr>
            <w:tcW w:w="48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2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Passive safety including seatbelt</w:t>
            </w:r>
          </w:p>
        </w:tc>
        <w:tc>
          <w:tcPr>
            <w:tcW w:w="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Personal mobility</w:t>
            </w:r>
          </w:p>
        </w:tc>
        <w:tc>
          <w:tcPr>
            <w:tcW w:w="2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84"/>
        </w:trPr>
        <w:tc>
          <w:tcPr>
            <w:tcW w:w="1580" w:type="dxa"/>
            <w:vAlign w:val="bottom"/>
          </w:tcPr>
          <w:p>
            <w:pPr>
              <w:spacing w:after="0"/>
              <w:rPr>
                <w:sz w:val="16"/>
                <w:szCs w:val="16"/>
                <w:color w:val="auto"/>
              </w:rPr>
            </w:pPr>
          </w:p>
        </w:tc>
        <w:tc>
          <w:tcPr>
            <w:tcW w:w="3500" w:type="dxa"/>
            <w:vAlign w:val="bottom"/>
            <w:gridSpan w:val="3"/>
          </w:tcPr>
          <w:p>
            <w:pPr>
              <w:ind w:left="300"/>
              <w:spacing w:after="0" w:line="184" w:lineRule="exact"/>
              <w:rPr>
                <w:sz w:val="20"/>
                <w:szCs w:val="20"/>
                <w:color w:val="auto"/>
              </w:rPr>
            </w:pPr>
            <w:r>
              <w:rPr>
                <w:rFonts w:ascii="Times New Roman" w:cs="Times New Roman" w:eastAsia="Times New Roman" w:hAnsi="Times New Roman"/>
                <w:sz w:val="18"/>
                <w:szCs w:val="18"/>
                <w:color w:val="auto"/>
              </w:rPr>
              <w:t>switches, wipers, door/window sensors,</w:t>
            </w:r>
          </w:p>
        </w:tc>
        <w:tc>
          <w:tcPr>
            <w:tcW w:w="1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34"/>
        </w:trPr>
        <w:tc>
          <w:tcPr>
            <w:tcW w:w="1580" w:type="dxa"/>
            <w:vAlign w:val="bottom"/>
          </w:tcPr>
          <w:p>
            <w:pPr>
              <w:spacing w:after="0"/>
              <w:rPr>
                <w:sz w:val="20"/>
                <w:szCs w:val="20"/>
                <w:color w:val="auto"/>
              </w:rPr>
            </w:pPr>
          </w:p>
        </w:tc>
        <w:tc>
          <w:tcPr>
            <w:tcW w:w="35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seat position, suspension</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30"/>
        </w:trPr>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Green energy applications</w:t>
            </w:r>
          </w:p>
        </w:tc>
        <w:tc>
          <w:tcPr>
            <w:tcW w:w="20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r>
      <w:tr>
        <w:trPr>
          <w:trHeight w:val="234"/>
        </w:trPr>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Industrial LiDAR</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Efforts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strive to develop intelligent solutions that move the world toward a safer and more sustainable future. We believe our ICs help address global challenges related to CO2 emissions, energy efficiency and clean, renewable energy in a variety of applications, for example:</w:t>
      </w:r>
    </w:p>
    <w:p>
      <w:pPr>
        <w:spacing w:after="0" w:line="50"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vehicle emissions and improved fuel economy for internal combustion engines. </w:t>
      </w:r>
      <w:r>
        <w:rPr>
          <w:rFonts w:ascii="Times New Roman" w:cs="Times New Roman" w:eastAsia="Times New Roman" w:hAnsi="Times New Roman"/>
          <w:sz w:val="18"/>
          <w:szCs w:val="18"/>
          <w:color w:val="auto"/>
        </w:rPr>
        <w:t>Our magnetic speed sensor ICs are used in combustion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engines to reduce CO2 emissions and improve fuel economy by providing gear speed and position information necessary to improve engine performance. For example, we are a leading provider of specialized crankshaft speed sensor ICs needed to operate the stop/start engine systems designed to reduce emissions through improved efficiency. Our magnetic speed and position sensor ICs, motor driver ICs, and PMICs are used in advanced, high-efficiency vehicle transmissions. These ICs sense the position of gears and clutches, regulate power to the sensors and control electronics, and drive the actuators needed to operate high-efficiency 8 to 10 speed transmissions.</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Energy efficiency in hybrid and fully electric vehicles. </w:t>
      </w:r>
      <w:r>
        <w:rPr>
          <w:rFonts w:ascii="Times New Roman" w:cs="Times New Roman" w:eastAsia="Times New Roman" w:hAnsi="Times New Roman"/>
          <w:sz w:val="18"/>
          <w:szCs w:val="18"/>
          <w:color w:val="auto"/>
        </w:rPr>
        <w:t>Our “lossless” magnetic current sensor ICs are used to accurately measure and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 current flowing in xEV powertrains, improving the energy efficiency of the electric vehicle. In many electric cars, ten to twenty total current sensor ICs are used in vehicle inverter, DC/DC converter, and on-board-charging systems. In addition, our power IC products improve energy efficiency and motion control in mild hybrid cars, where our 100-volt wafer technology is ideal for use when driving 48-volt motors or powering electronics from the internal 48-volt battery.</w:t>
      </w:r>
    </w:p>
    <w:p>
      <w:pPr>
        <w:spacing w:after="0" w:line="71"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Renewable and smart energy applications. </w:t>
      </w:r>
      <w:r>
        <w:rPr>
          <w:rFonts w:ascii="Times New Roman" w:cs="Times New Roman" w:eastAsia="Times New Roman" w:hAnsi="Times New Roman"/>
          <w:sz w:val="18"/>
          <w:szCs w:val="18"/>
          <w:color w:val="auto"/>
        </w:rPr>
        <w:t>Our magnetic current sensor ICs with embedded high-voltage isolation are used extensively in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and inverter applications in solar and wind energy generation. In addition, our angle sensor ICs and motor driver ICs play a key role in the mechatronic systems used to optimize the alignment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between solar panels and the changing position of the sun, for example. Our products also provide a non-intrusive, reliable, high-precision and low-cost way to measure power in power monitoring applications.</w:t>
      </w:r>
    </w:p>
    <w:p>
      <w:pPr>
        <w:spacing w:after="0" w:line="50" w:lineRule="exact"/>
        <w:rPr>
          <w:sz w:val="20"/>
          <w:szCs w:val="20"/>
          <w:color w:val="auto"/>
        </w:rPr>
      </w:pPr>
    </w:p>
    <w:p>
      <w:pPr>
        <w:jc w:val="both"/>
        <w:ind w:left="660" w:hanging="328"/>
        <w:spacing w:after="0" w:line="25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Energy efficiency in next generation infrastructure</w:t>
      </w:r>
      <w:r>
        <w:rPr>
          <w:rFonts w:ascii="Times New Roman" w:cs="Times New Roman" w:eastAsia="Times New Roman" w:hAnsi="Times New Roman"/>
          <w:sz w:val="18"/>
          <w:szCs w:val="18"/>
          <w:color w:val="auto"/>
        </w:rPr>
        <w:t>. Our power IC products, such as motor driver ICs, are used extensively in data center cooling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fan applications. In addition, our magnetic current sensor ICs help improve energy efficiency and minimize energy losses in data center power supplies and power amplifiers in 5G telecom systems. We expect the transition from 12-volt to 48-volt power architectures in data center and 5G telecom markets will continue to require energy-efficient, high-voltage power and sensor IC solutions to achieve necessary levels of energy efficiency.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committed to a values-based culture that places high importance on running our business in a sustainable and safe manner. We are a member of the Responsible Business Alliance, dedicated to social responsibility in the supply chain. We also actively manage the carbon footprint of our operations and intend to participate in the CDP (formerly the Carbon Disclosure Project) to disclose our carbon emissions for the relevant questionnaire periods. We also strive to adhere to international standards and regulations regarding manufacturing and business procedures and product composition.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Customer Support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sell our products worldwide through multiple sales channels, including through our direct sales force and through distributors and independent sales representatives, which resell our products to numerous end customers. We have a geographically diverse mix of sales. Our distribution relationship with Sanken in Japan fulfills demand for our products from major Japanese tier-one automotive and industrial manufacturers. Our net sales made to distributors accounted for approximately 36.8%, 37.3% and 25.2% of our net sales in fiscal years 2022, 2021 and 2020, respectively, excluding our distribution relationship with Sanken in Japan, which represented approximately 19.4%, 17.7% and 17.3% of our net sales in fiscal years 2022, 2021 and 2020, respectively.</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direct sales force and applications engineers provide our customers with specialized technical support. We believe that maintaining a close relationship with our customers and serving their specific technical needs improves their level of satisfaction and enables us to anticipate and influence their future product needs. We provide ongoing technical training to our distributor and sales representatives to keep them informed of our existing and new products.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maintain an internal marketing organization that is responsible for increasing our brand awareness and promoting our products to prospective customers. This includes the creative management of our website, market research and analytics, and development of demand generation strategies and materials such as product announcements, press releases, brochures, training and videos, as well as securing thought leadership through published technical and trend articles and advertisements, and active engagement in key industry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sell our products to major global OEMs and their key suppliers, primarily in the automotive and industrial markets. We sold to more than 10,000 end customers, directly and through distributors, during each of fiscal years 2022, 2021 and 2020. Approximately half of our net sales during each of fiscal years 2022, 2021 and 2020, respectively, were derived from sales to our top twenty customers. We believe that no end customer, including those served through our distributors, exceeded 10% of our net sales during fiscal years 2022, 2021 and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Strategy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technology company and believe that our future success depends on our ability to rapidly develop and introduce differentiated new products in our target markets. As a result, we are committed to investing in our process and product development capabilities and focusing our engineering efforts on designing and introducing new application-specific products, developing new semiconductor process technologies, enhancing design productivity and evaluating new technologies. Our research and development investments are subject to a rigorous ROI review to ensure alignment with our growth and profitability targets. We believe that by effectively applying these resources, we have developed proprietary innovations and intellectual property that will give us an early lead in our target markets and will enable accelerated growth over time.</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Over the last ten years, we believe we have been instrumental in achieving fundamental developments that have enabled a number of key technology transitions in the automotive and industrial markets. We believe we are one of very few suppliers in the semiconductor industry to integrate proprietary motor control algorithms into our motion control devices to achieve optimized BLDC motor performance, we remain one of the only suppliers that has developed multiple packaging technologies capable of operating up to 175 degrees Celsius and including passive components that simplify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module assembly, and we were one of the first in our industry to develop automotive grade xMR technology on silicon wafers, which enabled breakthrough advances in product performance. This advanced technology is a key enabler across all of our strategic focus areas in the automotive and industrial markets as more of the automotive safety market transitions to xMR.</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augment our internally generated intellectual property through a mix of licensed intellectual property, partnering with industry experts, and through acquisitions. For example, we acquired our photonics portfolio which provides us with advanced laser and photodetector technology.</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global team of highly skilled engineers has extensive semiconductor development experience, including expertise in analog design, test and process technology. As of March 25, 2022, we had approximately 549 employees dedicated to research and development, with centers in the United States, Europe, South America, Japan and India. Our engineering team has contributed to nearly doubling our intellectual property portfolio over the last three years, further strengthening our position in our target markets.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also made significant investments in our core engineering capabilities, including improvements in tools to support greater engineering efficiency, electrical component modeling, magnetic performance modeling and thermal distribution modeling. We believe these improved tools enable us to more accurately predict the performance of our designs, resulting in improved time-to-market for our products and satisfaction of our customers.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focus on meeting or exceeding the stringent automotive market safety and reliability requirements is fundamental to our research and development process. We anticipate that we will continue to make research and development investments in order to enhance our leadership position and expand our markets with innovative, high-quality products and services (as exemplified through our acquisition of Voxtel). In addition, our board of directors has a standing R&amp;D Committee, whose purpose is to provide guidance to management on various technological choices and research and development priorities to assist in implementing our strategic direction.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and Packaging Technology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product and technology development engineers have long-established expertise in designing analog power ICs, magnetic sensor ICs, and photonics components using proprietary semiconductor process technologies and intelligent packaging. We consider these capabilities to be strategically important because they allow us to create complete system products and highly integrated solutions that meet the quality and robustness requirements of our most stringent automotive customers and applications. These have the benefit of advancing the feature, function and cost of ownership of our devices relative to those of our competitors. For example, we released a unique 100V- and 175-degree Celsius capable BCD wafer technology designed to handle automotive voltage and temperature transients while also integrating high-density logic circuits and EEPROM memory to enable configurable and embedded algorithms, and various Hall-effect and xMR transducer technology on the same silicon wafer. These technologies are fundamental to the transition from 12-volt to 48-volt power supply required in the rapidly emerging mild HEV and EV markets, and to the next generation of ADAS systems. We are in the process of applying these capabilities to the industrialization of our ultra-miniature lasers and advanced semiconductor photodiodes.</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choosing the process technology to be used to manufacture a new product, we seek to optimize the match between the process technology and the desired performance parameters of the product for our customers. Our current strategic semiconductor process innovations include the following:</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Automotive Quality and Safety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developed, characterized and qualified our wafer and package technologies to meet or exceed the rigorous automotive requirements that our customers demand. Robust development processes and guidelines have resulted in devices capable of exceeding the requirements of AEC Q100 Automotive Grade 0 of 150 degrees Celsius and our field failure rates are consistent with or better than customer requirements.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Integrated Transducers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One of our fundamental innovations is the integration of magnetic transducers and CMOS circuitry into one piece of silicon to create a complete, fully integrated system. Hall-effect elements are implanted in silicon providing robust and low noise solutions that are optimized for stress and temperature effects. Thin film, high-resolution xMR transducers are deposited directly on top of the CMOS circuitry creating a more reliable solution than multi-chip solutions by reducing interconnects and solution area. To achieve the highest level of Automotive Safety Integrity Level (“ASIL”), we are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integrate xMR and Hall-effect transducers onto the same silicon to produce heterogeneous solutions capable of performing reliably in the most demanding automotive environments.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High-Voltage Technology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intellectual property developed over years of experience in automotive applications includes advanced mixed-signal integration of high-voltage solutions with our high-precision analog designs. For example, our innovative wafer technology enables high voltage power transistors to be combined with embedded digital logic and precision analog circuits on a monolithic motor control IC. This enables a number of application-specific advancements, including taking the complex algorithm development in motor drives into the IC, vastly reducing our customers’ design complexity and creating the most efficient and quietest solutions in the market. Similar benefits exist for our sensor products through monolithic integration of transducers with precision analog circuits and intelligent signal processing on a high-voltage IC that can be powered from a 12-volt vehicle battery.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Advanced, Small Form Factor Integrated Packages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continue to combine circuit design and process innovation with novel packaging solutions that improve performance and reliability while reducing solution footprint and our customers’ cost of ownership. Two decades of sensor package innovation have led to the development of a family of integrated systems in a package (“SiP”) for magnetic speed and current sensor ICs as well as power systems. By integrating the magnet and passive components in a single body, we are able to offer inventive magnetic sensors that reduce our customers’ needs to design complex magnetic models and solve electrical interference issues with external printed circuit boards (“PCBs”) or custom lead frames. The current sensors integrate specially designed lead frames to allow a high-precision, factory programmed single package solution that provides a unique low loss and high-voltage isolation product and can sense current for products plugged directly into a household electrical outlet. Years of design and manufacturing refinement have led to the latest generation of power products that integrate passive components and power delivery into small packages to reduce PCB footprint and reduce noise in high-power systems. We also believe we are one of only a few companies in our industry that have developed a broad portfolio of packages that are suitable for operation in automotive environments and 175-degree Celsius temperatures. Our ultra-miniature laser modules combine advanced laser diodes and optics in a small form factor that outputs up to 3 millijoules of laser power for flash LiDAR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consider the strength of our intellectual property portfolio to be a significant competitive advantage. Our intellectual property includes patented inventions, trade secrets, accumulated technical know-how and trademarks. As of March 25, 2022, we owned 1,256 patents, including 671 active U.S. patents (with expiration dates between 2022 and 2041), with an additional 362 pending patent applications, including 151 U.S. patent applications.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market our products worldwide under the “Allegro” name. We either hold or have applied for trademarks in all jurisdictions where we do significant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PSL Divestiture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 the end of fiscal year 2020, we held a 100% ownership interest in PSL, a semiconductor wafer fabricator engaged in the manufacturing and testing of foundry wafers. Prior to the divestiture transaction of PSL, PSL accounted for 11.1% of our net sales and supplied 44.2% of our wafer requirements, respectively, in fiscal year 2020. In addition, through end of fiscal year 2020, we acted as a distributor of Sanken products in North America, South America and Europe on a low margin, buy-resale basis pursuant to the Sanken Products Distribution Agreement between AML, our wholly owned subsidiary, and Sanken. Our net sales from the distribution of Sanken products in fiscal year 2020 were $35.4 million.</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28, 2020, in order to further our strategy for developing a flexible and efficient manufacturing model that minimizes capital requirements, lowers operating costs, enhances reliability of supply and supports our growth going forward:</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divested a majority of our ownership interest in PSL to Sanken in the PSL Divestiture, in connection with which:</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interests in PSL were recapitalized (the “Recapitalization”) in exchange for (i) the contribution by us to PSL of $15.0 million of intercompany debt, representing a portion of the aggregate principal amount of debt owed by PSL to us under certain intercompany loan agreements (the “Existing Allegro Loans”), (ii) the assumption by us of $42.7 million in aggregate principal amount of debt owed by PSL 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Sanken under certain intercompany loan and line-of-credit agreements (the “PSL-Sanken Loans”), that was subsequently forgiven in exchange for our transfer to Sanken of 70% of the issued and outstanding equity interests in PSL, and (iii) the termination of the Existing Allegro Loans and the issuance, pursuant to a consolidated and restructured loan agreement (the “Consolidated Loan Agreement”), of a note payable to us in an aggregate principal amount of $51.4 million (representing the aggregate principal amount of debt outstanding under the Existing Allegro Loans prior to their termination); and</w:t>
      </w:r>
    </w:p>
    <w:p>
      <w:pPr>
        <w:spacing w:after="0" w:line="75" w:lineRule="exact"/>
        <w:rPr>
          <w:sz w:val="20"/>
          <w:szCs w:val="20"/>
          <w:color w:val="auto"/>
        </w:rPr>
      </w:pPr>
    </w:p>
    <w:p>
      <w:pPr>
        <w:jc w:val="both"/>
        <w:ind w:left="1300" w:hanging="320"/>
        <w:spacing w:after="0" w:line="261" w:lineRule="auto"/>
        <w:tabs>
          <w:tab w:leader="none" w:pos="12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extinguishment of all outstanding indebtedness owed by us to Sanken under the PSL-Sanken Loans, we (i) divested 70% of the issued and outstanding equity interests in PSL to Sanken, as a result of which Sanken holds a 70% majority share in PSL and we hold a 30% interest, and (ii) amended and restated the existing limited liability company agreement of PSL to admit Sanken as a member, reflect the Recapitalization and otherwise reflect the rights and obligations of us and Sanken thereunder;</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AML entered into an amendment to a wafer foundry agreement, dated as of April 12, 2013, between AML and PSL (as amended, the “Wafer Foundry Agreement”), pursuant to which AML agreed, among other things, to a minimum wafer purchase obligation by us from PSL during the initial three-year term of the Wafer Foundry Agreement;</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AML entered into a letter agreement with PSL pursuant to which AML agreed, among other things, to make a one-time price support payment to PSL of approximately $5.9 million in cash or, at AML’s option, as a reduction of PSL’s existing debt obligations under the Consolidated Loan Agreement (such letter agreement, the “Price Support Agreement”);</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AML entered into a letter agreement with Sanken providing for, among other things, the termination of AML’s services under the Sanken Products Distribution Agreement (such letter agreement, the “Sanken Products Distribution Termination Letter”);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Sanken and PSL entered into a new distribution agreement providing for, among other things, PSL to serve as a distributor of Sanken products in North America, South America and Europe;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transition services agreement with PSL and Sanken pursuant to which we agreed, among other things, to provide certain human resources, legal and distribution support services to PSL during the initial transition period following the consummation of the PSL Divestiture on the terms set forth therein (such agreement, the “TSA”);</w:t>
      </w:r>
    </w:p>
    <w:p>
      <w:pPr>
        <w:spacing w:after="0" w:line="6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We entered into an amended and restated transfer pricing agreement with AML, Sanken and PSL pursuant to which, among other things, we are no longer required to make payments to PSL in respect of transfer pricing adjustments;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entered into certain other agreements with Sanken and PSL.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Voxtel</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28, 2020, we acquired Voxtel, a privately-held technology company located in Beaverton, Oregon that specializes in components for eye-safe LiDAR used in ADAS, fully autonomous vehicles, and industrial automation. The total purchase price of the acquisition was $26.1 million, excluding certain earn outs that have a potential payout of $15.0 million. As of March 25, 2022, the fair value of these earn-outs was $2.8 million. In addition to the laser technology, Voxtel’s capabilities included its Indium Gallium Arsenide (“InGaAs”) APDs and APD photoreceivers—highly sensitive in the important eye-safe region around 1550 nanometers (“nm”). This technology enables images to be obtained over a wide range of weather conditions and over a long-distance or a wide field of view using a laser that doesn’t pose an ocular hazard. The combination of these highly-sensitive detectors and high-peak-power eye-safe lasers, combined with Voxtel’s custom integrated circuits and electro-optical packaging expertise, allows for cost-effective, compact laser-ranging and 3D-image sensing. As of the acquisition, Voxtel held more than 38 US patents, representing a comprehensive laser detection and ranging (“LADAR”)/LiDAR photonic technology suite.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semiconductor industry, particularly the market for high-performance analog mixed-signal semiconductors, is highly competitive. Although no one company competes with us across all of our product lines, we face significant competition within each of our business areas from both domestic and international semiconductor companies. Our primary magnetic sensor and power IC competitors are other semiconductor design and manufacturers, such as Analog Devices, Infineon, Maxim Integrated, Melexis, Monolithic Power Systems, TDK Micronas, and Texas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against these companies depends on elements both within and outside of our control. Some of our competitors have substantially greater financial, technical, marketing and management resources than we have. These competitive advantages may enable them to respond more quickly to new or emerging technologies or changes in customer requirements, or better position them to withstand adverse economic or market conditions.</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believe we can successfully compete against these organizations in our target markets by leveraging our design expertise, market leadership position, proprietary manufacturing processes, custom packaging capabilities and close customer relationships. In addition, we compete in our target markets to varying degrees on the basis of a number of competitive factors, including:</w:t>
      </w:r>
    </w:p>
    <w:p>
      <w:pPr>
        <w:spacing w:after="0" w:line="6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and application expertise;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reliability;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systems and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and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solution price.</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we currently compete favorably with respect to these factors. However, we cannot assure you that our products will continue to compete favorably or that we will be successful in the face of increasing competition from new products and enhancements introduced by existing competitors or new competitors entering our markets. See “Risk Factors—Risks Related to our Business and Industry—We face intense competition and may not be able to compete effectively, which could reduce our market share and decrease our net sales and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business exhibits some seasonality. Historically, our revenue has generally been higher in the second half of the year than in the first half. However, various factors, such as market conditions, new product introductions and the supply chain environment, can impact the effects of seasonality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employees are our most valuable assets. They contribute to Allegro’s success and, in particular, the skilled and experienced employees within our manufacturing, sales, service, research and development and quality assurance departments are instrumental in driving operational execution and strong financial performance, advancing innovation and maintaining a strong quality and compliance program.</w:t>
      </w:r>
    </w:p>
    <w:p>
      <w:pPr>
        <w:spacing w:after="0" w:line="6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As of March 25, 2022, we employed 4,036 full-time employees, including 549 in research and development, 3,069 in manufacturing (the overwhelming majority located at our AMPI facility in the Philippines), 211 in sales and marketing and 207 in general and administrative. We consider our relationship with our employees to be good. We have never experienced a labor-related work stoppage. None of our employees are either represented by a labor union or subject to a collective bargaining agreement.</w:t>
      </w:r>
    </w:p>
    <w:p>
      <w:pPr>
        <w:spacing w:after="0" w:line="6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success and growth of Allegro’s business is dependent in large part on our ability to attract, retain and develop a diverse population of talented and high-performing employees at all levels of our organization. For our research, engineering and production management positions, we require employees with university and graduate-level degrees. As of March 25, 2022, 1,506 of our employees held university and graduate-level degrees, of which 764 of these employees were located outside of our factory locations. Globally, the demand for employees with such levels of education is high and competitive.</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succeed in these conditions, Allegro implements key recruitment and retention strategies, objectives and effectiveness measures as part of the overall management of our business. These core strategies are advanced through the following programs, policies and initiatives:</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Competitive Pay and Benefits. </w:t>
      </w:r>
      <w:r>
        <w:rPr>
          <w:rFonts w:ascii="Times New Roman" w:cs="Times New Roman" w:eastAsia="Times New Roman" w:hAnsi="Times New Roman"/>
          <w:sz w:val="18"/>
          <w:szCs w:val="18"/>
          <w:color w:val="auto"/>
        </w:rPr>
        <w:t>Allegro’s compensation programs are designed to align the compensation of our employees, who operate in a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and technologically challenging environment, with Allegro’s business performance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provide the proper incentives to attract, retain and motivate employees to achieve superior performance. The structure of our compensation programs balances incentive earnings for both short-term and long-term performance. Specifically:</w:t>
      </w:r>
    </w:p>
    <w:p>
      <w:pPr>
        <w:spacing w:after="0" w:line="54"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employee wages that are competitive and consistent with employees’ positions, skill levels, experience, knowledge and geographic location.</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participate in our annual cash bonus program, allowing them to share in the profitability and business performance of Allegro. We also generally provide equity grants and an employee stock purchase plan to salaried employees consistent with geographic compensation practices and subject to regulatory compliance. These programs each further align our employees’ financial interests with the performance of the business and the interests of our stockholders.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provide annual compensation increases and incentive compensation based on merit.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compensation data from a compensation and benefits consulting firm to allow us to ensure we provide competitive compensation in each of the geographic locations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align our executives’ annual and long-term equity compensation with our stockholders’ interests by linking realizable pay with stock performance and operating metrics.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comprehensive benefit options designed to retain our employees and support their families in living healthier and more secure lives.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recruitment, retention and development. </w:t>
      </w:r>
      <w:r>
        <w:rPr>
          <w:rFonts w:ascii="Times New Roman" w:cs="Times New Roman" w:eastAsia="Times New Roman" w:hAnsi="Times New Roman"/>
          <w:sz w:val="18"/>
          <w:szCs w:val="18"/>
          <w:color w:val="auto"/>
        </w:rPr>
        <w:t>Allegro works diligently to attract the best talent from a broad array of sources to meet the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demands of our business. We have established relationships with trade schools, world-class universities, professional associations and industry groups to proactively attract talented and capable new hires. We also utilize social media, local job fairs and educational organizations to find diverse, motivated and responsible employees. We believe we have made strides to increase diversity in management positions, building internal resources for potential future leadership openings. Allegro has a strong employee value proposition that leverages our technology leadership, collaborative working environment, shared sense of purpose and culture, and desire to do the right thing to attract talent to our company. In fiscal 2022, we hired approximately 513 new employees.</w:t>
      </w:r>
    </w:p>
    <w:p>
      <w:pPr>
        <w:spacing w:after="0" w:line="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monitor employee turnover rates, as our success depends upon retaining and investing in our highly trained manufacturing and technical staff. Allegro strives to decrease voluntary turnover rates and thereby increase employee tenure by ensuring a combination of competitive compensation, individual developmental opportunities and personal career enrichment and growth. We believe our retention at the technical, professional and managerial levels is high. In fiscal 2021, amidst global uncertainty and turmoil resulting from the COVID-19 pandemic, we introduced a number of special initiatives to minimize the impact on our employees and to safeguard their health and safety. These initiatives included compensation programs designed to provide a source of income to employees who needed to be absent from work as a result of the pandemic and enhanced “appreciation pay” to recognize the significant contributions of hourly employees who continued to work on-site. Throughout the crisis, we believe our employees took immense pride in the shared purpose of making products that supported the world’s critical supply chains within a wide range of essential businesses and services.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Information about our Executive Officers. </w:t>
      </w:r>
      <w:r>
        <w:rPr>
          <w:rFonts w:ascii="Times New Roman" w:cs="Times New Roman" w:eastAsia="Times New Roman" w:hAnsi="Times New Roman"/>
          <w:sz w:val="18"/>
          <w:szCs w:val="18"/>
          <w:color w:val="auto"/>
        </w:rPr>
        <w:t>The following table sets forth certain information regarding our executive officers as of May 18,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40" w:type="dxa"/>
            <w:vAlign w:val="bottom"/>
            <w:tcBorders>
              <w:bottom w:val="single" w:sz="8" w:color="CCEEFF"/>
            </w:tcBorders>
          </w:tcPr>
          <w:p>
            <w:pPr>
              <w:spacing w:after="0"/>
              <w:rPr>
                <w:sz w:val="20"/>
                <w:szCs w:val="20"/>
                <w:color w:val="auto"/>
              </w:rPr>
            </w:pP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25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Ravi Vig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shd w:val="clear" w:color="auto" w:fill="CCEEFF"/>
          </w:tcPr>
          <w:p>
            <w:pPr>
              <w:spacing w:after="0"/>
              <w:rPr>
                <w:sz w:val="21"/>
                <w:szCs w:val="21"/>
                <w:color w:val="auto"/>
              </w:rPr>
            </w:pPr>
          </w:p>
        </w:tc>
        <w:tc>
          <w:tcPr>
            <w:tcW w:w="59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President and Chief Executive Officer, Director </w:t>
            </w:r>
            <w:r>
              <w:rPr>
                <w:rFonts w:ascii="Times New Roman" w:cs="Times New Roman" w:eastAsia="Times New Roman" w:hAnsi="Times New Roman"/>
                <w:sz w:val="23"/>
                <w:szCs w:val="23"/>
                <w:color w:val="auto"/>
                <w:vertAlign w:val="superscript"/>
              </w:rPr>
              <w:t>(1)</w:t>
            </w:r>
          </w:p>
        </w:tc>
      </w:tr>
      <w:tr>
        <w:trPr>
          <w:trHeight w:val="25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Derek P. D'Antilio</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2"/>
                <w:szCs w:val="22"/>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5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Sharon S. Briansky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40" w:type="dxa"/>
            <w:vAlign w:val="bottom"/>
            <w:shd w:val="clear" w:color="auto" w:fill="CCEEFF"/>
          </w:tcPr>
          <w:p>
            <w:pPr>
              <w:spacing w:after="0"/>
              <w:rPr>
                <w:sz w:val="22"/>
                <w:szCs w:val="22"/>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5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Doogue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40" w:type="dxa"/>
            <w:vAlign w:val="bottom"/>
          </w:tcPr>
          <w:p>
            <w:pPr>
              <w:spacing w:after="0"/>
              <w:rPr>
                <w:sz w:val="22"/>
                <w:szCs w:val="22"/>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of Technology and Products</w:t>
            </w:r>
          </w:p>
        </w:tc>
      </w:tr>
      <w:tr>
        <w:trPr>
          <w:trHeight w:val="25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 R. Glover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shd w:val="clear" w:color="auto" w:fill="CCEEFF"/>
          </w:tcPr>
          <w:p>
            <w:pPr>
              <w:spacing w:after="0"/>
              <w:rPr>
                <w:sz w:val="22"/>
                <w:szCs w:val="22"/>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of Worldwide Sales</w:t>
            </w:r>
          </w:p>
        </w:tc>
      </w:tr>
      <w:tr>
        <w:trPr>
          <w:trHeight w:val="25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C. Teebagy, Jr.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2"/>
                <w:szCs w:val="22"/>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of Operations and Quality</w:t>
            </w:r>
          </w:p>
        </w:tc>
      </w:tr>
      <w:tr>
        <w:trPr>
          <w:trHeight w:val="257"/>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Valente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shd w:val="clear" w:color="auto" w:fill="CCEEFF"/>
          </w:tcPr>
          <w:p>
            <w:pPr>
              <w:spacing w:after="0"/>
              <w:rPr>
                <w:sz w:val="22"/>
                <w:szCs w:val="22"/>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bl>
    <w:p>
      <w:pPr>
        <w:spacing w:after="0" w:line="72" w:lineRule="exact"/>
        <w:rPr>
          <w:sz w:val="20"/>
          <w:szCs w:val="20"/>
          <w:color w:val="auto"/>
        </w:rPr>
      </w:pPr>
    </w:p>
    <w:p>
      <w:pPr>
        <w:ind w:left="340" w:hanging="332"/>
        <w:spacing w:after="0" w:line="282" w:lineRule="auto"/>
        <w:tabs>
          <w:tab w:leader="none" w:pos="38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disclosed, Mr. Vig is retiring from his position as President and Chief Executive Officer, effective on June 13, 2022. Vineet Nargolwala has been appointed to serve as President and Chief Executive Officer of the Company, effective June 13, 2022.</w:t>
      </w:r>
    </w:p>
    <w:p>
      <w:pPr>
        <w:spacing w:after="0" w:line="54"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Ravi Vig </w:t>
      </w:r>
      <w:r>
        <w:rPr>
          <w:rFonts w:ascii="Times New Roman" w:cs="Times New Roman" w:eastAsia="Times New Roman" w:hAnsi="Times New Roman"/>
          <w:sz w:val="18"/>
          <w:szCs w:val="18"/>
          <w:color w:val="auto"/>
        </w:rPr>
        <w:t>has served as our Chief Executive Officer and as a member of our board of directors since 2016. Mr. Vig joined Allegro in 1984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Analog Design Engineer and then as a Design Manager. Mr. Vig helped to launch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Company’s magnetic sensor IC business. Mr. Vig later spearheaded the marketing effort for these innovative products, where he became the Vice President of our Sensors Business Unit. Mr. Vig has also served as the Senior Vice President of Business Development, responsible for our sensor and power IC businesses. Prior to being named President and Chief Executive Officer in 2016, Mr. Vig served as our Chief Operating Officer. Mr. Vig holds over 50 U.S. patents in the areas of sensors and semiconductors. Mr. Vig serves as a Trustee for the Committee for Economic Development, a nonprofit, nonpartisan, business-led public policy organization. Mr. Vig received a B.S. in Electrical Engineering from Rutgers University in 1982 and an M.S. in Engineering from Dartmouth College in 1984. Mr. Vig received an M.B.A. from Southern New Hampshire University in 1991 and completed the Global Executive Leadership Program at Yale University in 2017.</w:t>
      </w:r>
    </w:p>
    <w:p>
      <w:pPr>
        <w:spacing w:after="0" w:line="77"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Derek P. D’Antilio </w:t>
      </w:r>
      <w:r>
        <w:rPr>
          <w:rFonts w:ascii="Times New Roman" w:cs="Times New Roman" w:eastAsia="Times New Roman" w:hAnsi="Times New Roman"/>
          <w:sz w:val="18"/>
          <w:szCs w:val="18"/>
          <w:color w:val="auto"/>
        </w:rPr>
        <w:t>has served as our Senior Vice President, Chief Financial Officer and Treasurer since he joined Allegro in January 2022.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Allegro, Mr. D’Antilio most recently served as the Chief Financial Officer of a Summit Partners Portfolio Company and helped lead the recent sale and recapitalization of the company. From February 2019 to March 2021, he served as the Chief Financial Officer of IDEX Biometrics, a publicly traded and global fabless semiconductor company, where he played an instrumental role in leading a Nasdaq listing and preparing the company to scale its production. Prior to IDEX Biometrics, Mr. D’Antilio spent eight years at MKS Instruments, a global equipment and service provider to semiconductor and industrial markets and held numerous leadership roles including Vice President &amp; Corporate Controller, where he oversaw global accounting and reporting, FP&amp;A, and treasury. Earlier in his career, Mr. D’Antilio was a CPA in public accounting and served as an audit manager at PwC. Mr. D’Antilio holds a B.S.B.A. in Accounting from Salem State University and an M.B.A. from Babson College.</w:t>
      </w:r>
    </w:p>
    <w:p>
      <w:pPr>
        <w:spacing w:after="0" w:line="77" w:lineRule="exact"/>
        <w:rPr>
          <w:sz w:val="20"/>
          <w:szCs w:val="20"/>
          <w:color w:val="auto"/>
        </w:rPr>
      </w:pPr>
    </w:p>
    <w:p>
      <w:pPr>
        <w:jc w:val="both"/>
        <w:ind w:firstLine="50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Sharon S. Briansky </w:t>
      </w:r>
      <w:r>
        <w:rPr>
          <w:rFonts w:ascii="Times New Roman" w:cs="Times New Roman" w:eastAsia="Times New Roman" w:hAnsi="Times New Roman"/>
          <w:sz w:val="18"/>
          <w:szCs w:val="18"/>
          <w:color w:val="auto"/>
        </w:rPr>
        <w:t>has served as our Senior Vice President, General Counsel and Secretary since she joined Allegro in December 2021.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Allegro, Ms. Briansky served as the Vice President, Deputy General Counsel and Secretary at Thermo Fisher Scientific (“Thermo Fisher”) from 2017 to 2021. Prior to that she served as Vice President, Associate General Counsel at Thermo Fisher from 2005 to 2017. Ms. Briansky received a B.A. in Political Science from the University of North Carolina in 1995 and a J.D. from Boston University School of Law in 1998.</w:t>
      </w:r>
    </w:p>
    <w:p>
      <w:pPr>
        <w:spacing w:after="0" w:line="68"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C. Doogue </w:t>
      </w:r>
      <w:r>
        <w:rPr>
          <w:rFonts w:ascii="Times New Roman" w:cs="Times New Roman" w:eastAsia="Times New Roman" w:hAnsi="Times New Roman"/>
          <w:sz w:val="18"/>
          <w:szCs w:val="18"/>
          <w:color w:val="auto"/>
        </w:rPr>
        <w:t>has served as our Senior Vice President of Technology and Products since 2019. Mr. Doogue joined Allegro in 1998 as a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 facilitating the development of Allegro’s innovative speed and current sensor ICs. Mr. Doogue has also served in various leadership positions at Allegro, including as Design Manager from 2002 to 2006, Director of Strategic Marketing from 2006 to 2011, Business Unit Director of Linear Current Sensors from 2011 to 2016 and as Vice President of Advanced Sensor Technologies from 2016 to 2019. Mr. Doogue holds over 70 U.S. patents in the areas of sensors and semiconductors. Mr. Doogue received a B.A. in Physics from Colby College in 1997 and a B.E. in Electrical Engineering from Dartmouth College in 1998. In 2007, Mr. Doogue completed the Stanford Executive Program at the Stanford University Graduate School of Business.</w:t>
      </w:r>
    </w:p>
    <w:p>
      <w:pPr>
        <w:spacing w:after="0" w:line="74" w:lineRule="exact"/>
        <w:rPr>
          <w:sz w:val="20"/>
          <w:szCs w:val="20"/>
          <w:color w:val="auto"/>
        </w:rPr>
      </w:pPr>
    </w:p>
    <w:p>
      <w:pPr>
        <w:jc w:val="both"/>
        <w:ind w:firstLine="50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 R. Glover </w:t>
      </w:r>
      <w:r>
        <w:rPr>
          <w:rFonts w:ascii="Times New Roman" w:cs="Times New Roman" w:eastAsia="Times New Roman" w:hAnsi="Times New Roman"/>
          <w:sz w:val="18"/>
          <w:szCs w:val="18"/>
          <w:color w:val="auto"/>
        </w:rPr>
        <w:t>has served as our Senior Vice President of Worldwide Sales since he joined Allegro in 2019. Prior to joining Allegro, Mr. Glover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General Manager of the Automotive Sales Group at Intel Corporation, a computing, networking, data storage, and communications solutions company from 2016 to 2019. Mr. Glover also served as Intel Corporation’s Director of Sales from 2013 to 2016, and also served in various leadership, sales, marketing and engineering roles from 2001 to 2013. Mr. Glover received a B.S. in Electrical Engineering from the University of Cincinnati in 2004.</w:t>
      </w:r>
    </w:p>
    <w:p>
      <w:pPr>
        <w:spacing w:after="0" w:line="68"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C. Teebagy, Jr. </w:t>
      </w:r>
      <w:r>
        <w:rPr>
          <w:rFonts w:ascii="Times New Roman" w:cs="Times New Roman" w:eastAsia="Times New Roman" w:hAnsi="Times New Roman"/>
          <w:sz w:val="18"/>
          <w:szCs w:val="18"/>
          <w:color w:val="auto"/>
        </w:rPr>
        <w:t>has served as our Senior Vice President of Operations and Quality since 2017. Mr. Teebagy joined Allegro in 2005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Senior Director of Manufacturing Technology from January 2005 to May 2014. Mr. Teebagy also served as a Vice President of Manufacturing Technology from May 2014 to July 2016 and as a Vice President of Operations from July 2016 to June 2017. Prior to joining Allegro, Mr. Teebagy was employed by International Rectifier, a semiconductor manufacturing company (which was later acquired by Infineon Technologies AG), where he served as Vice President of Operations of the company’s headquarters of their Government and Space Division from 2002 to 2005. Mr. Teebagy received a B.S. in Industrial Engineering from the University of Massachusetts-Lowell in 1981 and an M.B.A. in Business Administration from Babson College in 1982.</w:t>
      </w:r>
    </w:p>
    <w:p>
      <w:pPr>
        <w:spacing w:after="0" w:line="61" w:lineRule="exact"/>
        <w:rPr>
          <w:sz w:val="20"/>
          <w:szCs w:val="20"/>
          <w:color w:val="auto"/>
        </w:rPr>
      </w:pPr>
    </w:p>
    <w:p>
      <w:pPr>
        <w:jc w:val="both"/>
        <w:ind w:firstLine="50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Joanne Valente </w:t>
      </w:r>
      <w:r>
        <w:rPr>
          <w:rFonts w:ascii="Times New Roman" w:cs="Times New Roman" w:eastAsia="Times New Roman" w:hAnsi="Times New Roman"/>
          <w:sz w:val="18"/>
          <w:szCs w:val="18"/>
          <w:color w:val="auto"/>
        </w:rPr>
        <w:t>has served as our Senior Vice President and Chief Human Resources Officer (“CHRO”) since May 17, 2022. Prior to 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 Ms. Valente served as the Company’s Vice President and CHRO from October 2020 to May 2022. Prior to that, she served as Director, Global Human Resources/Senior Human Resources Business Partner when she joined the Company in 2018. Prior to Allegro, Ms. Valente worked at Analog Devices, serving in a variety of global Human Resources Director roles across Sales, Marketing, Engineering and Talent Acquisition. Additionally, Ms. Valente has held various Human Resources leadership positions during her career with IBM, Lotus Development Corp. and Digital Equipment Corporation working across multiple high-tech industries. Ms. Valente earned her Bachelor’s degree in Management from Lesley University in Cambridge, MA, in 1992.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Occupational Health and Safety Regulation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operations are subject to various federal, state, local, international and non-U.S. laws and regulations governing pollution and environmental protection, including those relating to the release, storage, use, discharge, handling, generation, transportation, disposal, and labeling of, and human exposure to, hazardous and toxic materials, product composition and the investigation and cleanup of contaminated sites, including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We are also subject to various federal, state, local, international and non-U.S. laws and regulations relating to occupational health and safety. Any failure on our part to comply with these laws and regulations may subject us to significant fines or other civil or criminal costs, obligations, sanctions or property damage or personal injury claims, or suspension of our facilities’ operating permits. In addition, in the event of an incident involving hazardous materials, we could be liable for damages and such liability could exceed the amount of any liability insurance coverage and the resources of our business. Compliance with current or future environmental and occupational health and safety laws and regulations could restrict our ability to expand our business or require us to modify processes or incur other substantial expenses which could harm our business.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face increasing complexity in our product design and procurement operations due to the evolving nature of environmental laws regulations and standards, as well as specific customer requirements. These laws, regulations and standards have an impact on the material composition of our products entering specific markets. For example, the European Union (“EU”) adopted its Restriction of Hazardous Substance Directive (“RoHS”) in 2003 and continues to develop evolving compliance standards, with its most recent restrictions announced as part of RoHS 3, which took effect in July 2019. The EU also adopted the European Regulation on Registration, Evaluation, Authorization and Restriction of Chemicals (“REACH”) in 2007, which calls for the progressive substitution of dangerous chemicals in manufacturing. In 2006, China first published its RoHS, the Administrative Measures on the Control of Pollution Cause by Electronic Information Products. This regulation was revised in 2016 when China enacted the Administrative Measures on the Restrictions of the Use of Certain Hazardous Substances in Electrical and Electronic Products Regulations, which expanded the scope of the 2006 RoHS and is designed to restrict additional hazardous substance in certain electrical and electronic products. In addition, any business selling products to consumers in California containing certain listed chemicals or substances is subject to California Proposition 65 (officially known as the Safe Drinking Water and Toxic Enforcement Act of 1986), which requires disclosure of the listed chemical and potential health risks. In addition to these regulations and directives, we may face costs and liabilities in connection with product take-back legislation, which holds manufacturers responsible for the collection and proper disposal of their products discarded by their customers.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Although we incur costs to comply with the provisions discussed above and other applicable federal, state, local, international and non-U.S. laws and regulations relating to environmental protection in the ordinary course of our business, such costs have not materially affected, and are not presently expected to materially affect, our capital expenditures, earnings or competitive position.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any amendments to those reports, proxy statements and other information with the SEC. Documents we file with the SEC are available free of charge on our website at </w:t>
      </w:r>
      <w:r>
        <w:rPr>
          <w:rFonts w:ascii="Times New Roman" w:cs="Times New Roman" w:eastAsia="Times New Roman" w:hAnsi="Times New Roman"/>
          <w:sz w:val="18"/>
          <w:szCs w:val="18"/>
          <w:i w:val="1"/>
          <w:iCs w:val="1"/>
          <w:color w:val="auto"/>
        </w:rPr>
        <w:t>https://investors.allegromicro.com/financials/sec-filings</w:t>
      </w:r>
      <w:r>
        <w:rPr>
          <w:rFonts w:ascii="Times New Roman" w:cs="Times New Roman" w:eastAsia="Times New Roman" w:hAnsi="Times New Roman"/>
          <w:sz w:val="18"/>
          <w:szCs w:val="18"/>
          <w:color w:val="auto"/>
        </w:rPr>
        <w:t xml:space="preserve">, as soon as reasonably practicable after such material is filed with the SEC. The information included on or available through our website is not part of this or any other report we file with the SEC. Any document that we file with the SEC is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risks. You should consider these risks carefully, as well as the other information contained in this Annual Report. If any of these risks actually occurs, our business, financial condition and results of operations could be harmed materially. In that event, the trading price of our common stock might decline, and you might lose all or part of your investment. You should also refer to the other information contained in this Annual Report, including our consolidated financial statements and the related notes. Additional risks and uncertainties not presently known to us or not believed by us to be material may also negatively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Our results of operations and financial condition could be materially and adversely affected by any of the following material risks:</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downturns or volatility in general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global semiconductor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third-party wafer fabrication facilities and suppliers of other materials for our production;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adjust our purchase commitments and inventory management based on changing market conditions or customer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our product mix or customer mix may result in declines in gross margin;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semiconductor industry may limit our ability to maintain or improve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downturns in the automotive market given our customer base;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average selling prices of our products and increases in input costs may reduce gross margins;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wafer fabrication facilities may encounter sustained yield problems, disruptions, or other delays in the final assembly and test of our products which may damage customer relationships or cause us to transition manufacturing capabilities to other facilities;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implementation initiatives designed to improve our competitiveness, growth and profitability may result in significant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net sales and operating results are difficult to predict accurately and may fluctuate significantly from period to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manufacturing operations in the Philippines exposes us to certain risks that may harm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portion of our net sales is generated through distributors;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could have an adverse effect on our business, financial condition, results of operations and cash flows;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could have an adverse impact on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timely and cost-effectively develop new product features or new products that address customer preferences;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effectively manage our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growth in the end markets that use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significant customers could have a material adverse effect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customer quality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design win process requires us to incur expenses with no guarantee of net sales or sufficient margins;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trade policies, including tariffs and export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warranty claims, product liability claims, and product recalls could harm the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international customers and operations subjects us to a range of regulatory, operational, financial and political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end-user demand for certain green energy products often depends on the availability of rebates, tax credits and other financial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authorization to export certain of our products could adversely impact our net sales and our ability to comply with applicable export control laws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currency exchange rates may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may limit our flexibility to operate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and highly skilled personnel to operate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information technology, intellectual property, and data security and privacy;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compliance with various governmental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Sanken and One Equity Partners (“OEP”), have substantial control over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the “corporate opportunity” doctrine to any director or stockholder who is not employed by us;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ownership of our stock, including volatility in our trading price, future sales of shares by our stockholders, dilution from the issuance of additional shares, and our lack of intent to declare or pay dividends for the foreseeable future;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Certificate of Incorporation and Bylaws and under the DGCL may limit the liability of certain individuals, prevent or discourage a takeover, or limit our stockholders’ ability to obtain a favorable judicial forum for disputes with us or our directors, officers or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implement or maintain effective internal control over financial reporting;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tax rates or the issuance of new tax legislation.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Downturns or volatility in general economic conditions, including as a result of the COVID-19 pandemic or any other outbreak of an infectious disease, could have a material adverse effect on our business, financial condition, results of operations and liquidity.</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net sales, gross margin, and profitability depend significantly on general economic conditions and the demand for products in the markets in which our customers compete. Weaknesses in the global economy and financial markets, including resulting from the ongoing COVID-19 pandemic, may in the future lead to lower demand for products that incorporate our solutions, particularly in the automotive and industrial markets. A decline in end-user demand can affect our customers’ demand for our products, the ability of our customers to obtain credit and otherwise meet their payment obligations and the likelihood of customers canceling or deferring existing orders. Our net sales, financial condition and results of operations could be negatively affected by such actions.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Volatile and/or uncertain economic conditions, as well as inflationary pressures, can adversely impact sales, gross margin and profitability and make it difficult for us to accurately forecast and plan our future business activities. To the extent expected favorable economic conditions do not materialize or take longer to materialize than expected, we may face an oversupply of our products and have excess inventory, which could result in charges for excess and obsolete inventory. Conversely, if we underestimate customer demand, we may fail to meet customer needs, which could impair our customer relationships.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any disruption in the credit markets, including as a result of the current COVID-19 pandemic, could impede our access to capital, which could be further adversely affected if we are unable to obtain or maintain favorable credit ratings. If we have limited access to additional financing sources, we may be required to defer capital expenditures or seek other sources of liquidity, which may not be available to us on acceptable terms or at all. Similarly, if our suppliers face challenges in obtaining credit or other financial difficulties, they may be unable to provide the materials we need to manufacture our products. All of these factors related to global economic conditions, which are beyond our control, could adversely impact our business, financial condition, results of operations and liquidity. For a more detailed discussion of the COVID-19 pandemic and its recent and potential impact on our business, financial condition, results of operations and liquidity, see “—Our business, financial condition, results of operations, liquidity and prospects have been, and may continue to be, adversely affected by health epidemics, pandemics and other outbreaks of infectious disease, including the current COVID-19 pandemic.”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may not be able to compete effectively, which could reduce our market share and decrease our net sales and profitability.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in an intensely competitive segment of the global semiconductor industry. Our competitive landscape includes rapid technological change in product design and manufacturing, continuous declines in ASPs, and customers who make purchase decisions based on a mix of factors of varying importance. The most important competitive factors that we face are time to market, system and application expertise and product quality and reliability. The relative importance placed on each of these factors varies from customer-to-customer and from market-to-market. Our ability to compete in this environment depends on many factors, including our ability to identify emerging markets and technology trends in an accurate and timely manner, introduce new and innovative products, implement new manufacturing technologies at a sustainable pace, maintain the performance and quality of our products, and manufacture our products in a cost-effective manner, as well as our competitors’ performance and general economic and industry market conditions. In addition, in an environment of constrained supply, such as that faced in connection with the significant increase in semiconductor IC demand as we came out of the initial COVID-19 pandemic downturn, if our competitors have a greater ability to meet customer demand, we could lose business we might otherwise gain.</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Often, we compete against larger companies that possess substantial financial, technical, development, engineering, manufacturing and marketing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To the extent our profitability is negatively impacted by competitive pressures and reduced pricing, our business, financial condition, results of operations and growth prospects may be materially and adversely affected.</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wafer fabrication facilities for the fabrication of semiconductor wafers and on a limited number of suppliers of other materials, and the failure of any of these suppliers or additional suppliers to supply wafers or other materials on a timely basis could harm our business and our financial results.</w:t>
      </w:r>
    </w:p>
    <w:p>
      <w:pPr>
        <w:spacing w:after="0" w:line="67"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currently rely on a limited number of third-party wafer fabrication facilities for the fabrication of semiconductor wafers used in the manufacture of our IC products and we purchase a number of key materials and components used in the manufacture of our products from single or limited sources. We depend on these foundries and other sources to meet our production needs. These foundries have limited production capacities with little ability to quickly expand capacity. From time to time, including during the significant worldwide increase in semiconductor IC demand as we came out of the initial COVID-19 pandemic downturn, we have encountered shortages and delays in obtaining wafers and other components and materials, and we may encounter additional shortages and delays in the future. For example, in early 2022, a spike in COVID-19 cases in multiple cities in China has caused the Chinese government to reimpose lockdown measures, which have negatively impacted either our supply chains or our customers’ supply chains, as well as customer demand for our products, and these shutdowns may continue or recur in the foreseeable future. Additionally, two of our third-party wafer fabrication facilities are located in Taiwan, and geopolitical changes in China-Taiwan relations could disrupt their operations. If we cannot supply our products due to a lack of components, including semiconductor wafers, or are unable to source materials from other suppliers or to redesign products with other components in a timely manner, our business will be significantly harmed. We do not have long-term contracts with some of our suppliers and third-party manufacturers. As a result, any such supplier or third-party manufacturer can discontinue supplying components or materials to us at any time and without penalty. Moreover, we depend on the quality of the wafers and other components and materials that they supply to us, over which we have limited control. Any one or more of our other suppliers may become financially unstable as the result of global market conditions. Moreover, our suppliers’ abilities to meet our requirements could be impaired or interrupted by factors beyond their control, such as natural disasters or other disruptions. In the event that any one or more of our suppliers is unable or unwilling to deliver us products and we are unable to identify alternative sources of supply for such materials or components on a timely basis, our operations may be adversely affected. In addition, even if we identify any such alternative sources of supply, we could experience delays in testing, evaluating and validating materials or products of potential alternative suppliers or products we obtain through outsourcing. Qualifying new contract manufacturers, and specifically semiconductor foundries, is time consuming and might result in unforeseen manufacturing and operations problems. Furthermore, financial or other difficulties faced by our suppliers, or significant changes in demand for the components or materials they use in the products they supply to us, could limit the availability of those products, components or materials to us. We are also subject to potential delays in the development by our suppliers of key components which may affect our ability to introduce new products. Any of these problems or delays could damage our relationships with our customers,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reputation and adversely affect our business, financial condition, results of operations and our ability to grow our business.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adjust our purchase commitments and inventory management based on changing market conditions or customer demand could result in an inability to meet customer demand or additional charges for obsolete or excess inventories or non-cancellable purchase commitments.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make significant decisions, including determining the levels of business that we will seek and accept, production schedules, levels of reliance on outsourced contract manufacturing, personnel needs and other resource requirements, based on our estimates of customer requirements. The short-term nature of the commitments by many of our customers and the possibility of rapid changes in demand for their products reduce our ability to accurately estimate future requirements of our customers.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research and development, and manufacturing expenses are relatively fixed, a reduction in customer demand may decrease our gross margins and operating income.</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base many of our operating decisions, and enter into purchase commitments, on the basis of anticipated net sales trends which are highly unpredictable. Some of our purchase commitments are not cancellable, and in some cases we are required to recognize a charge representing the amount of material or capital equipment purchased or ordered which exceeds our actual requirements. For example, we have noncancellable purchase commitments with vendors and “take-or-pay” agreements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net sales in future periods fall substantially below our expectations, or if we fail to accurately forecast changes in demand mix, we could again be required to record substantial charges for obsolete or excess inventories or noncancellable purchase commitments.</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during a market upturn, for example, the significant worldwide increase in semiconductor IC demand as we came out of the initial COVID-19 pandemic downturn, we may not be able to purchase sufficient supplies or components to meet increasing product demand, which could prevent us from taking advantage of opportunities and maximizing our net sales. In addition, a supplier could discontinue a component necessary for our design, extend lead times, limit supply or increase prices due to capacity constraints or other factors. Our failure to adjust our supply chain volume, secure sufficient supply from our third-party vendors, including our semiconductor wafer suppliers, or estimate our customers’ demand could have a material adverse effect on our net sales,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Shifts in our product mix or customer mix may result in declines in gross margin.</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Gross margins on individual products fluctuate over the product’s life cycle. Our overall gross margins have fluctuated from period to period as a result of shifts in product mix, customer mix, the introduction of new products, decreases in ASPs for older products and our ability to reduce product costs. In addition, in periods of high demand for some of our products, we may have to source a portion of materials from higher-cost providers, which may decrease overall gross margin. These fluctuations are expected to continue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industry may limit our ability to maintain or improve our net sales and profitability.</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semiconductor industry, including the analog segment of the industry in which we compete,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analog semiconductor demand. We have experienced downturns in the past and may experience such downturns in the future. For example, the industry experienced a significant downtown in connection with the most recent global recession in 2008, and again in 2019. These downturns have been characterized by diminished product demand, production overcapacity, high inventory levels and accelerated erosion of ASPs. Recent downturns in the semiconductor industry had been attributed to a variety of factors, including the initial onset of the COVID-19 pandemic, ongoing trade disputes among the United States and China, weakness in demand and pricing for semiconductors across applications and excess inventory. Recent downturns directly impacted our business, as was the case with many other companies, suppliers, distributors and customers in the semiconductor industry and other industries around the world, and any prolonged or significant future downturns in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semiconductor industry could have a material adverse effect on our business, financial condition and results of operations. Conversely, significant upturns, such as the significant increase in semiconductor IC demand as we came out of the initial COVID-19 pandemic downturn, can cause us to be unable to satisfy demand in a timely and cost-efficient manner and could result in increased competition for access to third-party foundry and assembly capacity. In the event of such an upturn, we may not be able to expand our workforce and operations in a sufficiently timely manner, procure adequate resources and raw materials, including semiconductor wafers from our third-party wafer manufacturing partners, or locate suitable third-party suppliers or other third-party subcontractors to respond effectively to changes in demand for our existing or new products, and our business, financial condition and results of operations could be materially and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portions of our sales are made to automotive industry suppliers. Any downturn in the automotive market could significantly harm our financial results.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customers that supply various systems and components to automotive OEMs accounted for 69.2%, 67.4% and 60.8% of our total net sales in fiscal years 2022, 2021 and 2020, respectively, and approximately 72.9% of our total net sales in 2020 after excluding net sales from our wafer foundry products and our distribution of Sanken products, which we no longer recognize subsequent to fiscal year 2020 upon consummation of the PSL Divestiture. This concentration of sales exposes us to the risks associated with the automotive market. For example, our anticipated future growth is highly dependent on the adoption of autonomous driving technologies and xEV powertrain vehicles,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automotive industry is also undergoing consolidation and reorganization and, in some cases, suppliers to the automotive industry have entered bankruptcy. Although we have not experienced any lost business or material bad debt write-offs as a result of this, further such changes in the automotive market could have a material adverse effect on our business, financial condition and results of operations.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Moreover, as a result of the COVID-19 pandemic and the associated responses by governments of various countries to prevent its spread, the automotive industry, including manufacturers, dealers, distributors and third-party suppliers, has been adversely impacted. For example, many automotive manufacturers were forced to suspend manufacturing operations for an extended period of time. Also, in early 2022, a spike in COVID-19 cases in multiple cities in China has caused the Chinese government to reimpose lockdown measures, which have negatively impacted either our supply chains or our customers’ supply chains, as well as customer demand for our products.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have a material adverse effect on our business, financial condition and results of operations, as well as our ability to execute our growth strategy.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Decreases in average selling prices of our products and increases in input costs may reduce our gross margins.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for our products is generally characterized by declining ASPs resulting from factors such as increased competition, overcapacity, the introduction of new products and increased unit volumes. We have in the past experienced, and in the future may experience, substantial period-to-period fluctuations in operating results due to declining ASPs. We anticipate that ASPs may decrease in the future in response to the introduction of new products by us or our competitors, or due to other factors, including pricing pressures from our customers. We typically conduct annual pricing negotiations for our existing products with some of our largest customers. In order to sustain profitable operations, we must continually reduce costs for our existing products and also develop and introduce new products with enhanced features on a timely basis that can be sold initially at higher ASPs. Failure to do so could cause our net sales and gross margins to decline, which would negatively affect our financial condition and results of operations and could significantly harm our business. In addition, in connection with the significant increase in semiconductor IC demand as we came out of the initial COVID-19 pandemic downturn, the cost of certain materials used to manufacture our products, including for semiconductor wafers, has increased as demand has outpaced supply.</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be unable to reduce the cost of our products sufficiently to enable us to compete with others. Our cost reduction efforts may not allow us to keep pace with competitive pricing pressures given the increased cost of certain materials, such as semiconductor wafers and other raw materials, and could adversely affect our gross margins. We maintain an infrastructure of facilities and human resources in several locations around the world and, as a result, have limited ability to reduce our operating costs. Accordingly, in order to remain competitive, we must continually reduce the cost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our products through design and engineering changes. We cannot assure you that we will be successful in redesigning our products and bringing redesigned products to the market in a timely manner, or that any redesign will result in sufficient cost reductions to allow us to reduce the price of our products to remain competitive or maintain or improve our gross margins. To the extent we are unable to reduce the prices of our products and remain competitive, our net sales will likely decline, resulting in further pressure on our gross margins, which could have a material adverse effect on our business, financial condition and results of operations and our ability to grow our business.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a disruption at one of our primary third-party wafer fabrication facilities, we may be required to transition our manufacturing capabilities to another facility, which could impact production efficiency and our ability to meet our customers’ needs.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reliance on a limited number of third-party wafer fabrication facilities, primarily UMC, PSL, and TSMC, for the fabrication of semiconductor wafers used in the manufacture of our IC products means that any disruption in their supply of wafers to us (including ceasing or suspending operations entirely), may require us to transfer manufacturing processes to a new location or facility. Significant disruptions in our third-party wafer fabrication facilities could occur as a result of a number of events, including, for example, the recent COVID-19 pandemic and certain natural disasters, such as earthquakes, which are commonplace in Taiwan (where both UMC and TSMC are located).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we may attempt to meet customer demand through our existing inventories, or may attempt to modify partially finished goods to meet the required fabrication specifications. Given the rapid obsolescence timeline to which our products are typically subject, however, we generally do not maintain significant levels of excess inventory and, as a result, it is unlikely that our existing inventory will be sufficient to meet customer demand during such a transition. In addition, any attempt to modify partially finished goods to meet the required fabrication specifications may not be successful and will require us to incur unanticipated costs. As a result, we may not be able to meet our customers’ needs during such a transition, which would negatively impact our net sales, potentially damage our customer relationships and our reputation and may have a material adverse effect on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sustained yield problems or other delays at our third-party wafer fabrication facilities or in the final assembly and test of our products, we may lose sales and damage our customer relationships.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manufacture of our products, including the fabrication of semiconductor wafers, and the assembly and testing of our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 From time to time, we have experienced problems in achieving acceptable yields at our third-party wafer fabrication partners, resulting in delays in the availability of components. Moreover, an increase in the rejection rate of products during the quality control process before, during or after manufacture and/or shipping of such products, results in lower yields and margins. In addition, changes in manufacturing processes required as a result of changes in product specifications, changing customer needs and the introduction of new product lines have historically significantly reduced our manufacturing yields, resulting in low or negative margins on those products. Poor manufacturing yields over a prolonged period of time could adversely affect our ability to deliver our products on a timely basis and harm our relationships with customers, which could materially and adversely affect our business, financial condition and results of operations.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implement initiatives designed to improve our competitiveness, growth and profitability. We may fail to realize the full benefits of, and could incur significant costs relating to, any such initiatives, which could materially and adversely affect our business, financial condition and results of operations.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Beginning in 2016, we began a multi-year strategic transition to extend our market leadership through targeted product portfolio expansion; to improve our operating model through a more nimble, fabless and asset-lite manufacturing strategy; to increase our IC design footprint and capacity; and to accelerate growth through enhanced sales operations. In connection with this transition, we have implemented a number of initiatives designed to improve our operating results. For example, subsequent to the end of fiscal year 2020, in order to further our strategy for developing a flexible and efficient manufacturing model that minimizes capital requirements, lowers operating costs, enhances reliability of supply and supports our growth going forward, we consummated the PSL Divestiture, transferred our Sanken products distribution business to PSL, and entered into certain other agreements and transactions with PSL, in each case, as more fully described above under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“PSL Divestiture” in Item 1. Business. In addition, on March 3, 2021, we entered into a definitive agreement to sell the AMTC Facility and consolidated our assembly and test facilities into a single site located at the AMPI Facility.</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continue to evaluate opportunities to reduce our manufacturing cost and may implement additional initiatives designed to improve our gross margin and operating results and may perform future restructurings. We cannot assure you that we will realize the cost savings and productivity improvements we expect as a result of these or any future restructuring and cost improvement initiatives. These efforts involve a significant investment of financial and human resources and significant changes to our operating processes. Future initiatives to transfer or consolidate manufacturing operations could also involve significant start-up or qualification costs for new or repurposed facilities. The failure to realize the full benefits of, or the incurrence of significant costs relating to, these or other restructuring initiatives could materially and adversely affect our business, financial condition and results of operations.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net sales and operating results are difficult to predict accurately and may fluctuate significantly from period to period. As a result, we may fail to meet the expectations of investors, which could cause our stock price to decline.</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operate in a highly dynamic industry and our future operating results could be subject to significant fluctuations, particularly on a quarterly basis. Our quarterly net sales and operating results have fluctuated significantly in the past and may continue to vary from quarter to quarter due to a number of factors, many of which are not within our control. Although some of our customers, for example those in the automotive industry, provide us with forecasts of their future requirements for our products, a significant percentage of our net sales in each fiscal quarter is dependent on sales that are booked and shipped during that fiscal quarter, and are typically attributable to a large number of orders from diverse customers and markets. As a result, accurately forecasting our operating results in any fiscal quarter is difficult. If our operating results do not meet the expectations of securities analysts and investors, our stock price may decline. Additional factors that can contribute to fluctuations in our operating results include:</w:t>
      </w:r>
    </w:p>
    <w:p>
      <w:pPr>
        <w:spacing w:after="0" w:line="8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rescheduling, increase, reduction or cancellation of significant customer orders;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qualification of our products and commencement of volume sales by our customers of systems that include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research and development and sales and marketing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future customers and end users adopt our technologies in our target end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introduction of new products and technologies by us and our competitors, and the acceptance of our new products by our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changing customer product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gain or loss of one or more key customers;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quality of materials and components that we purchase from third-party vendors and any problems or delays in the fabrication, assembly, testing or delivery of our products;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production capacity at our third-party wafer fabrication facilities or other third-party subcontractors and other interruptions in the supply chain, including as a result of materials shortages, bankruptcies or other causes;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for and changes in the cost of the other components incorporated into our customers’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of our internal manufacturing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the manufacturing costs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our product mix or customer mix;</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lower than expected ASPs;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acquisition of technologies or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rates of return or price concessions in excess of those expected or forecasted;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industry standards;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obsolescence;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inventory write-downs or write-offs;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over intellectual property rights and other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the purchasing and budgeting cycles of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or the inability to attract qualified engineers;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products and any remediation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economic conditions in various geographic areas where we or our customers do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industry conditions and seasonal patterns in our target end markets, particularly the automotive market;</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affecting the timing of customer orders or our ability to fill orders of customers including customers subject to export control or U.S. economic sanctions;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war, threat of war or terrorist actions, or the occurrence of pandemics, epidemics or other outbreaks of disease, including the current COVID-19 pandemic, or natural disasters, and the impact of these events on the factors set forth above.</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experience a delay in generating or recognizing revenues for a number of reasons. Open orders at the beginning of each quarter are typically lower than expected net sales for that quarter and are generally cancellable or reschedulable with minimal notice. Accordingly, we depend on obtaining orders during each quarter for shipment in that quarter to achieve our net sales objectives and failure to fulfill such orders by the end of a quarter may adversely affect our operating results. Furthermore, our customer agreements typically provide that the customer may delay scheduled delivery dates and cancel orders within specified timeframes without significant penalty. In addition, we maintain an infrastructure of facilities and human resources in several locations around the world and have a limited ability to reduce the expenses required to maintain such infrastructure. Because we base our operating expenses on anticipated revenue trends and a high percentage of our expenses are fixed in the short term, any delay in generating or recognizing forecasted net sales or changes in levels of our customers’ forecasted demand could materially and adversely impact our business, financial condition and results of operations. Due to our limited ability to reduce expenses, in the event our revenues decline or our net sales do not meet our expectations, it is likely that in some future quarters our operating results will decrease from the previous quarter or fall below the expectations of securities analysts and investors. As a result of these factors, our operating results may vary significantly from quarter to quarter. Accordingly, we believe that period-to-period comparisons of our results of operations should not solely be relied upon as indications of future performance. Any shortfall in net sales or net income compared to a previous quarter or to levels expected by the investment community could cause a decline in the trading price of our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our manufacturing operations in the Philippines exposes us to certain risks that may harm our business.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heavily on the manufacturing operations of the AMPI Facility, which operates as our primary internal assembly and testing facility. We depend primarily on the AMPI Facility for our sensor and power products and, if this facility suspends operations, our ability to assemble and test our products could be materially impaired. Furthermore, any disruption in operations at the AMPI Facility could adversely affect our ability to meet customer demand in a timely manner, or at all, which would lead to a reduction in our net sales and may adversely affect our reputation and customer relationships, potentially resulting in longer-term harm to our business. In addition, an earthquake, fire, flood or other natural or man-made disaster, as well as a pandemic, epidemic or other outbreak of infectious disease, including the current COVID-19 pandemic, strikes, political or civil unrest, or any number of other factors beyond our control could also disable such facility, causing catastrophic losses. Although we supplement the assembly capabilities at the AMPI Facility with several other external or independent assembly subcontractors throughout Asia, if our manufacturing operations at the AMPI Facility are obstructed or hampered, it could take a considerable length of time, at an increased cost, for us to resume manufacturing at another location, which could materially harm our manufacturing efficiency and capacity, delay production and shipments and result in costly expenditures to repair or replace this facility.</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ensure continued product manufacturing (including assembly and testing of our products), we may be required to establish or invest in alternative manufacturing facilities. Any attempt to establish or invest in alternative manufacturing facilities, however, could increase our costs, negatively affect our profitability, and limit our ability to maintain competitive prices for our products, which would negatively impact our competitive position. While we rely on the AMPI Facility as our primary manufacturing facility for our select sensor and power products, we are aware that only a few alternative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facilities have the capability to assemble and test our most advanced and complex products and if we are forced to engage such alternative manufacturing facilities, we may encounter difficulties and incur additional costs.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Accordingly, we cannot guarantee that we will be able to manage the risks and challenges associated with our dependence on the AMPI Facility, and any failure to do so could have a material adverse effect on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sales are generated through distributors, which subjects us to certain risks.</w:t>
      </w:r>
    </w:p>
    <w:p>
      <w:pPr>
        <w:spacing w:after="0" w:line="12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We sell our products worldwide through multiple sales channels, including through our direct sales force, distributors and independent sales representatives, which resell our products to numerous end customers. A significant portion of our net sales are made to distributors, accounting for approximately 36.8%, 37.3% and 25.2% of our net sales in fiscal years 2022, 2021 and 2020, respectively, excluding our distribution relationship with Sanken in Japan, which represented approximately 19.4%, 17.7% and 17.3% of our net sales in fiscal years 2022, 2021 and 2020, respectively. The impairment or termination of our relationships with our distributors, or the failure of these parties to diligently sell our products and comply with applicable laws and regulations, could materially and adversely affect our ability to generate revenue and profits. Because our distributors control the relationships with end customers, if our relationship with any distributor ends, we could also lose our relationships with their customers. Furthermore, our success is partially dependent on the willingness and ability of the sales representatives and other employees of our distributors to diligently sell our products. However, we cannot guarantee that they will be successful in marketing our products. In addition, because our distributors do not sell our products exclusively, they may focus their sales efforts and resources on other products that produce better margins or greater commissions for them or are incorporated into a broader strategic relationship with one of their other suppliers. Because we do not control the sales representatives and other employees of our distributors, we cannot guarantee that our sales processes, regulatory compliance and other priorities will be consistently communicated and executed. In addition, we may not have staff in one or more of the locations covered by our distributors, which makes it particularly difficult for us to monitor their performance. While we may take steps to mitigate the risks associated with noncompliance by our distributors, there remains a risk that they will not comply with regulatory requirements or our requirements and policies. Actions by the sales representatives and other employees of our distributors that are beyond our control could result in flat or declining sales in a given geographic area, harm to the reputation of our company or our products, or legal liability, any of which could have a material adverse effect on our business, financial condition and results of operations. See “Our failure to comply with the Foreign Corrupt Practices Act, other applicable anti-corruption and anti-bribery laws, and applicable trade control laws could subject us to penalties and other adverse consequences.” In addition to the risk of losing customers, the operation of local laws and our agreements with our distributors could make it difficult for us to replace a distributor we feel is underperforming. In addition, as discussed above, our distribution relationship with Sanken in Japan has historically accounted for a significant portion of our total net sales. As discussed in Note 21, “Related Party Transactions” to the consolidated financial statements, we have entered into a letter of intent with Sanken pursuant to which the Company and Sanken agree to start planning the transition of supply chain and sales activity in Japan from Sanken to the Company. Though we believe we will be able to establish relationships with new distributors when we transition our distribution relationship with Sanken, we cannot guarantee that we will be able to realize a similar level of net sales as under our current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beyond our control could have an adverse effect on our business, financial condition, results of operations and cash flows.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make, transport and sell products in coordination with our suppliers, customers (including OEMs), distributors and third-party manufacturers or other subcontractors is critical to our success. Damage or disruption to our supply, manufacturing or distribution capabilities resulting from weather, freight carrier availability, any potential effects of climate change, natural disaster, disease, fire, explosion, cyber-attacks, terrorism, pandemics, epidemics or other outbreaks of infectious disease, strikes, civil unrest, repairs or enhancements at facilities manufacturing or distributing our products or other reasons could impair our ability to manufacture, sell, and deliver products on a timely basis or at all.</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Similarly, disruptions in the operations of our key suppliers, third-party wafer fabrication partners or other contract manufacturers, and our compelled transition to other suppliers or third-party manufacturers could lead to supply chain problems and otherwise impair or delay our ability to deliver products to our customers on a timely basis or at all.</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companies in our industry may be affected differently by natural disasters or other disruptions depending on the location of their suppliers, operations and customers. In addition, many of our competitors are larger companies with more substantial financial and other resources and, as a result, may be better able to plan for, withstand or otherwise mitigate the effects of any such disruption. While we may take steps to plan for or address the occurrence of any such event, we cannot guarantee that we will be successful. Our failure to take adequate steps to reduce the likelihood or mitigate the potential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impact of such events, or to effectively manage such events if they occur, particularly when a wafer or packaging component is sourced from a limited number of locations or suppliers, could adversely affect our business, financial condition, results of operations and cash flows and/or require additional resources to restore our supply chain.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the COVID-19 pandemic could have an adverse impact on our business, results of operations and financial condition.</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has been, and is expected to continue to be, adversely impacted by the effects of the COVID-19 pandemic. In addition to global macroeconomic effects, the COVID-19 pandemic and related adverse public health developments have caused, and are expected to continue to cause, disruption to our domestic and international operations and sales activities. In addition, we and our suppliers, third-party distributors, sub-contractors and customers have been, and are expected to continue to be, disrupted by worker absenteeism, quarantines and restrictions on certain of our employees’ ability to perform their jobs, office and factory closures or restrictions, labor shortages, disruptions to ports and other shipping infrastructure, border closures or other travel or health-related restrictions. Depending on the magnitude of such effects on our manufacturing activities or the operations of our suppliers, third-party distributors or sub-contractors, our supply chain, manufacturing and product shipments could be delayed, which could materially adversely affect our business, results of operations and financial condition. Impacts to our customers’ operations and supply chains could also negatively impact our revenues. In addition, any economic downturn or recession brought on by the COVID-19 pandemic or other disease outbreaks could adversely affect demand for our products and impact our results of operations and financial condition. These effects, alone or taken together, could have a material adverse effect on our business, results of operations, or financial condition. The extent of the COVID-19 pandemic’s effect on our operational and financial performance will depend on future developments, including the duration, spread and intensity of the pandemic, including resurgences in certain geographic areas as a result of new strains and variants and the efficacy of vaccines, both of which are uncertain and difficult to predict. While we are not able at this time to estimate the long-term effect of these factors on our business, the adverse impact on our business, results of operations, and financial condition could be material.</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in a timely and cost-effective manner to develop new product features or new products that address customer preferences and achieve market acceptance, our operating results could be adversely affected.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customers are constantly seeking new products with more features and functionality at a lower cost, and our success relies heavily on our ability to continue to develop and market to our customers new and innovative products and improvements of existing products. In order to respond to new and evolving customer demands, achieve strong market share and keep pace with new technological, processing and other developments, we must constantly introduce new and innovative products into the market. Although we strive to respond to customer preferences and industry expectations in the development of our products, we may not be successful in developing, introducing or commercializing any new or enhanced products on a timely basis or at all.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also encounter lower manufacturing yields and longer delivery schedules in commencing volume production of new products that we introduce, which could increase our costs and disrupt our supply of such products.</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financial condition and results of operations could be materially and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continue to grow,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Unless our growth results in an increase in our revenues that is proportionate to the increase in our costs associated with this growth, our operating margins and profitability will be adversely affected. Our failure to adequately manage our growth, improve our operational, financial and management information systems,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effectively motivate and manage our new and future employees could adversely affect our business, financial condition and results of operations.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growth in the end markets that use our products. Any slowdown in the growth of these end markets could adversely affect our financial results.</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continued success will depend in large part on general economic growth and growth within our target markets in the automotive and industrial sectors. Factors affecting these markets could seriously harm our customers and, as a result, harm us, including:</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of our customers’ products;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catastrophic and other disruptive events at our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potential disruptions to our customers’ supply chain and other manufacturing and production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our customers’ financial condition;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project cancellations as a result of design flaws in the products developed by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customers to dedicate the resources necessary to promote and commercialize their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adapt to changing technological demands resulting in their products becoming obsolete;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customers’ products to achieve market success and gain broad market acceptance.</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slowdown in the growth of these end markets could adversely affect our financial results. For example, a significant element of our growth strategy depends on the increasing adoption of mild hybrid, hybrid and electric vehicles, which are expected to have higher sensor and power product content. If anticipated demand in the end market for these vehicles does not materialize, it would adversely affect demand for our products from customers and impact our ability to execute our growth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significant customers could have a material adverse effect on our business and results of operations.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fiscal year 2022, one end customer, including those served through our distributors, represented approximately 11% of our net sales, while no other end customer, including those served through our distributors, exceeded 10% of our net sales during fiscal year 2022. However, the loss of or a significant reduction in business with a significant end customer, particularly in the automotive market, could have a material adverse effect on our net sales and, in turn, on our overall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could be adversely affected if we are unable to meet customers’ quality requirements.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Semiconductor IC suppliers must meet increasingly stringent quality standards of certain OEMs and customers, particularly for automotive applications.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Our failure to achieve acceptable quality levels could adversely affect our business results.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the design win process requires us to incur expenses without any guarantee that research and development efforts will generate net sales, which could adversely affect our financial results.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focus on winning competitive bid selection processes, called “design wins,” to develop products for use in our customers’ products. These lengthy selection processes may require us to incur significant expenditures and dedicate valued engineering resources to the development of new products without any assurance that we will achieve design wins. If we incur such expenditures and fail to be selected in the bid selection process, our operating results may be adversely affected. Further, because of the significant costs associated with qualifying new suppliers, customers are likely to use the same or an enhanced version of semiconductor products from existing suppliers across a number of similar and successor products for a lengthy period of time. As a result, if we fail to secure an initial design win for any of our products to any particular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we may lose the opportunity to make future sales of those products to that customer for a significant period of time or at all and experience an associated decline in net sales relating to those products. This phenomenon is typical in the automotive market. Failure to achieve initial design wins may also weaken our position in future competitive selection processes because we may not be perceived as an industry leader.</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succeed in securing design wins for our products, we may not generate timely or sufficient net sales or margins from those wins and our financial results could suffer.</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After incurring significant design and development expenditures and dedicating engineering resources to achieve a single initial design win for a product, a substantial period of time generally elapses before we generate meaningful net sales relating to such product, if at all. The reasons for this delay include, among other things, the following:</w:t>
      </w:r>
    </w:p>
    <w:p>
      <w:pPr>
        <w:spacing w:after="0" w:line="6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customer requirements, resulting in an extended development cycle for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ramp-up of volume production of the customer’s products into which our solutions are designed;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cancellation of the customer’s product development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reduce our selling price for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of design flaws, defects, errors or bugs in the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customer acceptance of the solutions designed for the customer’s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market acceptance of our customers’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than anticipated.</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do not continue to achieve design wins in the short term, we may not be able to achieve expected net sales levels associated with these design wins. If we experience delays in achieving such sales levels, our operating results could be adversely affected. Moreover, even if a customer selects our product, we cannot guarantee that this will result in any sales of our products, as the customer may ultimately change or cancel its product plans, or our customer’s efforts to market and sell its product may not be successful.</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products to certain customers or limit demand from certain customers, which may materially and adversely affect our sales and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U.S. public officials have, from time to time, made public statements indicating possible significant changes in U.S. trade policy and have taken certain actions that may impact U.S. trade policy, including imposing new or increased tariffs on certain goods imported into the United States. Since we manufacture our products outside the United States, such changes, if adopted, could have a disproportionate impact on our business and make our products more expensive and less competitive in domestic markets. Furthermore, changes in U.S. trade policy could trigger retaliatory actions by affected countries, which could impose restrictions on our ability to do business in or with affected countries or prohibit, reduce or discourage purchases of our products by foreign customers, leading to increased costs of components contained in our products, increased costs of manufacturing our products, and higher prices for our products in foreign markets. For example, there are risks that the Chinese government may, among other things, require the use of local suppliers in place of non-Chinese suppliers like us, compel companies that do business in China to partner with local companies to conduct business and provide incentives to government-backed local customers to buy from local suppliers. Changes in, and responses to, U.S. trade policy could reduce the competitiveness of our products and cause our sales to decline, which could materially and adversely impact our business, financial condition and results of operations.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U.S. or foreign governments may take administrative, legislative or regulatory action that could materially interfere with our ability to sell products in certain countries and/or to certain customers, particularly in China. For example, the United States and China have imposed a number of tariffs and other restrictions on items imported or exported between the United States and China, and have proposed to impose a number of additional tariffs. We cannot predict what actions may ultimately be taken with respect to tariffs or trade relations between the United States and China or other countries, what products may be subject to such actions, or what actions may be taken by the other countries in retaliation. The institution of trade tariffs both globally and between the United States and China specifically carries the risk of negatively impacting China’s overall economic condition, which could have negative repercussions for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claims, product liability claims and product recalls could harm our business, results of operations and financial condition.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face an inherent business risk of exposure to warranty and product liability claims if products fail to perform as expected or is alleged to result in bodily injury, death, and/or property damage. In addition, if any of our designed products are alleged to be defective, we may be required to participate in their recall. Some OEMs expect suppliers to warrant their products for longer periods of time and are increasingly looking to them for contribution when faced with product liability claims or recalls. For example, some of our products are used in automotive safety systems, the failure of which could lead to injury or death.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Further, in the future, it is possible that we will not be able to obtain insurance coverage in the amounts and for the risks we seek at policy costs and terms we desire.</w:t>
      </w:r>
    </w:p>
    <w:p>
      <w:pPr>
        <w:spacing w:after="0" w:line="8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Additionally, in the event that our products fail to perform as expected or such failure of our products results in a recall, our reputation may be damaged, which could make it more difficult for us to sell our products to existing and prospective customers and could materially and adversely affect our business, results of operations and financial condition.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fiscal years 2022, 2021 and 2020, approximately 85.9%, 86.1% and 81.7%, respectively, of our net sales were to customers outside of the United States. In addition, a substantial majority of our products are assembled and tested at facilities outside of the United States. Our principal assembly and test facility is located in the Philippines at our AMPI Facility. We also rely on several other wafer fabrication manufacturing partners located throughout Asia. Any conflict or uncertainty in this region, including public health or safety concerns or natural disasters, could have a material adverse effect on our business, financial condition and results of operations. Moreover, conducting business outside the United States subjects us to a number of additional risks and challenges, including:</w:t>
      </w:r>
    </w:p>
    <w:p>
      <w:pPr>
        <w:spacing w:after="0" w:line="7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regulatory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other outbreak of an infectious disease, including the current COVID-19 pandemic, which may cause us or our distributors, vendors and/or customers to temporarily suspend operations in the affected city or country;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penalties and litigation related to violations of a wide variety of laws, treaties and regulations, including labor regulations and anti-corruption regulations (including the U.S. Foreign Corrupt Practices Act and the U.K. Bribery Act);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international operations across different geographic areas and cultures;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legal and economic instability, armed conflict, and civil unrest in the countries in which we and our customers, suppliers and contract manufacturers are located, such as the current conflict between Russia and Ukraine;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costs of maintaining effective data 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other supply chain delays and disruptions;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and expropriation;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withholding taxes and other potentially negative tax consequences;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outside of the U.S.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factors, individually or in combination, could impair our ability to effectively operate one or more of our foreign facilities or deliver our products, result in unexpected and material expenses, or cause an unexpected decline in the demand for our products in certain countries or regions. Our failure to manage the risks and challenges associated with our international business and operations could have a material adverse effect on our business.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example, Russia’s recent invasion of Ukraine has led to sanctions, export controls and other penalties being levied by the United States, European Union and other countries against Russia, Belarus, the Crimea Region of Ukraine, the so-called Donetsk People’s Republic, and the so-called Luhansk People’s Republic. Additional potential sanctions and penalties have also been proposed and/or threatened. Russian military actions and the resulting sanctions could adversely affect the global economy and financial markets. Any Russian response could also disrupt commercial and financial transactions. Further, conflict between Ukraine and Russia could adversely impact the global supply chain, disrupt our operations and/or our customers’ operations, negatively impact the demand for our products in our primary end markets or increase in cyberattacks and espionage.</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End-user demand for certain HEVs, EVs and green energy products often depends on the availability of rebates, tax credits and other financial incentives. The reduction, modification, expiration or elimination of such government economic incentives could reduce end-user demand and thus affect our customers’ demand for our products.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federal government, some state and local governments, as well as foreign governments provide certain incentives to end-users and purchasers of certain HEVs, EVs and green energy products in the form of rebates, tax credits and other financial incentives. End-users often rely on these governmental rebates, tax credits and other financial incentives to significantly lower the purchase price of these products. However, these incentives may expire on a particular date, end when the allocated funding is exhausted, or be reduced or terminated as a matter of regulatory or legislative policy. Any slowdown in end-user demand for our products as a result of such changes to these incentives could adversely affect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lose sales if we are unable to obtain government authorization to export certain of our products, and we will be subject to legal and regulatory consequences if we do not comply with applicable export control laws and regulations.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Exports of certain of our products and other products, including Voxtel products, are subject, or could be subject in the future, to export controls imposed by the U.S. government and administered by the U.S. Departments of State and Commerce and a small number of our products are subject to export controls imposed by the International Traffic in Arms Regulations (“ITAR”), administered by the Department of State’s Directorate of Defense Trade Controls. In certain instances, these regulations may require pre-shipment authorization from the administering department. For products subject to the Export Administration Regulations (“EAR”), administered by the Department of Commerce’s Bureau of Industry and Security, the requirement for a license is dependent on the type and end use of the product, the final destination, the identity of the end user and whether a license exception might apply. Virtually all exports of products subject to the ITAR require a license. Certain of our products are subject to EAR and some products, including certain products developed with government funding, are subject to ITAR. Products developed and manufactured in our foreign locations are subject to export controls of the applicable foreign nation.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revenues.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Failure to obtain export licenses for our products or having one or more of our customers be restricted from receiving exports from us could significantly reduce our net sales and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currency exchange rates may adversely affect our business, financial condition, results of operations and cash flows.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a decrease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could prevent us from executing our growth strategy.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operate and expand our business depends on the availability of adequate capital, which in turn depends on cash flow generated by our business and the availability of borrowings under our credit facilities and other debt, equity or other applicable financing arrangements. We believe that our existing cash resources and our access to the capital markets will be sufficient to finance our continued operations, growth strategy, planned capital expenditures and the additional expenses we expect to incur as a public company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8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to changing technologies and technical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opportunities for expansion;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and availability of sufficient management, technical, marketing and financial personnel.</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may limit our flexibility to operate our business and adversely affect our financial health and competitive position.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March 25, 2022, we had $25.0 million in aggregate principal amount of debt outstanding under our Term Loan Facility (as defined herein), no debt outstanding under our Revolving Credit Facility and $50.0 million of additional borrowings available thereunder. In order to service this indebtedness,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industry and in the economy generally. This will place us at a competitive disadvantage compared to our competitors that have less indebtedness.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agreements governing the Senior Secured Credit Facilities (as defined herein) contain, and any agreements evidencing or governing other future indebtedness may also contain, certain covenants that limit our and our restricted subsidiaries’ ability to engage in certain transactions that may be in our long-term best interests. Subject to certain limited exceptions, these covenants limit our and our restricted subsidiaries’ ability to, among other things:</w:t>
      </w:r>
    </w:p>
    <w:p>
      <w:pPr>
        <w:spacing w:after="0" w:line="7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interests that have features similar to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 and investments in joint ventures;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amalgamate, divide, dissolve or liquidate;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our equity holders, or redeem, repurchase or retire equity interests;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indebtedness that ranks junior in right of payment to the Senior Secured Credit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documents governing such junior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our assets outside the ordinary course of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negative pledge clauses that conflict with the obligation to secure the Senior Secured Credit Facilities, or agree to restrictions on the ability of subsidiaries to make distributions to the loan parties;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organizational documents in a manner materially adverse to the interest of the lenders;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 of business from that conducted as the date of such agreements;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fiscal year or method of determining fiscal quarters or fiscal months.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any collateral granted to them to secure such indebtedness. The occurrence of any of these events could have a material adverse effect on our business, financial condition and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be able to incur significant additional indebtedness in the future. While the agreements governing our Senior Secured Credit Facilities generally restrict our and our restricted subsidiaries’ ability to incur additional indebtedness, these restrictions are subject to important and significant exceptions and limitations. Also, these agreements generally do not prohibit us from incurring obligations that do not constitute indebtedness as defined therein. To the extent that we incur additional indebtedness or such other obligations, the risks associated with our indebtedness described above could increase.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to a large extent upon the continued services of our executive officers, managers and skilled personnel, including our development engineers.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 In addition, we recruit from a limited pool of engineers with expertise in analog mixed-signal semiconductor design and the competition for such personnel can be intense. The loss of one or more of our executive officers or other key personnel or our inability to locate suitable or qualified replacements could be significantly detrimental to our product development efforts and could have a material adverse effect on our business, financial condition and results of operations.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Intellectual Property, and Data Security and Privacy</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technology and inventions through patents, our ability to compete successfully and our financial results could be adversely impacted.</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seek to protect our proprietary technology and inventions, particularly those relating to the design of our products, through the use of patents. As of March 25, 2022, we owned 1,256 patents, including 671 active U.S. patents (with expiration dates between 2022 and 2041), with an additional 362 pending patent applications, including 151 U.S. patent applications. Maintenance of patent portfolios, particularly outside of the U.S.,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it is difficult and costly to monitor the use of our intellectual property. It may be the case that our intellectual property is already being infringed and infringement may occur in the future without our knowledge. The difficulty and failure to identify any violations of our intellectual property rights could materially and adversely affect our business, financial condition and result of operations and hurt our competitive advantage.</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seek to protect our proprietary technology and inventions, particularly those relating to our manufacturing processes, as trade secrets.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Intellectual Property Rights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successfully depends in part on our ability to commercialize our products without infringing the patent, trade secret or other intellectual property rights of others.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the same extent that we seek to protect our technology and inventions with patents and trade secrets,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Patent assertion entities are common in the semiconductor industry, which is characterized by frequent litigation regarding patent and other intellectual property rights. From time to time, we receive communications from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adversely affect our business. In the event that any third party succeeds in asserting a valid claim against us or any of our customers, we could be forced to do one or more of the following:</w:t>
      </w:r>
    </w:p>
    <w:p>
      <w:pPr>
        <w:spacing w:after="0" w:line="25" w:lineRule="exact"/>
        <w:rPr>
          <w:sz w:val="20"/>
          <w:szCs w:val="20"/>
          <w:color w:val="auto"/>
        </w:rPr>
      </w:pPr>
    </w:p>
    <w:p>
      <w:pPr>
        <w:ind w:left="66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importing or using certain technologies that contain the allegedly infringing intellectual property which could cause us to stop manufacturing certain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non-infringing technologies, which may not be feasible;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to the party whose intellectual property rights we may be found to be infringing; and/or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licenses for the infringed technology that may not be available on commercially reasonable terms, if at all.</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a third party causes us to discontinue the use of any of our technologies, we could be required to design around those technologies. This could be costly and time consuming and could have an adverse effect on our financial results. Any significant impairments of our intellectual property rights from any litigation we face could materially and adversely impact our business, financial condition, results of operations and our ability to compete in our industry.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critical third-party service providers may be subject to disruptions or breaches of our information technology systems that could irreparably damage our reputation and our business, expose us to liability and materially and adversely affect our results of operations.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a number of legal requirements, contractual obligations and industry standards regarding security, data protection and privacy and any failure to comply with these requirements, obligations or standards could have an adverse effect on our reputation, business, financial condition and operating results.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that are critical to our business. We own and manage some of these IT systems but also rely on third parties for a range of IT Systems and other products and services. In conducting our business, we also routinely collect and store sensitive data, including proprietary technology and information and personal information related to our business and our customers, suppliers and business partners, as well as proprietary technology and information owned by our customers (collectively, “Confidential Information”). The secure processing, maintenance and transmission of this Confidential Information is critical to our operations and business strategy.</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or our third-party service providers may be subject to IT System disruptions or breaches or compromises to Confidential Information caused by cyberattacks, computer viruses, malware (including ransomware), illegal hacking, criminal fraud or impersonation, acts of vandalism or terrorism, employee or contractor error or malfeasance, social engineering or phishing, or software related errors, bugs or other vulnerabilities. Security measures that we, our third-party service providers, and our customers have implemented may not detect or prevent such disruptions or security breaches. Cyberattacks are expected to accelerate on a global basis in both frequency and magnitude, and threat actors are increasingly sophisticated in using techniques that circumvent controls, evade detection, and remove forensic evidence, which means that we and our third-party providers may be unable to anticipate,</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contain or recover from future attacks or incidents in a timely or effective manner. In addition, the COVID-19 pandemic has increased cybersecurity risk as a result of global remote working dynamics that present additional opportunities for threat actors to engage in social engineering (for example, phishing) and to exploit vulnerabilities in non-corporate networks.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costs to us to reduce the risk of or alleviate cybersecurity attacks, breaches and vulnerabilities could be significant. Any type of security breach, attack or misuse of data, whether experienced by us or an associated third party, could harm our reputation or deter existing or prospective customers from using our products and applications, increase our operating expenses in order to contain and remediate the incident, expose us to unbudgeted or uninsured liability, disrupt our operations, divert management focus away from other priorities, increase our risk of regulatory scrutiny, result in the imposition of penalties and fines under state, federal and foreign laws or by payment networks and adversely affect our continued payment network registration and financial institution sponsorship. Moreover, any such compromise of our information security could result in the misappropriation or unauthorized publication of our Confidential Information or that of other parties with which we do business, an interruption in our operations, the unauthorized transfer of cash or other of our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liabilities for customer claims, regulatory investigations and fines, litigation, and increased costs of remediation and compliance. Any of the foregoing could irreparably damage our reputation and business, which could have a material adverse effect on our results of operations. While we maintain various insurance policies, we cannot be certain that any or all cybersecurity or privacy related losses or costs will be covered in whole or in part by our policies.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and other jurisdictions in which we operate, we are subject to various consumer protection, data privacy and information security laws and related regulations.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our business, we collect, use, store, share and otherwise process information about or relating to a range of individuals, also referred to as personal data, and other potentially sensitive and/or regulated data from individuals, customers, website visitors, employees, job applicants and employees of other companies with whom we do business, such as vendors, suppliers and business partners. Laws and regulations in the United States and around the world restrict how personal information is collected, processed, stored, used and disclosed, set standards for its security, implement notice requirements regarding privacy practices, and provide individuals with certain rights regarding the use, disclosure and sale of their protected personal information.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both the federal and various state governments have adopted or are considering, laws, guidelines or rules for the collection, distribution, use and storage of information collected from or about consumers or their devices. For example, California enacted the California Consumer Privacy Act that requires, among other things, new disclosures to California consumers, imposes new rules for collecting or using information about minors, affords consumers new abilities to opt out of certain disclosures of personal information, and provides for private rights of action and statutory in connection with certain types of data breaches.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Several foreign jurisdictions, including the EU and the U.K., have laws and regulations which are more restrictive in certain respects than those in the United States. For example, the EU General Data Protection Regulation (“GDPR”) and the U.K. equivalent, implemented stringent operational requirements for the use of personal data. The European regulatory regime also includes laws which, among other things, require EU member states to regulate marketing by electronic means and the use of web cookies and to regulate the cross-border transfer of personal data from the European Economic Area and UK, including to the United States. Each EU member state, as well as the U.K., has transposed the requirements of these and similar laws into its own national data privacy regime, and therefore the laws may differ between jurisdictions.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GDPR introduced more stringent requirements (which will continue to be interpreted through guidance and decisions over the coming years) and require organizations to erase an individual’s information upon request, implement mandatory data breach notification requirements and additional new obligations on data processors. If our privacy or data security measures fail to comply with applicable current or future laws and regulations, we may be subject to litigation, regulatory investigations and fines, enforcement notices requiring us to change the way we use personal data or our marketing practices. For example, under the GDPR we may be subject to fines of up to €20 million or up to 4% of the total worldwide annual group turnover of the preceding financial year (whichever is higher). We may also be subject to other liabilities, as well as negative publicity and a potential loss of business.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Restrictions on the collection, use, sharing or disclosure of personal information or additional requirements and liability for security and data integrity could require us to modify our solutions and features, possibly in a material manner, limit our ability to develop new products and features and subject us to increased compliance obligations and regulatory scrutiny, litigation and reputational risks, which could have a material adverse impact on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Compliance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large body of laws and regulations to which we are subject could have a material adverse effect on our business and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health and safety (Occupational Safety and Health Administration and similar state and local agencies);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business, financial condition and results of operations. If any governmental sanctions are imposed, or if we do not prevail in any possible civil or criminal litigation, our business, financial condition and results of operations could be materially and adversely affected. In addition, responding to any action will likely result in a significant diversion of management’s attention and resources and an increase in professional fees.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Foreign Corrupt Practices Act, other applicable anti-corruption and anti-bribery laws, and applicable trade control laws could subject us to penalties and other adverse consequences.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extensive international operations and a substantial portion of our business, particular with respect to our manufacturing processes and sales network, is conducted outside of the United States. Our operations are subject to the U.S. Foreign Corrupt Practices Act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Though we maintain policies, internal controls and other measures reasonably designed to promote compliance with applicable anti-corruption and anti-bribery laws and regulations, and certain safeguards designed to ensure compliance with U.S. trade control laws, our employees or agents may nevertheless engage in improper conduct for which we might be held responsible. Any violations of these anti-corruption or trade controls laws, or even allegations of such violations, can lead to an investigation and/or enforcement action, which could disrupt our operations, cause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reputation, our net sales or our stock price could be adversely affected if we become the subject of any negative publicity related to actual or perceived violations of anti-corruption, anti-bribery or trade control laws and regulations.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comply with environmental and occupational health and safety laws and regulations, we may need to modify our activities or incur substantial costs, and such laws and regulations, including any failure to comply with such laws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 regulations, could subject us to substantial costs, liabilities, obligations and fines, or require us to have our suppliers alter their processes.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semiconductor industry is subject to a variety of international, federal, state, local and non-U.S. laws and regulations governing pollution, environmental protection and occupational health and safety, including those relating to the release, storage, use, discharge, handling, generation, transportation, disposal, and labeling of, and human exposure to, hazardous and toxic materials, product composition, and the investigation and cleanup of contaminated sites, including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Failure to comply with such laws and regulations could subject us to civil or criminal costs, obligations, sanctions or property damage or personal injury claims, or suspension of our facilities’ operating permits. Compliance with current or future environmental and occupational health and safety laws and regulations could restrict our ability to expand our business or require us to modify processes or incur other substantial expenses which could harm our business. In the event of an incident involving hazardous materials, we could be liable for damages and such liability could exceed the amount of any liability insurance coverage and the resources of our business. In addition, in the event of the discovery of contaminants or the imposition of clean up obligations for which we are responsible, we may be required to take remedial or other measures which could have a material adverse effect on our business, financial condition and results of operations. In response to environmental concerns, some customers and government agencies impose requirements for the elimination and/or labeling of hazardous substances, such as lead (which is widely used in soldering connections in the process of semiconductor packaging and assembly), in electronic equipment, as well as requirements related to the take-back of products discarded by customers. For example, the EU adopted its RoHS which prohibits, with specified exceptions, the sale in the EU market of electrical and electronic equipment containing more than agreed levels of lead or other hazardous materials and China has enacted similar regulations. Environmental and occupational health and safety laws and regulations have tended to become more stringent over time, causing a need to redesign technologies, imposing greater compliance costs and increasing risks and penalties associated with violations, which could seriously harm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Sanken and OEP will continue to have substantial control over us, which could limit your ability to influence the outcome of key transactions, including a change of control, and otherwise affect the prevailing market price of our common stock.</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principal stockholders Sanken and OEP beneficially own, in the aggregate, approximately 63.6% of our outstanding common stock as of March 25, 2022. In addition, Sanken currently intends to maintain its majority ownership interest in us. The Stockholders’ Agreement gives each of Sanken and OEP SKNA, L.P., a fund affiliated with OEP (the “OEP Investor”) (in each case, for so long such party beneficially owns at least 5% of our common stock) certain rights with respect to the composition of our board of directors, including certain rights to designate members of our board of directors. As a result, these stockholders and their affiliates will have significant influence over the management and affairs of our company, as well as the ability to control the outcome of matters submitted to our stockholders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other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doctrine of “corporate opportunity” does not apply with respect to any director or stockholder who is not employed by us or our subsidiaries.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and other fiduciaries from personally benefiting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opportunities that belong to the corporation. Our Certificate of Incorporation provides that the doctrine of “corporate opportunity” does not apply with respect to the OEP Investor or its affiliates (other than us and our subsidiaries), including any of its or their respective principals, members, directors, partners, stockholders, officers, employees or other representatives (other than any such person who is also an employee of ours or our subsidiaries) or to any director or stockholder who is not employed by us or our subsidiaries (collectively, “Exempted Persons”). The Exempted Persons therefore have no duty to communicate or present corporate opportunities to us, and have the right to either hold any corporate opportunity for their own account and benefit or to recommend, assign or otherwise transfer such corporate opportunity to persons other than us, including to any other director or stockholder who is not employed by us or our subsidiaries.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result, the Exempted Persons are generally not prohibited from operating or investing in competing businesses. We therefore may find ourselves in competition with any one or more of these parties, and we may not have knowledge of, or be able to pursue, transactions that could potentially be beneficial to us. To the extent we find ourselves in competition with Exempted Persons, we may lose a corporate opportunity or suffer competitive harm, which could negatively impact our business, financial condition, results of operations or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our stockholders could cause the market price of our common stock to drop significantly, even if our business is doing well.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such sales may occur, could reduce the market price of our common stock. We have outstanding 190,473,595 shares of common stock as of March 25, 2022. We have also filed a registration statement on Form S-8 to register shares of common stock issuable under the 2020 Omnibus Incentive Compensation Plan (the “2020 Plan”) and the 2020 Employee Stock Purchase Plan (the “2020 ESPP”). These shares can be freely sold in the public market upon issuance, subject to volume limitations applicable to affiliates. The market price of our common stock could drop significantly if the holders of those shares sell them or are perceived by the market as intending to sell them. These declines in our stock price could occur even if our business is otherwise doing well.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could dilute the ownership and voting power of existing stockholders.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March 25, 2022, we have 809,526,405 shares of common stock authorized but unissued. In addition, our Certificate of Incorporation authorizes us to issue up to 20,000,000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or pay any dividends on our common stock for the foreseeable future.</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the DGCL contain anti-takeover provisions that could prevent or discourage a takeover.</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79"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have the effect of deferring, delaying or discouraging hostile takeovers, or changes in control of us or our management;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among other things,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of our board of directors, which may delay the ability of our stockholders to force consideration of a proposal or for stockholders controlling a majority of our capital stock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have opted out of Section 203 of the DGCL, but our Certificate of Incorporation provides that engaging in any of a broad range of business combinations with any “interested” stockholder (any stockholder with 15% or more of our voting stock (subject to certain exceptions, including OEP and its affiliates)) for a period of three years following the date on which the stockholder became an “interested” stockholder is prohibited, subject to certain exceptions.</w:t>
      </w:r>
    </w:p>
    <w:p>
      <w:pPr>
        <w:spacing w:after="0" w:line="6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of the Sarbanes-Oxley Act of 2002 (“Section 404”), to furnish a report by our management on, among other things, the effectiveness of our internal control over financial reporting.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pursuant to Section 404, we are required to include in the annual reports that we file with the SEC an attestation report on our internal control over financial reporting issued by our independent registered public accounting firm, and the costs and burdens of complying with Section 404 could be significant.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adversely affect our results of operations or financial condition.</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tax filings are subject to review or audit by the U.S. Internal Revenue Service (the “IRS”) and state, local and foreign taxing authorities. For example, we previously settled a tax audit relating to fiscal years 2016, 2017 and 2018. We exercise significant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Operations and Facilities</w:t>
      </w:r>
    </w:p>
    <w:p>
      <w:pPr>
        <w:spacing w:after="0" w:line="31"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18"/>
          <w:szCs w:val="18"/>
          <w:color w:val="auto"/>
        </w:rPr>
        <w:t>Our operations are primarily conducted at the locations shown below. Our subsidiary, Allegro MicroSystems Philippines Inc., in Manila, Philippines, operates our primary internal assembly and testing facility. Our corporate headquarters is located in Manchester, New Hampshire.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34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Facility Functions</w:t>
            </w:r>
          </w:p>
        </w:tc>
        <w:tc>
          <w:tcPr>
            <w:tcW w:w="23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Facility Size</w:t>
            </w:r>
          </w:p>
        </w:tc>
        <w:tc>
          <w:tcPr>
            <w:tcW w:w="332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169"/>
        </w:trPr>
        <w:tc>
          <w:tcPr>
            <w:tcW w:w="21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Manila, Philippines</w:t>
            </w:r>
          </w:p>
        </w:tc>
        <w:tc>
          <w:tcPr>
            <w:tcW w:w="10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Manufacturing –Assembly, Test, Finish</w:t>
            </w:r>
          </w:p>
        </w:tc>
        <w:tc>
          <w:tcPr>
            <w:tcW w:w="10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Approximately 370,000</w:t>
            </w:r>
          </w:p>
        </w:tc>
        <w:tc>
          <w:tcPr>
            <w:tcW w:w="10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Facility-Owned, Land (Subject to 9</w:t>
            </w:r>
          </w:p>
        </w:tc>
      </w:tr>
      <w:tr>
        <w:trPr>
          <w:trHeight w:val="184"/>
        </w:trPr>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square feet</w:t>
            </w:r>
          </w:p>
        </w:tc>
        <w:tc>
          <w:tcPr>
            <w:tcW w:w="3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coordinated leases, the longest of which has</w:t>
            </w:r>
          </w:p>
        </w:tc>
      </w:tr>
      <w:tr>
        <w:trPr>
          <w:trHeight w:val="180"/>
        </w:trPr>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 50-year term (and a 25-year renewal</w:t>
            </w: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w:t>
            </w:r>
          </w:p>
        </w:tc>
      </w:tr>
      <w:tr>
        <w:trPr>
          <w:trHeight w:val="176"/>
        </w:trPr>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Manchester, NH</w:t>
            </w:r>
          </w:p>
        </w:tc>
        <w:tc>
          <w:tcPr>
            <w:tcW w:w="3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Headquarters, Research and</w:t>
            </w:r>
          </w:p>
        </w:tc>
        <w:tc>
          <w:tcPr>
            <w:tcW w:w="2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Approximately 120,000</w:t>
            </w:r>
          </w:p>
        </w:tc>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Owned</w:t>
            </w:r>
          </w:p>
        </w:tc>
      </w:tr>
      <w:tr>
        <w:trPr>
          <w:trHeight w:val="239"/>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Development, Administrative</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square feet</w:t>
            </w:r>
          </w:p>
        </w:tc>
        <w:tc>
          <w:tcPr>
            <w:tcW w:w="3320" w:type="dxa"/>
            <w:vAlign w:val="bottom"/>
          </w:tcPr>
          <w:p>
            <w:pPr>
              <w:spacing w:after="0"/>
              <w:rPr>
                <w:sz w:val="20"/>
                <w:szCs w:val="20"/>
                <w:color w:val="auto"/>
              </w:rPr>
            </w:pPr>
          </w:p>
        </w:tc>
      </w:tr>
      <w:tr>
        <w:trPr>
          <w:trHeight w:val="180"/>
        </w:trPr>
        <w:tc>
          <w:tcPr>
            <w:tcW w:w="22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Marlborough, MA</w:t>
            </w:r>
          </w:p>
        </w:tc>
        <w:tc>
          <w:tcPr>
            <w:tcW w:w="34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Research and Development, Administrative</w:t>
            </w:r>
          </w:p>
        </w:tc>
        <w:tc>
          <w:tcPr>
            <w:tcW w:w="23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Approximately 50,000 square</w:t>
            </w:r>
          </w:p>
        </w:tc>
        <w:tc>
          <w:tcPr>
            <w:tcW w:w="33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Leased (10-year lease expires in 2028)</w:t>
            </w:r>
          </w:p>
        </w:tc>
      </w:tr>
      <w:tr>
        <w:trPr>
          <w:trHeight w:val="243"/>
        </w:trPr>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feet</w:t>
            </w:r>
          </w:p>
        </w:tc>
        <w:tc>
          <w:tcPr>
            <w:tcW w:w="3320" w:type="dxa"/>
            <w:vAlign w:val="bottom"/>
            <w:shd w:val="clear" w:color="auto" w:fill="CCEEFF"/>
          </w:tcPr>
          <w:p>
            <w:pPr>
              <w:spacing w:after="0"/>
              <w:rPr>
                <w:sz w:val="21"/>
                <w:szCs w:val="2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lease design and applications support centers in the Americas, Asia and Europe. Our decision to open and maintain additional design centers is based on several factors, including the ability to employ talented engineers at efficient costs and to better serve our local customer base.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manufacturing strategy consists of a combined internal and external sourcing strategy. This strategy enhances security of supply by providing both internal and external capacity throughout the manufacturing process, and has enabled us to reduce our capital requirements, reduce our fixed costs, obtain additional capacity to meet customer needs in periods of high demand and establish wafer process technology collaborations.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our completion of the PSL Divestiture in March 2020, we have transitioned to a fabless business model, which provides us with enhanced security of supply and manufacturing flexibility. In connection with this transaction, we entered into an amendment to our Wafer Foundry Agreement with PSL to provide for a minimum wafer purchase obligation by us from PSL during the initial three-year term of the Wafer Foundry Agreement. Our other fab partners currently include UMC and TSMC. Other than the Wafer Foundry Agreement, we do not have long-term supply agreements in place with our third-party wafer fabrication partners or other suppliers, and we purchase products on a purchase order basis.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AMPI Facility is our primary internal assembly and testing facility for our sensor and power products, with packaging capabilities and quality standards that meet stringent automotive safety and reliability specification requirements. We also supplement the assembly capabilities of the AMPI Facility with subcontractors throughout Asia, and approximately 51%, 52% and 54% of our assembly was outsourced in fiscal 2022, 2021 and 2020, respectively.</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our principal test operations are performed at the AMPI Facility, additional test capabilities are available at our Manchester, New Hampshire facility.</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committed to manufacturing products of the highest quality and performance. We strive to have a “zero-defect” quality culture focused on meeting or exceeding demanding high-temperature automotive quality standards. We strive to comply with industry standards such as IATF 16949:2016 (the automotive sector-specific quality management system standard) and ISO 14001 (a voluntary standard for environmental management published by the International Standards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Organization), and we also strive to comply with ISO 26262 ASIL product development standards, RoHS (an EU standard relating to use of certain hazardous substances in products) and similar environmental product requirements. Leading global automotive, industrial, and consumer manufacturers regularly audit our facilities for compliance with these standards, as well as with their own customer-specific standards. We are also members of the Responsible Business Alliance, the world’s largest industry coalition dedicated to corporate social responsibility in global supply chains and, in conjunction with our sustainability efforts, we participate in the CDP (formerly the Carbon Disclosure Project), a global environmental disclosure system designed to enable companies and governments to disclose and manage their carbon emissions.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currently not a party to any material legal proceedings. We may, from time to time, become involved in litigation relating to claims arising from our ordinary course of business. These claims, even if not meritorious, could result in the expenditure of significant financial and managerial resources.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323" w:lineRule="exact"/>
        <w:rPr>
          <w:sz w:val="20"/>
          <w:szCs w:val="20"/>
          <w:color w:val="auto"/>
        </w:rPr>
      </w:pPr>
    </w:p>
    <w:p>
      <w:pPr>
        <w:ind w:right="19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“ALGM”. As of May 6, 2022, there were 190,500,630 shares of our common stock held by approximately 29 holders of record, which does not include beneficial owners of common stock whose shares are held in the names of various securities brokers, dealers and registered clearing agencies.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October 2020, we paid a cash dividend in the aggregate amount of $400.0 million to holders of our Class A common stock (see Note 19, “Common Stock and Stock-Based Compensation” to the consolidated financial statements). We currently intend to retain all available funds and any future earnings to fund the development and growth of our business and the repayment of outstanding debt. Therefore, we do not anticipate declaring or paying any additional cash dividends on our common stock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following Stock Price Performance Graph and related information include comparisons required by the SEC. The Graph does not constitute “soliciting material” and should not be deemed “filed” or incorporated by reference into any other filings under the Securities Act of 1933, as amended, or the Securities Exchange Act of 1934, as amended, except to the extent we specifically incorporate this information by reference into such filing.</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line graph compares for the period beginning October 29, 2020, the initial trading date of our common stock on the Nasdaq Global Select Market, and ending on March 25, 2022, the last day of our fiscal year, the cumulative total stockholder return for our common stock, the Nasdaq Composite Index and Philadelphia Semiconductor Index, and assumes reinvestment of any dividends. The stockholder return in the graph below is not necessarily indicative of, nor it is intended to forecast, the potential future performance of our common stock, and we do not make or endorse any predictions as to future stockholder returns. We selected these comparative groups due to industry similarities and the fact that they include several direct competitors.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1049020</wp:posOffset>
            </wp:positionV>
            <wp:extent cx="5254625" cy="3257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3"/>
        </w:trPr>
        <w:tc>
          <w:tcPr>
            <w:tcW w:w="504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29, 2020</w:t>
            </w:r>
          </w:p>
        </w:tc>
        <w:tc>
          <w:tcPr>
            <w:tcW w:w="20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3/26/2021</w:t>
            </w:r>
          </w:p>
        </w:tc>
        <w:tc>
          <w:tcPr>
            <w:tcW w:w="80" w:type="dxa"/>
            <w:vAlign w:val="bottom"/>
          </w:tcPr>
          <w:p>
            <w:pPr>
              <w:spacing w:after="0"/>
              <w:rPr>
                <w:sz w:val="17"/>
                <w:szCs w:val="17"/>
                <w:color w:val="auto"/>
              </w:rPr>
            </w:pPr>
          </w:p>
        </w:tc>
        <w:tc>
          <w:tcPr>
            <w:tcW w:w="20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3/25/2022</w:t>
            </w:r>
          </w:p>
        </w:tc>
      </w:tr>
      <w:tr>
        <w:trPr>
          <w:trHeight w:val="23"/>
        </w:trPr>
        <w:tc>
          <w:tcPr>
            <w:tcW w:w="504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Allegro MicroSystems, Inc.</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$142.77</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$164.86</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Nasdaq Composite Index</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00" w:type="dxa"/>
            <w:vAlign w:val="bottom"/>
          </w:tcPr>
          <w:p>
            <w:pPr>
              <w:spacing w:after="0"/>
              <w:rPr>
                <w:sz w:val="19"/>
                <w:szCs w:val="19"/>
                <w:color w:val="auto"/>
              </w:rPr>
            </w:pPr>
          </w:p>
        </w:tc>
        <w:tc>
          <w:tcPr>
            <w:tcW w:w="200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$117.46</w:t>
            </w:r>
          </w:p>
        </w:tc>
        <w:tc>
          <w:tcPr>
            <w:tcW w:w="80" w:type="dxa"/>
            <w:vAlign w:val="bottom"/>
          </w:tcPr>
          <w:p>
            <w:pPr>
              <w:spacing w:after="0"/>
              <w:rPr>
                <w:sz w:val="19"/>
                <w:szCs w:val="19"/>
                <w:color w:val="auto"/>
              </w:rPr>
            </w:pPr>
          </w:p>
        </w:tc>
        <w:tc>
          <w:tcPr>
            <w:tcW w:w="20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$126.67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Philadelphia Semiconductor Index</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$136.02</w:t>
            </w: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$154.37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related notes and other information included elsewhere in this Annual Report on Form 10-K (the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included elsewhere in this Annual Report. Additionally, our historical results are not necessarily indicative of the results that may be expected for any period in the future.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on a 52- or 53-week fiscal year ending on the last Friday of March. Each fiscal quarter has 13 weeks, except in a 53-week year, when the fourth fiscal quarter has 14 weeks. All references to “2022,” “fiscal year 2022” or similar references relate to the 52-week period ended March 25, 2022. All references to “2021,” “fiscal year 2021” or similar references relate to the 52-week period ended March 26, 2021.</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section discusses items pertaining to and comparisons of financial results between 2022 and 2021. A discussion of 2020 items and comparisons between 2021 and 2020 financial results can be found in “Management’s Discussion and Analysis of Financial Condition and Results of Operations” in Part II, Item 7 of the Company’s Annual Report on Form 10-K for the fiscal year ended March 26, 2021 (the “2021 MD&amp;A”), filed with the SEC on May 19, 2021.</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Management’s Discussions and Analysis (“MD&amp;A”) is divided into the following sections:</w:t>
      </w:r>
    </w:p>
    <w:p>
      <w:pPr>
        <w:spacing w:after="0" w:line="6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Strategies and Outlook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Initiative to Improve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COVID-19 Pandemic</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Other Key Factors and Trends Affecting our Operating Results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Components of Our Results of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Results of Operations</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Allegro MicroSystems is a leading global designer, developer, manufacturer and marketer of sensor ICs and application-specific analog power ICs enabling the most important emerging technologies in the automotive and industrial markets. We are the number one supplier of magnetic sensor IC solutions worldwide based on market share, driven by our market leadership in automotive. We focus on providing complete IC solutions to sense, regulate and drive a variety of mechanical systems. This includes sensing the angular or linear position of a shaft or actuator, driving an electric motor or actuator, and regulating the power applied to sensing and driving circuits so they operate safely and efficiently.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headquartered in Manchester, New Hampshire and have a global footprint with 17 locations across four continents. Our portfolio includes more than 1,000 products, and we ship over one billion units annually to more than 10,000 customers worldwide. During fiscal years 2022 and 2021, we generated $768.7 million and $591.2 million in total net sales, respectively, with $119.6 million and $18.1 million in net income, respectively, and $226.1 million and $144.8 million in Adjusted EBITDA in such fiscal years, respectively.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2, 2020, we completed our IPO of 28,750,000 shares of our common stock at an offering price of $14.00 per share, of which 25,000,000 shares were sold by us and 3,750,000 shares were sold by selling stockholders, resulting in net proceeds to us of approximately $321.4 million, after deducting $20.1 million of underwriting discounts and $8.5 million of offering costs. Our common stock is listed on the Nasdaq Global Select Market under the ticker symbol “ALGM.”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 and Outlook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plan to pursue the following strategies to continue to grow our sales and enhance our profitability:</w:t>
      </w:r>
    </w:p>
    <w:p>
      <w:pPr>
        <w:spacing w:after="0" w:line="115" w:lineRule="exact"/>
        <w:rPr>
          <w:sz w:val="20"/>
          <w:szCs w:val="20"/>
          <w:color w:val="auto"/>
        </w:rPr>
      </w:pPr>
    </w:p>
    <w:p>
      <w:pPr>
        <w:ind w:left="660" w:hanging="328"/>
        <w:spacing w:after="0" w:line="28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in research and development that is market-aligned and focused on targeted portfolio expansion. </w:t>
      </w:r>
      <w:r>
        <w:rPr>
          <w:rFonts w:ascii="Times New Roman" w:cs="Times New Roman" w:eastAsia="Times New Roman" w:hAnsi="Times New Roman"/>
          <w:sz w:val="18"/>
          <w:szCs w:val="18"/>
          <w:color w:val="auto"/>
        </w:rPr>
        <w:t>We believe that our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in the areas of product design, automotive-grade wafer fabrication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both"/>
        <w:ind w:left="328"/>
        <w:spacing w:after="0" w:line="256" w:lineRule="auto"/>
        <w:rPr>
          <w:sz w:val="20"/>
          <w:szCs w:val="20"/>
          <w:color w:val="auto"/>
        </w:rPr>
      </w:pPr>
      <w:r>
        <w:rPr>
          <w:rFonts w:ascii="Times New Roman" w:cs="Times New Roman" w:eastAsia="Times New Roman" w:hAnsi="Times New Roman"/>
          <w:sz w:val="18"/>
          <w:szCs w:val="18"/>
          <w:color w:val="auto"/>
        </w:rPr>
        <w:t>technology and IC packaging development are critical to maintaining our competitive advantage. In both the automotive and industrial markets, major technology shifts driven by disruptive technologies are creating high-growth opportunities in areas such as electrified vehicles (“xEVs”), advanced driver assistance systems (“ADAS”), Industry 4.0, data centers and green energy applications. Our knowledge of customers’ end systems has driven an expansion of our sensor IC and power solutions to enable these new technologies. By aligning our research and development investments with disruptive technology trends while undergoing a rigorous ROI review, we believe we can deliver an attractive combination of growth and profitability.</w:t>
      </w:r>
    </w:p>
    <w:p>
      <w:pPr>
        <w:spacing w:after="0" w:line="77" w:lineRule="exact"/>
        <w:rPr>
          <w:sz w:val="20"/>
          <w:szCs w:val="20"/>
          <w:color w:val="auto"/>
        </w:rPr>
      </w:pPr>
    </w:p>
    <w:p>
      <w:pPr>
        <w:jc w:val="both"/>
        <w:ind w:left="328" w:hanging="328"/>
        <w:spacing w:after="0" w:line="253"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Emphasize the automotive “first” philosophy to align our product development with the most rigorous applications and safety standards.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intentional about incorporating support for the stringent automotive operating voltages, temperature ranges and safety and reliability standards into every part of our operations, from design to manufacturing. We believe our focus on meeting or exceeding industry standards as the baseline for product development increases our opportunity in the automotive market as customers look for trusted suppliers to deliver highly reliable solutions for rapidly growing emerging markets, and that our philosophy of designing for automotive safety and reliability gives us a meaningful lead over new entrants attempting to enter the automotive market. For example, we will apply this philosophy of innovation, quality and reliability to our new photonics portfolio which supplies components into safety-critical Light Detection and Ranging (“LiDAR”) applications. We also believe we can use our expertise in designing for the automotive market and our expanding product portfolio to capitalize on increasing demand among industrial customers for ruggedized solutions that meet the highest quality and reliability standards. Additionally, in our experience, demand for solutions that meet or exceed stringent safety and reliability specifications supports higher average sales prices (“ASP”) and lower ASP declines over time than are typical for our industry.</w:t>
      </w:r>
    </w:p>
    <w:p>
      <w:pPr>
        <w:spacing w:after="0" w:line="83"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to lead in chosen markets and apply our intellectual property and technology to pursue adjacent growth markets. </w:t>
      </w:r>
      <w:r>
        <w:rPr>
          <w:rFonts w:ascii="Times New Roman" w:cs="Times New Roman" w:eastAsia="Times New Roman" w:hAnsi="Times New Roman"/>
          <w:sz w:val="18"/>
          <w:szCs w:val="18"/>
          <w:color w:val="auto"/>
        </w:rPr>
        <w:t>We intend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technology advancements and our intellectual property portfolio to maintain the number one market share position in magnetic sensor ICs and achieve leadership positions in power ICs within our target markets. We believe that leveraging our technology and existing research and development, sales and support efforts will enable us to take advantage of synergistic opportunities in new, adjacent growth markets. We believe this strategy of leveraging our known capabilities to target adjacent growth markets will enable us to enjoy greater returns on our research and development investments.</w:t>
      </w:r>
    </w:p>
    <w:p>
      <w:pPr>
        <w:spacing w:after="0" w:line="7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sales channels and enhance our sales operations and customer relationships. </w:t>
      </w:r>
      <w:r>
        <w:rPr>
          <w:rFonts w:ascii="Times New Roman" w:cs="Times New Roman" w:eastAsia="Times New Roman" w:hAnsi="Times New Roman"/>
          <w:sz w:val="18"/>
          <w:szCs w:val="18"/>
          <w:color w:val="auto"/>
        </w:rPr>
        <w:t>Our global sales infrastructure is optimized to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through a combination of key account managers and regional technical and support centers near customer locations that enable us to act as an extension of our customers’ design teams, providing us with key insights into product requirements and accelerating the adoption and ramp up of our products in customer designs. We intend to continue strengthening our relationships with our existing customers while also enabling our channel partners to support demand creation and fulfillment for smaller broad-based industrial customers. We believe we will be able to further penetrate the industrial market and efficiently scale our business to accelerate growth by enabling our channel partners to become an extension of our demand generation and customer support efforts.</w:t>
      </w:r>
    </w:p>
    <w:p>
      <w:pPr>
        <w:spacing w:after="0" w:line="74"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improve our gross margins through product innovation and cost optimization. </w:t>
      </w:r>
      <w:r>
        <w:rPr>
          <w:rFonts w:ascii="Times New Roman" w:cs="Times New Roman" w:eastAsia="Times New Roman" w:hAnsi="Times New Roman"/>
          <w:sz w:val="18"/>
          <w:szCs w:val="18"/>
          <w:color w:val="auto"/>
        </w:rPr>
        <w:t>We strive to improve our profitability by both rapidly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introducing new products with value-added features and reducing our manufacturing costs through our fabless, asset-lite manufacturing model. We expect to continue to improve our product mix by developing new products for growth markets where we believe we can generate higher ASPs and/or higher gross margins. We also intend to further our relationships with key foundry suppliers to apply our product and applications knowledge to develop differentiated and cost-efficient wafer processes and packages. We believe we can reduce our manufacturing costs by leveraging the advanced manufacturing capabilities of our strategic suppliers, implementing more cost-effective packaging technologies and leveraging both internal and external assembly and test capacity to reduce our capital requirements, lower our operating costs, enhance reliability of supply and support our continued growth.</w:t>
      </w:r>
    </w:p>
    <w:p>
      <w:pPr>
        <w:spacing w:after="0" w:line="7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Pursue selective acquisitions and other strategic transactions. </w:t>
      </w:r>
      <w:r>
        <w:rPr>
          <w:rFonts w:ascii="Times New Roman" w:cs="Times New Roman" w:eastAsia="Times New Roman" w:hAnsi="Times New Roman"/>
          <w:sz w:val="18"/>
          <w:szCs w:val="18"/>
          <w:color w:val="auto"/>
        </w:rPr>
        <w:t>We evaluate and pursue selective acquisitions and other transactions to facilitate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entrance into new applications, add to our intellectual property portfolio and design resources, and accelerate our growth. From time to time, we acquire companies, technologies or assets and participate in joint ventures when we believe they will cost effectively and rapidly improve our product development or manufacturing capabilities or complement our existing product offerings.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17" w:right="339" w:bottom="1440" w:gutter="0" w:footer="0" w:header="0"/>
        </w:sectPr>
      </w:pPr>
    </w:p>
    <w:bookmarkStart w:id="51" w:name="page52"/>
    <w:bookmarkEnd w:id="51"/>
    <w:p>
      <w:pPr>
        <w:spacing w:after="0" w:line="84" w:lineRule="exact"/>
        <w:rPr>
          <w:sz w:val="20"/>
          <w:szCs w:val="20"/>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sustainability efforts. </w:t>
      </w:r>
      <w:r>
        <w:rPr>
          <w:rFonts w:ascii="Times New Roman" w:cs="Times New Roman" w:eastAsia="Times New Roman" w:hAnsi="Times New Roman"/>
          <w:sz w:val="18"/>
          <w:szCs w:val="18"/>
          <w:color w:val="auto"/>
        </w:rPr>
        <w:t>We intend to continue to innovate with purpose, aiming to address critical global challenges related to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vehicle emissions and clean and renewable energy with our sensing and power management product portfolio. In addition, we strive to operate our business in a socially responsible and environmentally sustainable manner, and with goals of maintaining dedication to social responsibility in our supply chain and disclosing the environmental impact of our business operations.</w:t>
      </w:r>
    </w:p>
    <w:p>
      <w:pPr>
        <w:spacing w:after="0" w:line="7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secular trends that drive our long-term trajectory–including vehicle electrification, advanced driver assistance systems, data center efficiency and efficient motion control–continue to see strong adoption in the market. In addition, our design win momentum and record backlog will continue to serve as significant growth drivers for fiscal 2023, contributing to an increase in our full year revenue growth outlook.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Initiatives to Improve 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implemented several initiatives over the fiscal year 2022 designed to improve our operating results.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2020, we announced that we would consolidate our assembly and test facilities into a single site, located at our manufacturing facility in the Philippines (the “AMPI Facility”). We completed this transition and closed our manufacturing facility in Thailand (the “AMTC Facility”) as of March 2021, and the AMTC Facility was sold in August 2021. Consequently, we realized an improvement in profitability in fiscal year 2022.</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continue to implement initiatives to improve gross margins. Our gross margin improved from 47.2% in fiscal year 2021 to 53.0% in fiscal year 2022. This gross margin improvement was a result of our operational transformation, improved product mix of higher ASPs on more value-added products, increased leverage of our distribution channel, and continued efficiency and leverage on higher volumes. The closure of the AMTC Facility significantly reduced our cost of goods sold and fixed overhead costs associated with operating this location. By centralizing this portion of our assembly and test facilities at the AMPI Facility, we expect to continue to realize this lower level of cost of goods for the immediate future. Additionally, we will continue to the leverage our facility to increase production where demand for our products warrants.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been successful in increasing our average selling prices through a focus on higher value-added products and selective price increases. Increased ASPs and manufacturing efficiencies have allowed us to continue to improve gross margin in an environment of limited capacity at our suppliers and rising input costs. Limited supply and increased demand for many of our products and applications, as well as supply chain disruptions related to the COVID-19 pandemic, have contributed to input cost increases on the components needed to manufacture our products. We will continue to consider opportunities for strategic price increases and process efficiencies to offset input cost increases on the materials and supplies that we use in production.</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the consolidation of our facilities as discussed above, we have attained efficiencies through cost structure improvements, streamlining of manufacturing and support processes, and further utilization of excess capacity. These manufacturing efficiencies allowed us to leverage higher volumes to keep pace with increasing demand across most of our applications, while reducing cost of goods sold and increasing the absorption of fixed costs. Although these initiatives have resulted in gross margin and operating income improvements over the previous quarters, we cannot ensure that these trends will continue over the long-term.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contains numerous tax provisions including a correction to the applicable depreciation rates available in the original Tax Cuts and Jobs Act (“TCJA”) for Qualified Improvement Property (“QIP”), temporarily establishes a five-year carryback period for current net operating losses (“NOL”), and contains a provision for deferred payment of 2020 employer payroll taxes. The Company currently estimates cash tax benefits of the QIP adjustment and NOL carryback period to be $12.8 million.</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COVID-19 pandemic continued during fiscal year 2022, and various authorities instituted measures related to the COVID-19 pandemic that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or to attend trade shows, investor conferences and other events. As the COVID-19 pandemic continues, the timing and overall demand from customers, the efficiency in our supply chain, the availability of logistical services and component supply, and the impact of rising inflation may have a material net negative impact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Key Factors and Trends Affecting our Operating Results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numerous other factors and trends, including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 with New and Existing Customers</w:t>
      </w:r>
    </w:p>
    <w:p>
      <w:pPr>
        <w:spacing w:after="0" w:line="108"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Our end customers continually develop new products in existing and new application areas, and we work closely with our significant OEM customers in most of our target markets to understand their product roadmaps and strategies. For new products, the time from design initiation and manufacturing until we generate revenue can be lengthy, typically between two and four years. As a result, our future revenue is highly dependent on our continued success at winning design mandates from our customers. Further, despite current inflationary and pricing conditions, we expect the ASPs of our products to decline over time, and we consider design wins to be critical to our future success and anticipate being increasingly dependent on revenue from newer design wins for our newer products.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ramp-up of volume production of the customer’s products into which our product is designed could adversely affect our business. In addition, volume production is contingent upon the successful introduction and market acceptance of our customers’ end products, which may be affected by several factors beyond our control.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Orders and Forecasts</w:t>
      </w:r>
    </w:p>
    <w:p>
      <w:pPr>
        <w:spacing w:after="0" w:line="108"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Demand for our products is highly dependent on market conditions in the end markets in which our customers operate, which are generally subject to seasonality, cyclicality and competitive conditions. In addition, a substantial portion of our total net sales is derived from sales to customers that purchase large volumes of our products. These customers generally provide periodic forecasts of their requirements, but these forecasts do not commit such customers to minimum purchases, and customers can revise these forecasts without penalty. In addition, as is customary in the semiconductor industry, customers are generally permitted to cancel orders for our products within a specified period.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continue to see demand for our products exceed supply and we are currently operating in an inflationary environment.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 and Product Mix</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Gross margin has been, and will continue to be, affected by a variety of factors, including the ASPs of our products, product mix in a given period, material costs, yields, manufacturing costs and efficiencies. We believe the primary driver of gross margin is the ASP negotiated between us and our customers relative to material costs and yields. Our pricing and margins depend on the volumes and the features of the products we produce and sell to our customers. As our products mature and unit volumes increase, despite current price leverage, we expect their ASPs to decline in the long term. We continually monitor and work to reduce the cost of our products and improve the potential value our solutions provide to our customers as we target new design win opportunities and manage the product life-cycles of our existing customer designs. We also maintain a close relationship with our suppliers and subcontractors to improve quality, increase yields and lower manufacturing costs. As a result, these declines often coincide with improvements in manufacturing yields and lower wafer, assembly, and testing costs, which offset some or all of the margin reduction that results from declining ASPs. However, we expect our gross margin to fluctuate on a quarterly basis as a result of changes in ASPs due to product mix, new product introductions, transitions into volume manufacturing and manufacturing costs. Gross margin generally decreases if production volumes are lower as a result of decreased demand, which leads to a reduced absorption of our fixed manufacturing costs. Gross margin generally increases when the opposite occurs.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 Nature of the Semiconductor Industry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increasingly rapid technological change, product obsolescence, competitive pricing pressures, evolving standards, short product life-cycles and fluctuations in product supply and demand. New technology may result in sudden changes in system designs or platform changes that may render some of our products obsolete and require us to devote significant research and development resources to compete effectively. Periods of rapid growth and capacity expansion are occasionally followed by significant market corrections in which sales decline, inventories accumulate and facilities go underutilized. During periods of expansion, our margins generally improve as fixed costs are spread over higher manufacturing volumes and unit sales. In addition, we may build inventory to meet increasing market demand for our products during these times, which serves to absorb fixed costs further and increase our gross margins. During an expansion cycle, we may increase capital spending and hiring to add to our production capacity. During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of slower growth or industry contractions, our sales, production and productivity suffer and margins generally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total net sales are derived from product sales to direct customers and distributors. We sell products globally through our direct sales force, third-party and related party distributors and independent sales representatives. Sales are derived from products for different applications. Shutdowns of third-party factories, in connection with COVID-19 or other factors beyond our control, have affected, and are expected to continue to affect our product sales in the next fiscal quarter. Our core applications are focused on the automotive, industrial and other industries.</w:t>
      </w:r>
    </w:p>
    <w:p>
      <w:pPr>
        <w:spacing w:after="0" w:line="58"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We sell magnetic sensor ICs, power ICs and photonics. Revenue is generally recognized when control of the products is transferred to the customer, which typically occurs at a point in time upon shipment or delivery, depending on the terms of the contract. When we transact with a distributor, our contractual arrangement is with the distributor and not with the end customer. Whether we transact business with and receive the order from a distributor or directly from an end customer through our direct sales force and independent sales representatives, our revenue recognition policy and resulting pattern of revenue recognition for the order are the same. We recognize revenue net of sales returns, price protection adjustments, stock rotation rights and any other discounts or credits offered to our customers. For the consignment arrangements with distributors, delivery occurs and revenue is recognized when the distributor pulls product from consignment inventory that it is stored at designated distributor locations. Recognition is not contingent upon resale of the products to the distributors’ customers. Until the products are pulled for use or sale by the distributor, we retain control over the products’ disposition, including the right to pull back or relocate the products.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the ratable vesting of our stock-based compensation, upon completion of our IPO during the third fiscal quarter of 2021, we recognized (i) one-time stock-based compensation charges of $40.4 million consisting of $4.1 million within cost of goods sold, $1.8 million within R&amp;D expenses, and $34.5 million within SG&amp;A expenses in connection with the vesting of all outstanding shares of Class A common stock, (ii) $1.6 million consisting of $0.2 million within cost of goods sold, $0.1 million within R&amp;D expenses, and $1.3 million within SG&amp;A expenses in connection with the automatic acceleration of 25% of the standard vesting term of shares of Class L common stock and (iii) $1.0 million consisting of $0.1 million within cost of goods sold, $0.4 million within R&amp;D expenses, and $0.5 million within SG&amp;A expenses through the conversion of awards granted under our pre-IPO cash incentive plans into restricted stock units of the Company at the time of the IPO (the “RSU Conversion Program”).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of purchasing raw materials, costs associated with probe, assembly, test and shipping our products, costs of personnel, including stock-based compensation, costs of equipment associated with manufacturing, procurement, planning and management of these processes, costs of depreciation and amortization, costs of logistics and quality assurance, and costs of royalties, value-added taxes, utilities, repairs and maintenance of equipment, and an allocated portion of our facility occupancy costs.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Gross profit is calculated as total net sales less cost of goods sold. Gross profit is affected by numerous factors, including average selling price, revenue mix by product, channel and customer, foreign exchange rates, seasonality, manufacturing costs and the effective utilization of our facilities. Another factor impacting gross profit is the time required for the expansion of existing facilities to reach full production capacity. As a result, gross profit varies from period to period and year to year.</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significant portion of our costs are fixed and, as a result, costs are generally difficult to adjust or may take time to adjust in response to changes in demand. In addition, our fixed costs increase as we expand our capacity. If we expand capacity faster than required by our sales growth, our gross margin could be negatively affected. Gross margin is calculated as gross profit divided by total net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R&amp;D expenses consist primarily of personnel-related costs of our research and development organization, including stock-based compensation, costs of development of wafers and masks, license fees for computer-aided design software,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development testing and evaluation, costs of developing automated test programs, equipment depreciation and related occupancy and equipment costs. While most of the costs incurred are for new product development, a significant portion of these costs are related to process technology development, and proprietary package development. R&amp;D expenses also include costs for technology development by external parties. We expect further increases in R&amp;D expenses, in absolute dollars and as a percentage of total net sales as we continue the development of innovative technologies and processes for new product offerings as well as increase the headcount of our R&amp;D personnel in future years.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SG&amp;A expenses consist primarily of personnel-related costs, including stock-based compensation, and sales commissions to independent sales representatives, professional fees, including the costs of accounting, audit, legal, regulatory and tax compliance. Additionally, costs related to advertising, trade shows, corporate marketing, as well as an allocated portion of our occupancy costs also comprise SG&amp;A expenses.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anticipate our selling and marketing expenses to increase in absolute terms as we expand our sales force and increase our sales and marketing activities. We also anticipate that we will continue to incur accounting, audit, legal, regulatory, compliance and director and officer insurance costs as well as investor and public relations expenses associated with being a public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Impairment of long-lived assets reflects a $7.1 million expense in the fiscal year ended March 26, 2021, representing impairment charges on the sale of the AMTC Facility. No impairment expense was recorded for the fiscal years ended March 25, 2022 and March 27,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consideration represents the gains and losses recorded in the fiscal years ended March 25, 2022 and March 26, 2021, resulting from the adjustment in contingent consideration related to the Voxtel Acquisition. There were no amounts recorded for the fiscal year ended March 27,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Loss on debt extinguishment represents the loss associated with the partial repayment of our Term Loan Facility on November 25, 2020. There were no amounts recorded for the fiscal years ended March 25, 2022 and March 27,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(expense) income, net is comprised of interest expense from term loan debt and credit facilities we maintain with various financial institutions. Current expense is partially mitigated by income earned on our cash and cash equivalents, consisting primarily of certain investments that have contractual maturities no greater than three months at the time of purchase.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(loss) gain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incur transaction gains and losses resulting from intercompany transactions as well as transactions with customers or vendors denominated in currencies other than the functional currency of the legal entity in which the transaction is recorded.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in earnings of equity investment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in earnings of equity investment is related to our equity investment in PSL subsequent to the PSL Divestiture.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net primarily consists of miscellaneous income and expense items unrelated to our core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provision, or benefit, for income taxes is based on an estimate of the annual effective tax rate plus the tax impact of discrete items.</w:t>
      </w:r>
    </w:p>
    <w:p>
      <w:pPr>
        <w:spacing w:after="0" w:line="10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 are subject to tax in the U.S. and various foreign jurisdictions. Our effective income tax rate fluctuates primarily because of: the change in the mix of our U.S. and foreign income; the impact of discrete transactions and law changes; and the difference between the amount of tax benefits generated by the foreign derived intangible income deduction (“FDII”)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credits, offset by the additional tax costs associated with global intangible low-tax income (“GILTI”), the base erosion tax (“BEAT”) and non-deductible stock-based compensation charges.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regularly assess the likelihood of outcomes that could result from the examination of our tax returns by the IRS, and other tax authorities to determine the adequacy of our income tax reserves and expense. Should actual events or results differ from our then-current expectations, charges or credits to our provision for income taxes may become necessary. Any such adjustments could have a significant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 Compared to Fiscal Year 2021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years ended March 25, 2022 and March 26,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Pr>
          <w:p>
            <w:pPr>
              <w:spacing w:after="0"/>
              <w:rPr>
                <w:sz w:val="16"/>
                <w:szCs w:val="16"/>
                <w:color w:val="auto"/>
              </w:rPr>
            </w:pPr>
          </w:p>
        </w:tc>
        <w:tc>
          <w:tcPr>
            <w:tcW w:w="15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Total net sales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128,558</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in earnings of equity investment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5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142,197</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line="282"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total net sales for the periods presented above include related party net sales generated through our distribution agreement with Sanken. See our consolidated financial statements included elsewhere in this Annual Report for additional information regarding our related party net sales for the periods set forth 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net sales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60" w:type="dxa"/>
            <w:vAlign w:val="bottom"/>
            <w:gridSpan w:val="3"/>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79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31"/>
        </w:trPr>
        <w:tc>
          <w:tcPr>
            <w:tcW w:w="7980" w:type="dxa"/>
            <w:vAlign w:val="bottom"/>
          </w:tcPr>
          <w:p>
            <w:pPr>
              <w:spacing w:after="0"/>
              <w:rPr>
                <w:sz w:val="11"/>
                <w:szCs w:val="11"/>
                <w:color w:val="auto"/>
              </w:rPr>
            </w:pPr>
          </w:p>
        </w:tc>
        <w:tc>
          <w:tcPr>
            <w:tcW w:w="1680" w:type="dxa"/>
            <w:vAlign w:val="bottom"/>
            <w:gridSpan w:val="2"/>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580" w:type="dxa"/>
            <w:vAlign w:val="bottom"/>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79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52.8 %</w:t>
            </w:r>
          </w:p>
        </w:tc>
      </w:tr>
      <w:tr>
        <w:trPr>
          <w:trHeight w:val="22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in earnings of equity investment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net sales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Total net sales increased by $177.5 million, or 30.0%, to $768.7 million in the fiscal year ended March 25, 2022 from $591.2 million in the fiscal year ended March 26, 2021. This increase was primarily due to the continued economic recovery and increases in demand for ADAS, safety, comfort and convenience, internal combustion engine (“ICE”) applications, xEV, wireless infrastructure, personal mobility, industrial automation, cloud computing/data center and gaming applications, partially offset by declines in personal electronics and PC printers and peripherals.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Trends by Market</w:t>
      </w:r>
    </w:p>
    <w:p>
      <w:pPr>
        <w:spacing w:after="0" w:line="119" w:lineRule="exact"/>
        <w:rPr>
          <w:sz w:val="20"/>
          <w:szCs w:val="20"/>
          <w:color w:val="auto"/>
        </w:rPr>
      </w:pPr>
    </w:p>
    <w:p>
      <w:pPr>
        <w:jc w:val="both"/>
        <w:ind w:firstLine="441"/>
        <w:spacing w:after="0" w:line="270" w:lineRule="auto"/>
        <w:rPr>
          <w:sz w:val="20"/>
          <w:szCs w:val="20"/>
          <w:color w:val="auto"/>
        </w:rPr>
      </w:pPr>
      <w:r>
        <w:rPr>
          <w:rFonts w:ascii="Times New Roman" w:cs="Times New Roman" w:eastAsia="Times New Roman" w:hAnsi="Times New Roman"/>
          <w:sz w:val="18"/>
          <w:szCs w:val="18"/>
          <w:color w:val="auto"/>
        </w:rPr>
        <w:t>The following table summarizes total net sales by market. The categorization of net sales by market is based on the characteristics of the end product and application into which our product will be designed.</w:t>
      </w: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8"/>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133,266</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increase in net sales to our end markets was driven by an increase in automotive of $133.3 million, or 33.5%, an increase in industrial of $38.3 million, or 40.4%, and an increase in other of $5.9 million, or 6.0%.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Automotive net sales increased in the fiscal year ended March 25, 2022 compared to the fiscal year ended March 26, 2021 due to the continued higher demand across all of our major applications, primarily our ADAS, safety, and comfort and convenience.</w:t>
      </w:r>
    </w:p>
    <w:p>
      <w:pPr>
        <w:spacing w:after="0" w:line="5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Industrial net sales improved in the fiscal year ended March 25, 2022 compared to the fiscal year ended March 26, 2021 primarily due to increased demand in industrial automation, cloud computing/data center, wireless infrastructure and personal mobility.</w:t>
      </w:r>
    </w:p>
    <w:p>
      <w:pPr>
        <w:spacing w:after="0" w:line="5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Other net sales improved in the fiscal year ended March 25, 2022 compared to the fiscal year ended March 26, 2021 primarily attributable to increased demand in gaming applications of approximately $27.0 million, partially offset by declines in personal electronics and PC printer and peripherals of approximately $21.0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Trends by Product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net sales by product: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6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8"/>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integrated circuits (“PIC”)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64,781</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Magnetic sensors integrated circuits (“MS”)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Photonics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growth in net sales by product was driven by increases in MS product sales of $112.2 million and in PIC product sales of $64.8 million, as well as a $0.5 million increase in Photonics product sales.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Trends by Geographic Location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net sales by geographic location based on ship-to location.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44,152</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Greater China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34,349</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 Korea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Asia</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5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177,467</w:t>
            </w: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increase in net sales across geographic locations in the fiscal year ended March 25, 2022 compared to the fiscal year ended March 26, 2021 was primarily due to content and market share gains, as many countries continue to experience economic expansion coming out of the COVID-19 pandemic, and demand for many of our products and applications rose year-over-year.</w:t>
      </w:r>
    </w:p>
    <w:p>
      <w:pPr>
        <w:spacing w:after="0" w:line="6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increase in net sales in Japan of $44.1 million, or 42.2%, was primarily driven by higher demand for our xEV, ADAS, personal mobility and cloud computing/data center offerings. The increases in net sales of $34.4 million, or 21.8%, in Greater China and $32.7 million, or 33.2%, in the Americas each related to higher automotive demand, primarily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ADAS, ICE, safety, and comfort and convenience applications, as well as increased demand in our industrial sectors. Higher year-over-year net sales of $31.4 million, or 30.5%, in Europe, predominantly comprised of Germany and France, was driven by increases in our ADAS, ICE, safety, comfort and convenience and grid infrastructure offerings. South Korea and Other Asia experienced sales growth of $18.4 million, or 29.6%, and $16.5 million, or 25.3%, respectively, mainly due to higher automotive demand, specifically in ADAS, safety, and comfort and convenience applications, as well as growth in our industrial applications, especially in our cloud computing/data center offerings.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Cost of goods sold increased by $48.9 million, or 15.7%, to $361.2 million in the fiscal year ended March 25, 2022 from $312.3 million in the fiscal year ended March 26, 2021. The increase in cost of goods sold was primarily attributable to higher production volume, partially offset by decreases in amortization of manufacturing cost absorptions and lower cost of goods sold related to our photonics product line attributable to the discontinuation of a legacy Voxtel product line during 2022.</w:t>
      </w:r>
    </w:p>
    <w:p>
      <w:pPr>
        <w:spacing w:after="0" w:line="7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Gross profit increased by $128.6 million, or 46.1%, to $407.5 million in the fiscal year ended March 25, 2022 from $278.9 million in the fiscal year ended March 26, 2021. The increase in gross profit was driven by a $177.5 million increase in net sales in all markets, partially offset by the impacts to cost of goods sold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R&amp;D expenses increased by approximately $13.2 million, or 12.2%, to $121.9 million in the fiscal year ended March 25, 2022 from $108.6 million in the fiscal year ended March 26, 2021. This increase was primarily due to higher employee-related personnel costs of $10.1 million and a combined $5.1 million increase in general operating expenses, partially offset by a combined $2.6 million decrease in inventory and supplies and contract labor costs.</w:t>
      </w:r>
    </w:p>
    <w:p>
      <w:pPr>
        <w:spacing w:after="0" w:line="6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R&amp;D expenses represented 15.9% of our total net sales for the fiscal year ended March 25, 2022, a decrease from 18.4% of our total net sales for the fiscal year ended March 26, 2021. This percentage decrease was primarily due to the growth in our net sales in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SG&amp;A expenses decreased by $2.6 million, or 1.7%, to $150.9 million in the fiscal year ended March 25, 2022 from $153.5 million in the fiscal year ended March 26, 2021. This decrease was primarily due to a $14.7 million decrease in stock-based compensation expense and a combined $8.0 million decrease in general operating expenses, partially offset by an increase of $19.9 million in combined employee-related personnel costs, contract labor, insurance and general expenses.</w:t>
      </w:r>
    </w:p>
    <w:p>
      <w:pPr>
        <w:spacing w:after="0" w:line="58" w:lineRule="exact"/>
        <w:rPr>
          <w:sz w:val="20"/>
          <w:szCs w:val="20"/>
          <w:color w:val="auto"/>
        </w:rPr>
      </w:pPr>
    </w:p>
    <w:p>
      <w:pPr>
        <w:jc w:val="both"/>
        <w:ind w:firstLine="441"/>
        <w:spacing w:after="0" w:line="241" w:lineRule="auto"/>
        <w:rPr>
          <w:sz w:val="20"/>
          <w:szCs w:val="20"/>
          <w:color w:val="auto"/>
        </w:rPr>
      </w:pPr>
      <w:r>
        <w:rPr>
          <w:rFonts w:ascii="Times New Roman" w:cs="Times New Roman" w:eastAsia="Times New Roman" w:hAnsi="Times New Roman"/>
          <w:sz w:val="18"/>
          <w:szCs w:val="18"/>
          <w:color w:val="auto"/>
        </w:rPr>
        <w:t>SG&amp;A expenses represented 19.6% of our total net sales for the fiscal year ended March 25, 2022, representing a decrease from 26.0% of our total net sales for the fiscal year ended March 26, 2021. This percentage decrease was primarily due to the growth in net sales in the fiscal year ended March 25, 2022. In addition, the percentage decrease represents the lower SG&amp;A expenses as discussed above, as those costs were incrementally higher for the fiscal year ended March 26, 2021 due in large part to IPO-related costs and accelerated vesting of the Class A and L common stock and RSU Conversion Program incurred during that period. For details, see Note 12, “Management Long-Term Cash Incentive Plan” to the audited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Impairment of long-lived assets reflected a $7.1 million expense in the fiscal year ended March 26, 2021, representing impairment charges on the held for sale AMTC Facility. No impairment loss occurred in the fiscal year ended March 25,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reflected a $0.5 million decrease in gains in the fiscal year ended March 25, 2022, resulting from the write-down in contingent consideration related to the acquisition of Voxtel in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Loss on debt extinguishment reflected a $9.1 million loss in the fiscal year ended March 26, 2021, representing the write-off of unamortized balances of previously deferred financing costs as a result of the $300.0 million Term Loan Facility principal balance repayment on November 25, 2020. No loss occurred in the fiscal year ended March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Interest expense, net decreased by $1.5 million to $1.1 million in the fiscal year ended March 25, 2022 from $2.6 million in the fiscal year ended March 26, 2021. The decrease in interest expense, net was primarily due to lower outstanding debt balances during the fiscal year ended March 25,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loss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recorded a foreign currency transaction loss of $0.6 million in the fiscal year ended March 25, 2022 compared to a loss of $2.9 million in the fiscal year ended March 26, 2021. The foreign currency transaction loss recorded in the fiscal year ended March 25, 2022 was primarily due to $0.9 million of realized and unrealized losses from our UK location, partially offset by $0.3 million of realized and unrealized gains from our Philippines location. The foreign currency transaction loss recorded in the fiscal year ended March 26, 2021 was primarily attributable to $3.5 million of realized and unrealized losses from our UK location, partially offset by $1.3 million realized and unrealized gains from our Thailand location.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in earnings of equity investment</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Income in earnings of equity investment reflected gains of $1.0 million and $1.4 million in the fiscal years ended March 25, 2022 and March 26, 2021, respectively, representing the earnings on our 30% investment in PSL.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Other, net increased by approximately $5.2 million to $4.7 million of gains in the fiscal year ended March 25, 2022 from $0.5 million of loss in the fiscal year ended March 26, 2021. The increase in the fiscal year ended March 25, 2022 was primarily due to the $3.7 million unrealized gains on marketable securities and a $0.4 million gain related to the sale of the AMTC Facility. The loss in the fiscal year ended March 26, 2021 was primarily due to disposals of equipment from various facilities.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The provision for income taxes was $21.2 million for the fiscal year ended March 25, 2022 as compared to a benefit of $19.6 million for the fiscal year ended March 26, 2021. The increase in income tax expense in fiscal year 2022 as compared to fiscal year 2021 relates primarily to tax impacts of the fiscal year 2021 IPO transaction. The fiscal year 2021 IPO transaction resulted in excess tax over financial reporting deductions related to a $40.4 million stock-based compensation charge (and the related incremental tax deductions), a $16.0 million one-time dividend treated as compensation expense for tax purposes, as well as a tax loss on the divestiture of PSL. The tax impacts of these transactions and other discrete transactions caused an overall U.S. NOL for fiscal year 2021 that will be carried back five years. Additional fluctuations in our effective income tax rate relate primarily to differences in our U.S. taxable income, estimated FDII benefits, GILTI income, research credits, non-deductible stock-based compensation charges, and discrete tax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regularly review other measures, defined as non-GAAP financial measures by the SEC, to evaluate our business, measure our performance, identify trends, prepare financial forecasts and make strategic decisions. The key measures we consider are non-GAAP Gross Profit, non-GAAP Gross Margin, non-GAAP Operating Expenses, non-GAAP Operating Income, non-GAAP Operating Margin, non-GAAP Profit before Tax, non-GAAP Provision for Income Tax, non-GAAP Net Income, non-GAAP Net Income per Share, EBITDA, Adjusted EBITDA and Adjusted EBITDA margin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Provision for Income Tax, management believes that this non-GAAP measure of income taxes provides it with the ability to evaluate the non-GAAP Provision for Income Taxes across different reporting periods on a consistent basis, independent of special items and discrete items, which may vary in size and frequency. By presenting these Non-GAAP Financial Measures, we provide a basis for comparison of our business operations between periods by excluding items that we do not believe are indicative of our core operating performance, and we believe that investors’ understanding of our performance is enhanced by our presenting these Non-GAAP Financial Measures, as they provide a reasonable basis for comparing our ongoing results of operations. Management believes that tracking and presenting these Non-GAAP Financial Measures provides management and the investment community with valuable insight into matters such as: our ongoing core operations, our ability to generate cash to service our debt and fund our operations; and the underlying business trends that are affecting our performance. These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Financial Measures are used by both management and our board of directors, together with the comparable GAAP information, in evaluating our current performance and planning our future business activities. In particular, management finds it useful to exclude non-cash charges in order to better correlate our operating activities with our ability to generate cash from operations and to exclude certain cash charges as a means of more accurately predicting our liquidity requirements. We believe that these Non-GAAP Financial Measures, when used in conjunction with our GAAP financial information, also allow investors to better evaluate our financial performance in comparison to other periods and to other companies in our industry.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Non-GAAP Financial Measures have significant limitations as analytical tools. Some of these limitations are that:</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exclude certain costs which are important in analyzing our GAAP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the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measures do not reflect any cash requirements for such replacements;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thereby further limiting their usefulness as comparative measures.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supplemental measures of our performance that are neither required by, nor presented in accordance with, GAAP. These Non-GAAP Financial Measures should not be considered as substitutes for GAAP financial measures such as gross profit, gross margin, net income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prior disclosure referred to non-GAAP Gross Profit and non-GAAP Gross Margin as Adjusted Gross Profit and Adjusted Gross Margin, respectively. No changes have been made to how we calculate these measures.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calculate non-GAAP Gross Profit and non-GAAP Gross Margin excluding the items below from cost of goods sold in applicable periods, and we calculate non-GAAP Gross Margin as non-GAAP Gross Profit divided by total net sales.</w:t>
      </w:r>
    </w:p>
    <w:p>
      <w:pPr>
        <w:spacing w:after="0" w:line="5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Voxtel inventory impairment—Represents costs related to the discontinuation of one of our product lines manufactured by Voxtel.</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cost amortization—Represents intercompany inventory transactions incurred from purchases made from PSL in fiscal year 2020. Such costs are one-time incurred expenses impacting our operating results during fiscal year 2021 following the disposition of PSL during the fiscal year ended March 26, 2021 (the “PSL Divestiture”). Such costs did not have a continuing impact on our operating results after our second fiscal quarter of fiscal year 2021.</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Foundry service payment—Represents foundry service payments incurred under our Price Support Agreement with PSL in respect to the guaranteed capacity at PSL to support our production forecast and are one-time costs incurred impacting our operating results during fiscal year 2021 following the PSL Divestiture. Such costs did have a continuing impact on our operating results after fiscal year 2021.</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compensation—Represents non-cash expenses arising from the grant of stock-based awards.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AMTC Facility consolidation one-time costs—Represents one-time costs incurred in connection with closing of the AMTC Facility and transitioning of test and assembly functions to the AMPI Facility announced in fiscal year 2020, consisting of: moving equipment between facilities, contract terminations and other non-recurring charges.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ind w:left="660"/>
        <w:spacing w:after="0" w:line="282" w:lineRule="auto"/>
        <w:rPr>
          <w:sz w:val="20"/>
          <w:szCs w:val="20"/>
          <w:color w:val="auto"/>
        </w:rPr>
      </w:pPr>
      <w:r>
        <w:rPr>
          <w:rFonts w:ascii="Times New Roman" w:cs="Times New Roman" w:eastAsia="Times New Roman" w:hAnsi="Times New Roman"/>
          <w:sz w:val="18"/>
          <w:szCs w:val="18"/>
          <w:color w:val="auto"/>
        </w:rPr>
        <w:t>closure and transition of the AMTC Facility was substantially completed as of the end of March 2021, and we sold the AMTC Facility in August 2021. These costs are in addition to, and not duplicative of, the adjustments noted in note (*) below.</w:t>
      </w:r>
    </w:p>
    <w:p>
      <w:pPr>
        <w:spacing w:after="0" w:line="54" w:lineRule="exact"/>
        <w:rPr>
          <w:sz w:val="20"/>
          <w:szCs w:val="20"/>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acquisition-related intangible assets—Represents non-cash expenses associated with the amortization of intangible assets in connection with the acquisition of Voxtel, which closed in August 2020.</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related expenses—Represents expenses attributable to the COVID-19 pandemic primarily related to increased purchases of masks, gloves and other protective materials, and overtime premium compensation paid for maintaining 24-hour service at the AMPI Facility.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Non-GAAP Gross Profit and the corresponding calculation of non-GAAP Gross Margin do not include adjustments consisting of:</w:t>
      </w:r>
    </w:p>
    <w:p>
      <w:pPr>
        <w:spacing w:after="0" w:line="117" w:lineRule="exact"/>
        <w:rPr>
          <w:sz w:val="20"/>
          <w:szCs w:val="20"/>
          <w:color w:val="auto"/>
        </w:rPr>
      </w:pPr>
    </w:p>
    <w:p>
      <w:pPr>
        <w:jc w:val="both"/>
        <w:ind w:left="660" w:hanging="328"/>
        <w:spacing w:after="0" w:line="25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AMTC-related costs—Represents costs relating to the closing of the AMTC Facility and the transitioning of test and assembly functions to the AMPI Facility in the Philippines announced in fiscal year 2020 consisting of the net savings resulted from or expected to result from the movement of work to the AMPI Facility, which facility had duplicative capacity based on the buildouts of the AMPI Facility in fiscal years 2019 and 2018. The elimination of these costs did not reduce our production capacity and therefore did not have direct effects on our ability to generate revenue. The closure and transition of the AMTC Facility was substantially completed as of the end of March 2021.</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Out-of-period adjustment for depreciation expense of giant magnetoresistance assets (“GMR assets”)—Represents a one-time depreciation expense related to the correction of an immaterial error, related to 2017, for certain manufacturing assets that have reached the end of their useful lives.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non-GAAP Operating Income and non-GAAP Operating Margin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non-GAAP Operating Expenses and non-GAAP Operating Income excluding the same items excluded above to the extent they are classified as operating expenses, and also excluding the items below in applicable periods. We calculate non-GAAP Operating Margin as non-GAAP Operating Income divided by total net sales.</w:t>
      </w:r>
    </w:p>
    <w:p>
      <w:pPr>
        <w:spacing w:after="0" w:line="68" w:lineRule="exact"/>
        <w:rPr>
          <w:sz w:val="20"/>
          <w:szCs w:val="20"/>
          <w:color w:val="auto"/>
        </w:rPr>
      </w:pPr>
    </w:p>
    <w:p>
      <w:pPr>
        <w:jc w:val="both"/>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fees—Represents transaction-related legal and consulting fees incurred primarily in connection with (i) the acquisition of Voxtel in fiscal year 2020, (ii) one-time transaction-related legal and consulting fees in fiscal 2021, (iii) one-time transaction-related legal, consulting and registration fees related to a secondary offering on behalf of certain stockholders in fiscal 2022, and (iv) one-time transaction-related legal and consulting fees in fiscal 2022 not related to (iii).</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Severance—Represents severance costs associated with (i) labor savings initiatives to manage overall compensation expense as a result of the declining sales volume during the applicable period, including a voluntary separation incentive payment plan for employees near retirement and a reduction in force, (ii) the closing of the AMTC Facility and the transitioning of test and assembly functions to the AMPI Facility announced and initiated in fiscal year 2020, (iii) costs related to the discontinuation of one of our product lines manufactured by Voxtel in fiscal year 2022, and (iv) nonrecurring separation costs related to the departure of an officer in fiscal year 2022.</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assets—Represents impairment charge incurred in connection with the sale of the AMTC Facility.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consideration—Represents the change in fair value of contingent consideration payable in connection with the acquisition of Voxtel.</w:t>
      </w:r>
    </w:p>
    <w:p>
      <w:pPr>
        <w:spacing w:after="0" w:line="54" w:lineRule="exact"/>
        <w:rPr>
          <w:sz w:val="20"/>
          <w:szCs w:val="20"/>
          <w:color w:val="auto"/>
        </w:rPr>
      </w:pPr>
    </w:p>
    <w:p>
      <w:pPr>
        <w:ind w:firstLine="332"/>
        <w:spacing w:after="0" w:line="282" w:lineRule="auto"/>
        <w:tabs>
          <w:tab w:leader="none" w:pos="6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does not include adjustments consisting of those set forth in note (*) to the calculation of non-GAAP Gross Profit, and the corresponding calculation of non-GAAP Gross Margin, above or:</w:t>
      </w:r>
    </w:p>
    <w:p>
      <w:pPr>
        <w:spacing w:after="0" w:line="54" w:lineRule="exact"/>
        <w:rPr>
          <w:sz w:val="20"/>
          <w:szCs w:val="20"/>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savings—Represents salary and benefit costs related to employees whose positions were eliminated through voluntary separation programs or other reductions in force (not associated with the closure of the AMTC Facility or any other plant or facility) and a restructuring of overhead positions from high-cost to low-cost jurisdictions net of costs for newly hired employees in connection with such restructuring.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and Adjusted EBITDA Margin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calculate EBITDA as net income minus interest income (expense), tax provision (benefit), and depreciation and amortization expenses. We calculate Adjusted EBITDA as EBITDA excluding the same items excluded above and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 items below in applicable periods. We calculate Adjusted EBITDA Margin as Adjusted EBITDA divided by total net sales.</w:t>
      </w:r>
    </w:p>
    <w:p>
      <w:pPr>
        <w:spacing w:after="0" w:line="11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loss (gain) on sale of equipment—Represents non-core miscellaneous losses and gains on the sale of equipment.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legal judgment charge—Represents a one-time charge associated with the final payment of the previously accrued amount payable with respect to a VAT dispute related to the construction of the AMPI Facility.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debt extinguishment—Represents one-time costs representing deferred financing costs associated with the $300.0 million of our term loan facility repaid during the fiscal year ended March 26, 2021.</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loss—Represents losses and gains resulting from the remeasurement and settlement of intercompany debt and operational transactions, as well as transactions with external customers or vendors denominated in currencies other than the functional currency of the legal entity in which the transaction is recorded.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in earnings of equity investment—Represents our equity method investment in PSL.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(gains) on investments—Represents mark-to-market adjustments on equity investments with readily determinable fair values.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Profit before Tax, Non-GAAP Net Income, and Non-GAAP Basic and Diluted Earnings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non-GAAP Profit before Tax as Income (Loss) before Income Taxes excluding the same items excluded above and also excluding the item below in applicable periods. We calculate non-GAAP Net Income as Net Income excluding the same items excluded above and also excluding the item below in applicable periods.</w:t>
      </w:r>
    </w:p>
    <w:p>
      <w:pPr>
        <w:spacing w:after="0" w:line="68" w:lineRule="exact"/>
        <w:rPr>
          <w:sz w:val="20"/>
          <w:szCs w:val="20"/>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repaid portion of term loan facility—Represents interest expense associated with the $300.0 million of our term loan facility repaid during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Provision for Income Tax</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calculating non-GAAP Provision for Income Tax, we have added back the following to GAAP Income Tax Provision (Benefit):</w:t>
      </w:r>
    </w:p>
    <w:p>
      <w:pPr>
        <w:spacing w:after="0" w:line="117" w:lineRule="exact"/>
        <w:rPr>
          <w:sz w:val="20"/>
          <w:szCs w:val="20"/>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adjustments to GAAP results—Represents the estimated income tax effect of the adjustments to non-GAAP Profit Before Tax described above and elimination of discrete tax adjustments.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1"/>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6"/>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Gross Profit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7"/>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109,603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101,165</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87,006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407,460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278,902</w:t>
            </w:r>
          </w:p>
        </w:tc>
      </w:tr>
      <w:tr>
        <w:trPr>
          <w:trHeight w:val="257"/>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3,106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cost amortization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2,698</w:t>
            </w:r>
          </w:p>
        </w:tc>
      </w:tr>
      <w:tr>
        <w:trPr>
          <w:trHeight w:val="229"/>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Foundry service payment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5,930</w:t>
            </w:r>
          </w:p>
        </w:tc>
      </w:tr>
      <w:tr>
        <w:trPr>
          <w:trHeight w:val="230"/>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5,158</w:t>
            </w:r>
          </w:p>
        </w:tc>
      </w:tr>
      <w:tr>
        <w:trPr>
          <w:trHeight w:val="229"/>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2,184</w:t>
            </w:r>
          </w:p>
        </w:tc>
      </w:tr>
      <w:tr>
        <w:trPr>
          <w:trHeight w:val="229"/>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1,152</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2,206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8,610</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16,823</w:t>
            </w:r>
          </w:p>
        </w:tc>
      </w:tr>
      <w:tr>
        <w:trPr>
          <w:trHeight w:val="257"/>
        </w:trPr>
        <w:tc>
          <w:tcPr>
            <w:tcW w:w="4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111,356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102,317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89,212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416,070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295,725</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50.0%</w:t>
            </w:r>
          </w:p>
        </w:tc>
      </w:tr>
    </w:tbl>
    <w:p>
      <w:pPr>
        <w:spacing w:after="0" w:line="184" w:lineRule="exact"/>
        <w:rPr>
          <w:sz w:val="20"/>
          <w:szCs w:val="20"/>
          <w:color w:val="auto"/>
        </w:rPr>
      </w:pPr>
    </w:p>
    <w:p>
      <w:pPr>
        <w:jc w:val="both"/>
        <w:ind w:left="66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and the corresponding calculation of non-GAAP Gross Margin do not include adjustments for the following components of our net income: additional AMTC related costs of $— and $6,553 for the fiscal years ended March 25, 2022 and March 26, 2021, respectively, and out-of-period adjustment for depreciation expense of GMR assets of $— and $768 for the fiscal years ended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Operating Expenses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65,560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270,810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266,744</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108,649</w:t>
            </w:r>
          </w:p>
        </w:tc>
      </w:tr>
      <w:tr>
        <w:trPr>
          <w:trHeight w:val="223"/>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Transaction fees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104,956</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23"/>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GAAP Selling, General and Administrative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153,476</w:t>
            </w:r>
          </w:p>
        </w:tc>
      </w:tr>
      <w:tr>
        <w:trPr>
          <w:trHeight w:val="223"/>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41,139</w:t>
            </w:r>
          </w:p>
        </w:tc>
      </w:tr>
      <w:tr>
        <w:trPr>
          <w:trHeight w:val="229"/>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29"/>
        </w:trPr>
        <w:tc>
          <w:tcPr>
            <w:tcW w:w="4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fees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r>
      <w:tr>
        <w:trPr>
          <w:trHeight w:val="230"/>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Selling, General and Administrative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94,086</w:t>
            </w:r>
          </w:p>
        </w:tc>
      </w:tr>
      <w:tr>
        <w:trPr>
          <w:trHeight w:val="237"/>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57"/>
        </w:trPr>
        <w:tc>
          <w:tcPr>
            <w:tcW w:w="4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67,702</w:t>
            </w:r>
          </w:p>
        </w:tc>
      </w:tr>
      <w:tr>
        <w:trPr>
          <w:trHeight w:val="257"/>
        </w:trPr>
        <w:tc>
          <w:tcPr>
            <w:tcW w:w="47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expenses *</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59,226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237,914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199,042</w:t>
            </w:r>
          </w:p>
        </w:tc>
      </w:tr>
    </w:tbl>
    <w:p>
      <w:pPr>
        <w:spacing w:after="0" w:line="184"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Expenses do not include adjustments for the following components of our net income: additional AMTC related costs of $</w:t>
      </w:r>
    </w:p>
    <w:p>
      <w:pPr>
        <w:spacing w:after="0" w:line="27"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$723 for the fiscal years ended March 25, 2022 and March 26, 2021, respectively, and labor savings costs of $— and $218 for the fiscal years ended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Operating Income</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35,605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12,158</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cost amortization</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Foundry service payment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49,870</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7,486</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41,506</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84,525</w:t>
            </w:r>
          </w:p>
        </w:tc>
      </w:tr>
      <w:tr>
        <w:trPr>
          <w:trHeight w:val="257"/>
        </w:trPr>
        <w:tc>
          <w:tcPr>
            <w:tcW w:w="47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43,091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178,156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96,683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Margin* (% of net sales)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16.4%</w:t>
            </w:r>
          </w:p>
        </w:tc>
      </w:tr>
    </w:tbl>
    <w:p>
      <w:pPr>
        <w:spacing w:after="0" w:line="184" w:lineRule="exact"/>
        <w:rPr>
          <w:sz w:val="20"/>
          <w:szCs w:val="20"/>
          <w:color w:val="auto"/>
        </w:rPr>
      </w:pPr>
    </w:p>
    <w:p>
      <w:pPr>
        <w:jc w:val="both"/>
        <w:ind w:left="66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and the corresponding calculation of non-GAAP Operating Margin do not include adjustments for the following components of our net income: additional AMTC related costs of $— and $7,276 for the fiscal years ended March 25, 2022 and March 26, 2021, respectively, labor savings costs of $— and $218 for the fiscal years ended March 25, 2022 and March 26, 2021, respectively, and out-of-period adjustment for depreciation expense of GMR assets of $— and $768 for the fiscal years ended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1"/>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18,101</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(19,552)</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r>
      <w:tr>
        <w:trPr>
          <w:trHeight w:val="223"/>
        </w:trPr>
        <w:tc>
          <w:tcPr>
            <w:tcW w:w="47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41,455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51,534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190,330</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49,459</w:t>
            </w:r>
          </w:p>
        </w:tc>
      </w:tr>
      <w:tr>
        <w:trPr>
          <w:trHeight w:val="237"/>
        </w:trPr>
        <w:tc>
          <w:tcPr>
            <w:tcW w:w="4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Non-core loss (gain) on sale of equipment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Miscellaneous legal judgment charge</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in earnings of equity investment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7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losses (gains) on investments</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49,870</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cost amortization</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Foundry service payment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23"/>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58,492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54,917</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46,188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226,144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144,763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 (% of net sales)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24.5%</w:t>
            </w:r>
          </w:p>
        </w:tc>
      </w:tr>
    </w:tbl>
    <w:p>
      <w:pPr>
        <w:spacing w:after="0" w:line="184" w:lineRule="exact"/>
        <w:rPr>
          <w:sz w:val="20"/>
          <w:szCs w:val="20"/>
          <w:color w:val="auto"/>
        </w:rPr>
      </w:pPr>
    </w:p>
    <w:p>
      <w:pPr>
        <w:jc w:val="both"/>
        <w:ind w:left="66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the corresponding calculation of Adjusted EBITDA Margin do not include adjustments for the following components of our net income: AMTC additional costs of $— and $7,276 for the fiscal years ended March 25, 2022 and March 26, 2021, respectively, and labor savings costs of $— and $218 for the fiscal years ended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1"/>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89"/>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Profit before Tax</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Income (Loss) before Tax Provision (Benefit)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39,254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r>
      <w:tr>
        <w:trPr>
          <w:trHeight w:val="257"/>
        </w:trPr>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Non-core loss (gain) on sale of equipment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Miscellaneous legal judgment charge</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in earnings of equity investment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 (gains) on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cost amortization</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Foundry service payment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49,870</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repaid portion of Term Loan Facility</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r>
      <w:tr>
        <w:trPr>
          <w:trHeight w:val="229"/>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Non-GAAP Adjustments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36,996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98,235</w:t>
            </w:r>
          </w:p>
        </w:tc>
      </w:tr>
      <w:tr>
        <w:trPr>
          <w:trHeight w:val="256"/>
        </w:trPr>
        <w:tc>
          <w:tcPr>
            <w:tcW w:w="4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Profit before Tax*</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96,784</w:t>
            </w:r>
          </w:p>
        </w:tc>
      </w:tr>
    </w:tbl>
    <w:p>
      <w:pPr>
        <w:spacing w:after="0" w:line="184"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Profit before Tax does not include adjustments for the following components of our net income: additional AMTC related costs of $</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$7,276 for the fiscal years ended March 25, 2022 and March 26, 2021, respectively, labor savings costs of $— and $218 for the fiscal years ended March 25, 2022 and March 26, 2021, respectively, and out-of-period adjustment for depreciation expense of GMR assets of $— and $768 for the fiscal years ended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Provision for Income Taxes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7"/>
        </w:trPr>
        <w:tc>
          <w:tcPr>
            <w:tcW w:w="4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Income Tax Provision (Benefit)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8,361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(19,552)</w:t>
            </w:r>
          </w:p>
        </w:tc>
      </w:tr>
      <w:tr>
        <w:trPr>
          <w:trHeight w:val="230"/>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GAAP effective tax rate</w:t>
            </w:r>
          </w:p>
        </w:tc>
        <w:tc>
          <w:tcPr>
            <w:tcW w:w="20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1,347.5%</w:t>
            </w:r>
          </w:p>
        </w:tc>
      </w:tr>
      <w:tr>
        <w:trPr>
          <w:trHeight w:val="257"/>
        </w:trPr>
        <w:tc>
          <w:tcPr>
            <w:tcW w:w="4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effect of adjustments to GAAP results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8"/>
              </w:rPr>
              <w:t>(3,053)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34,486</w:t>
            </w:r>
          </w:p>
        </w:tc>
      </w:tr>
      <w:tr>
        <w:trPr>
          <w:trHeight w:val="257"/>
        </w:trPr>
        <w:tc>
          <w:tcPr>
            <w:tcW w:w="46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2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Provision for Income Taxes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5,308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14,934</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 effective tax rate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84" w:lineRule="exact"/>
        <w:rPr>
          <w:sz w:val="20"/>
          <w:szCs w:val="20"/>
          <w:color w:val="auto"/>
        </w:rPr>
      </w:pPr>
    </w:p>
    <w:p>
      <w:pPr>
        <w:jc w:val="both"/>
        <w:ind w:left="66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Provision for Income Taxes does not include tax adjustments for the following components of our net income: additional AMTC related costs, labor savings costs, and out-of-period adjustment for depreciation expense of GMR assets. The related tax effect of those adjustments to GAAP results were $— and $1,851 for the fiscal years ended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6"/>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December 24,</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11"/>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11"/>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Net Income</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7"/>
        </w:trPr>
        <w:tc>
          <w:tcPr>
            <w:tcW w:w="4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18,101</w:t>
            </w:r>
          </w:p>
        </w:tc>
      </w:tr>
      <w:tr>
        <w:trPr>
          <w:trHeight w:val="223"/>
        </w:trPr>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GAAP Basic Earnings per Share</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Diluted Earnings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7"/>
        </w:trPr>
        <w:tc>
          <w:tcPr>
            <w:tcW w:w="4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3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Non-core loss (gain) on sale of equipment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Voxtel inventory impairment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Miscellaneous legal judgment charge</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in earnings of equity investment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losses (gains) on investments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cost amortization</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3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Foundry service payment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29"/>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49,870</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repaid portion of Term Loan Facility</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AMTC Facility consolidation one-time costs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COVID-19 related expenses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fees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r>
      <w:tr>
        <w:trPr>
          <w:trHeight w:val="230"/>
        </w:trPr>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4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 of adjustments to GAAP results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(34,486)</w:t>
            </w:r>
          </w:p>
        </w:tc>
      </w:tr>
      <w:tr>
        <w:trPr>
          <w:trHeight w:val="256"/>
        </w:trPr>
        <w:tc>
          <w:tcPr>
            <w:tcW w:w="4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36,091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81,850</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189,997,738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189,736,901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189,429,893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189,748,427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83,448,055</w:t>
            </w: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192,125,252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192,068,222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190,860,556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191,811,205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176,416,645</w:t>
            </w:r>
          </w:p>
        </w:tc>
      </w:tr>
      <w:tr>
        <w:trPr>
          <w:trHeight w:val="223"/>
        </w:trPr>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Basic Earnings per Share</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0.98</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0.46</w:t>
            </w:r>
          </w:p>
        </w:tc>
      </w:tr>
    </w:tbl>
    <w:p>
      <w:pPr>
        <w:spacing w:after="0" w:line="171" w:lineRule="exact"/>
        <w:rPr>
          <w:sz w:val="20"/>
          <w:szCs w:val="20"/>
          <w:color w:val="auto"/>
        </w:rPr>
      </w:pPr>
    </w:p>
    <w:p>
      <w:pPr>
        <w:jc w:val="both"/>
        <w:ind w:left="660" w:hanging="328"/>
        <w:spacing w:after="0" w:line="258"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does not include adjustments for the following components of our net income: additional AMTC related costs of $— and $7,276 for the fiscal years ended March 25, 2022 and March 26, 2021, respectively, labor savings costs of $— and $218 for the fiscal years ended March 25, 2022 and March 26, 2021, respectively, and out-of-period adjustment for depreciation expense of GMR assets of $— and $768 for the fiscal years ended March 25, 2022 and March 26, 2021, respectively, and (ii) the related tax effect of adjustments to GAAP results of $— and $1,851 for the fiscal years ended March 25, 2022 and March 26, 2021,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25, 2022, we had $282.4 million of cash and cash equivalents and $407.5 million of working capital compared to $197.2 million of cash and cash equivalents and $313.9 million of working capital as of March 26, 2021. Working capital is impacted by the timing and extent of our business needs.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primary requirements for liquidity and capital are working capital, capital expenditures, principal and interest payments on our outstanding debt and other general corporate needs. Historically, these cash requirements have been met through cash provided by operating activities and cash and cash equivalents. Our current capital deployment strategy for 2023 is to utilize excess cash on hand to support our continued growth initiatives into select markets, planned capital expenditures and strategic arrangements, as well as consider potential acquisitions. As of March 25, 2022, the Company is not party to any off-balance sheet arrangements that have or are reasonably likely to have a current or future material effect on our financial condition, results of operations, liquidity, capital expenditures, or capital resources. The cash requirements for the upcoming fiscal year relate to our leases, operating and capital purchase commitments and expected contributions to our defined benefit and contribution plans. For information regarding the Company’s expected cash requirements and timing of payments related to leases and noncancellable purchase commitments, see Note 17, “Commitments and Contingencies” to the audited consolidated financial statements. Additionally, refer to Note 16, “Retirement Plans” to the audited consolidated financial statements for more information related to the Company’s pension and defined contribution plans.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30, 2020, we (i) entered into a term loan credit agreement with Credit Suisse AG, Cayman Islands Branch, as administrative agent and collateral agent, and the other agents, arrangers and lenders party thereto, providing for a $325.0 million senior secured term loan facility due in fiscal 2028 (the “Term Loan Facility”), (ii) entered into a revolving facility credit agreement with Mizuho Bank, Ltd., as administrative agent and collateral agent, and the other agents, arrangers and lenders party thereto, providing for a $50.0 million senior secured revolving credit facility expiring in 2023 (the “Revolving Credit Facility” and, together with the Term Loan Facility, the “Senior Secured Credit Facilities”), and (iii) used cash on hand to repay all amounts outstanding under AML’s revolving credit agreement with Mizuho Bank, Ltd. (the “AML Revolver”) and AML’s line of credit with Bank of Mitsubishi UFJ (the “AML Line of Credit”) and terminated all commitments thereunder. On November 25, 2020, we repaid $300.0 million of the outstanding $325.0 million Term Loan Facility using proceeds from our completed IPO. Refer to the “Debt Obligations” section below for additional information regarding our credit facilities. We are obligated to pay interest on the outstanding debt balances, and the principal outstanding is due in fiscal year 2028.</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expected with our IPO, we experienced a significant increase in accounting, legal and professional fees and other costs associated with being a public company. However, we believe that our existing cash resources and our access to the capital markets will be sufficient to finance our continued operations, growth strategy, planned capital expenditures and the additional expenses that we expect to incur during the next 12 months. In order to support and achieve our future growth plans, we may need or seek advantageously to obtain additional funding through equity or debt financing. We believe that our current operating structure will facilitate sufficient cash flows from operations to satisfy our expected long-term liquidity requirements beyond the next twelve months. If these resources are not sufficient to satisfy our liquidity requirements due to changes in circumstances,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fiscal years ended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25, 2022</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26, 2021</w:t>
            </w:r>
          </w:p>
        </w:tc>
      </w:tr>
      <w:tr>
        <w:trPr>
          <w:trHeight w:val="196"/>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4"/>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156,129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120,570</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85,924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$156.1 million in fiscal year 2022, resulting primarily from our net income of $119.6 million and non-cash charges of $89.9 million, partially offset by a net decrease in operating assets and liabilities of $53.3 million. Net changes in operating assets and liabilities consisted mostly of a $19.5 million increase in prepaid expenses and other assets, an $18.3 million increase in trade accounts receivable, net, a $4.5 million increase in inventories, a $4.3 million decrease in trade accounts payable, and a $3.4 million decrease in accrued expenses and other current and long-term liabilities. The increase in prepaid expenses and other assets was primarily due to higher long-term deposits and income taxes receivable, partially offset by lower prepayments of taxes, including VAT receivables. The increase in trade accounts receivable, net was primarily a result of increased sales year-over-year, as well as the timing of receipts. The increase in inventories was primarily a result of raw materials purchases and inventory builds to support anticipated sales growth in 2023. The decreases in trade accounts payable and accrued expenses and other current and long-term liabilities were primarily due to the release of deposits related to the sale of our AMTC Facility and the reduction of the balance due on the Voxtel acquisition, as well as the timing of payments of purchases. These decreases were partially offset by higher accrued personnel costs, particularly for management incentive bonuses, higher operating purchases, including unpaid capital expenditures of $2.0 million, and higher income taxes due.</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$120.6 million in fiscal year 2021, resulting primarily from our net income of $18.1 million and non-cash charges of $98.4 million, partially offset by a net increase in operating assets and liabilities of $4.0 million. Net changes in operating assets and liabilities consisted of a $15.1 million increase in trade accounts payable, a $14.8 million increase in accrued expenses and other current and long-term liabilities, a $7.6 million decrease in inventories, and a $4.9 million decrease in due from/to related parties, partially offset by increases of $29.0 million and $9.3 million in prepaid expenses and other assets and trade accounts receivable, net, respectively. The increase in trade accounts receivable, net was primarily a result of increased sales year-over-year. The increase in trade accounts payable and the increase in accrued expenses and other current and long-term liabilities was primarily the result of the deposits related to the sale of our AMTC facility, higher operating purchases, including unpaid capital expenditures of $3.2 million, and the timing of payments of purchases, partially offset by lower severance costs, income taxes and professional fees. The decrease in inventories was primarily a result of the drawdown after building inventory up to support anticipated sales growth in 2020. The decrease in due from/to related parties and the decrease in accounts receivable-other was primarily due to variations in the timing of such payments in the ordinary course of business. The increases in prepaid expenses and other assets and trade accounts receivable, net were primarily due to higher prepayments of taxes, including VAT receivables, insurance and contract costs, as well as the timing of receipts of trade accounts receivable.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primarily consists of purchases of property, plant and equipment, partially offset by proceeds from sales of property, plant and equipment.</w:t>
      </w:r>
    </w:p>
    <w:p>
      <w:pPr>
        <w:spacing w:after="0" w:line="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$66.3 million in fiscal year 2022, consisting of $69.9 million of purchases of property, plant and equipment, $14.5 million of cash expended for the acquisition of Voxtel and purchases of marketable securities of $9.2 million, partially offset by $27.4 million of cash received for the sale of the AMTC Facility.</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$68.2 million in fiscal year 2021, consisting of $40.7 million of purchases of property, plant and equipment, $11.6 million of cash expended for the acquisition of Voxtel and $16.3 million of cash removed as a result of the PSL Divestiture, partially offset by $0.3 million of proceeds from sales of property, plant and equipment.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$5.3 million in fiscal year 2022, consisting of funds loaned to PSL of $7.5 million, partially offset by $2.2 million of proceeds received in connection with the issuance of common stock under the 2020 ESPP, net of payments for taxes related to the net settlement of equity awards.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$72.2 million in fiscal year 2021, consisting of $400.0 million of dividends paid prior to our IPO, $300.0 million for repayment of senior secured debt, $27.7 million of payments for taxes related to net share settlement of equity awards, and $33.0 million for repayment of unsecured credit facilities, partially offset by $315.7 million of borrowing of senior secured debt, net of deferred financing costs, $321.4 million of proceeds from our IPO, net of underwriting discounts and other offering costs, and a $51.4 million related party note receivable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25, 2022, we had $25.0 million in aggregate principal amount of debt outstanding under our Senior Secured Credit Facilities. We entered into the Senior Secured Credit Facilities on September 30, 2020 consisting of a $325.0 million Term Loan Facility due in 2027 and a revolving facility credit agreement providing for a $50.0 million Revolving Credit Facility expiring in 2023. On November 25, 2020, we repaid $300.0 million of the outstanding Term Loan Facility principal balance.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Term Loan Facility bears interest at a rate per year of, at our option, either (i) the Base Rate (as defined in the credit agreement) plus an applicable margin from 2.75% to 3.00% depending on our net leverage ratio, or (ii) the Eurodollar Rate (as defined in the credit agreement) plus an applicable margin from 3.75% to 4.00% depending on our net leverage ratio. The Eurodollar Rate is subject to a floor of 0.50%. At March 25, 2022, all term loan borrowings were designated as Eurodollar loans and bore interest of 4.25%.</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incurred deferred financing costs of $9.4 million in connection with the Term Loan Facility, the total of which was amortized into interest expense or recognized as loss on debt extinguishment as of March 26, 2021.</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Loan Facility contains certain covenants that may, among other things and subject to certain exceptions, restrict the ability of us to:</w:t>
      </w:r>
    </w:p>
    <w:p>
      <w:pPr>
        <w:spacing w:after="0" w:line="11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lien upon any of our property, assets, or revenue;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indebtedness;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amalgamate with or into any other entity;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all or substantially all of the assets, liabilities or properties of any other entity;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transfer or otherwise dispose of all or substantially all of our assets or properties;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 activities, our fiscal year, or our governing documents.</w:t>
      </w:r>
    </w:p>
    <w:p>
      <w:pPr>
        <w:spacing w:after="0" w:line="11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Borrowings under the Term Loan Facility are secured by 100% of the stock of our domestic subsidiaries, portions of the stock of certain of our foreign subsidiaries, and substantially all of our and our subsidiaries’ other property and assets, in each case subject to various exceptions.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of the Term Loan Facility if we have Excess Cash Flow (as defined in the credit agreement) if we make certain sales of assets outside the ordinary course of business, or if we suffer certain property loss events. We may make optional prepayments from time to time without premium or penalty.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Revolving Credit Facility bears interest at a rate per year of, at our option, the Base Rate plus 1.5%, the Cost of Funds Rate (as defined in the credit agreement) plus 2.5%, or the Eurodollar Rate plus 2.5%. In addition, commencing on the last business day of December 2020, we are required to pay, on a quarterly basis, a non-refundable commitment fee of 0.50% per year on the average daily unused commitments under the Revolving Credit Facility.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incurred financing costs of $0.3 million in connection with the Revolving Credit Facility, which we classified the related short-term and long-term portions within “Prepaid expenses and other current assets” and “Other assets” on our consolidated balance sheet, and are amortizing these costs over the term of the facility. The unamortized portion of the deferred financing costs associated with the Revolving Credit Facility was $0.1 million and $0.2 million at March 25, 2022 and March 26, 2021, respectively.</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contains certain financial and non-financial covenants, including a maximum net leverage ratio applicable to the Revolving Credit Facility in the event that utilization exceeds 35% of the revolving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Borrowings under the Revolving Credit Facility are secured by 100% of the stock of our domestic subsidiaries, portions of the stock of certain of our foreign subsidiaries, and substantially all of our subsidiaries’ other property and assets, in each case subject to various exceptions.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AMPI Credit Facilities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26, 2019, AMPI entered into a line of credit agreement with Union Bank of the Philippines, Inc. that provides for a maximum borrowing capacity of 60.0 million Philippine pesos (approximately $1.1 million) at the bank’s prevailing interest rate. While this line of credit initially expired on August 31, 2021 (in connection with certain delays as a result of the COVID-19 pandemic and its impact on bank operations), the line of credit was extended in September 2021 and is now expected to expire on August 21, 2022. There were no borrowings outstanding under this line of credit as of March 25, 2022 and March 26, 2021.</w:t>
      </w:r>
    </w:p>
    <w:p>
      <w:pPr>
        <w:spacing w:after="0" w:line="75"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On November 20, 2019, AMPI entered into a line of credit agreement with BDO Unibank that provides for a maximum borrowing capacity of 75.0 million Philippine pesos (approximately $1.4 million) at the bank’s prevailing interest rate. While this line of credit initially expired on June 30, 2021 (in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connection with certain delays as a result of the COVID-19 pandemic and its impact on bank operations), the line of credit was extended in September 2021 and is now expected to expire on June 30, 2022. There were no borrowings outstanding under this line of credit as of March 25, 2022 and March 26,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the audited consolidated financial statements included elsewhere in this Annual Report for information regarding recent accounting pronouncements.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liabilities, and disclosures of contingencies at the date of the financial statements and the reported amounts of revenues and expenses during the reporting period. Such estimates relate to useful lives of intangible assets, goodwill, stock-based compensation, and sales allowances. Such estimates could also relate to the net realizable value of inventory, accrued liabilities, and deferred tax valuation allowances. We base our estimates and assumptions on historical experience and other factors that we believe to be reasonable under the circumstances. On an ongoing basis, management evaluates its estimates. Actual results could differ from those estimates, and such differences may be material to our financial statements. 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“Summary of Significant Accounting Policies” to the consolidated financial statements included elsewhere in this Annual Report for additional information regarding these and our other significant accounting policies.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is recognized when transfer of control to the customer occurs in an amount reflecting the consideration that we expect to be entitled.</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Allowances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allowances include sales in which the amount of consideration that we will receive is unknown as of the end of a reporting period. Such consideration primarily includes limited price protection provisions provided to distributors. We estimate potential future sales allowances based on historical data from prior sales adjustments. Historical experience can change over time. As a result, estimated sales allowances may differ significantly from that recorded in the current and historical periods. See Note 5, “Trade Accounts Receivable, net” to the consolidated financial statements for information regarding the change in sales allowances.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business, which consists primarily of interest rates risk associated with our cash and cash equivalents and our debt, foreign currency risk and impact of inflation. We do not engage in speculative trading activities. The following analysis provides additional information regarding these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investments have limited exposure to market risk. At March 25, 2022, we maintained a portfolio of cash and cash equivalents, consisting primarily of money market funds. None of these investments have a maturity date in excess of one year. Certain interest rates are variable and fluctuate with current market conditions. Because of the short-term nature of these instruments, we would not expect a sudden change in market interest rates to have a material impact on our financial condition or results of operations.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also exposed to market risk as a result of increases or decreases in the amount of interest expense we must pay on our Term Loan Facility and borrowings on our bank credit facilities. Although our Term Loan Facility and credit facilities have variable rates, as of March 25, 2022, we do not believe that a 10% change in market interest rates would have a material impact on our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Due to our international operations, a significant portion of our cost of sales and operating expenses is denominated in currencies other than the U.S. Dollar, principally the Euro and the Philippine Peso. As a result, our international operations give rise to transactional market risk associated with exchange rate movements of the U.S. Dollar, the Euro and the Philippine Peso. We reflected losses of $0.6 million and $2.9 million for fiscal years 2022 and 2021, respectively. Based on fiscal 2022 performance, a hypothetical appreciation (decline) in the value of the Euro in relation to the U.S. dollar of 10% would favorably (negatively) impact operating income by immaterial amounts. A hypothetical 10% appreciation (decline) in the value of the Philippine peso in relation to the U.S. dollar would negatively (favorably) impact operating income by immaterial amounts. The individual impacts to our operating income of hypothetical currency fluctuations have been calculated in isolation from any potential responses to address such exchange rate changes in our foreign markets.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are exposed to foreign currency translation risk for those subsidiaries whose functional currency is not the U.S. Dollar as changes in the value of their functional currency relative to the U.S. Dollar can adversely affect the translated amounts of our sales, expenses, net income, assets and liabilities. This can, in turn, affect the reported value and relative growth of sales and net income from one period to the next. In addition, changes in the translated value of assets and liabilities due to changes in functional currency exchange rates relative to the U.S. Dollar result in foreign currency translation adjustments that are a component of other comprehensive income or loss. Foreign currency derivative instruments can be used to hedge exposures and reduce the risks of certain foreign currency transactions; however, these instruments provide only limited protection and can carry significant cost. We have no foreign currency derivative instrument hedges as of March 25, 2022. We will continue to analyze our exposure to currency exchange rate fluctuations and may engage in financial hedging techniques in the future to attempt to minimize the effect of these potential fluctuations. Exchange rate fluctuations may adversely affect our financial results in the future.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overhead costs or the costs of other core operating resources, may adversely affect our operating results. While it is difficult to accurately measure the impact of inflation due to the imprecise nature of the estimates required, we do not believe the effects of inflation, if any, on our historical results of operations and financial condition have been material. We cannot assure that future inflationary or other cost pressures will not have an adverse impact on our results of operations and financial condition in the future.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Our consolidated financial statements, together with the report of our independent registered public accounting firms, appear at pages </w:t>
      </w:r>
      <w:r>
        <w:rPr>
          <w:rFonts w:ascii="Times New Roman" w:cs="Times New Roman" w:eastAsia="Times New Roman" w:hAnsi="Times New Roman"/>
          <w:sz w:val="18"/>
          <w:szCs w:val="18"/>
          <w:u w:val="single" w:color="auto"/>
          <w:color w:val="0000FF"/>
        </w:rPr>
        <w:t>F-1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0000FF"/>
        </w:rPr>
        <w:t>F-50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 for the year ended March 25,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25, 2022. Based on the evaluation of our disclosure controls and procedures as of March 25, 2022, our Chief Executive Officer and Chief Financial Officer concluded that, as of such date, our disclosure controls and procedures were effective at the reasonable assurance level.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March 25, 2022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for the Company. With the participation of the Chief Executive Officer and the Chief Financial Officer, our management conducted an evaluation of the effectiveness of our internal control over financial reporting based on the framework and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Based on this evaluation, our management has concluded that our internal control over financial reporting was effective as of March 25, 2022. Our independent auditor, Grant Thornton LLP, an independent registered public accounting firm, has issued an attestation report on the effectiveness of our internal control over financial reporting. This attestation report appears below on page F-4.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information required hereunder is incorporated herein by reference to our definitive proxy statement to be filed pursuant to Regulation 14A, which proxy statement is anticipated to be filed with the SEC within 120 days after March 25, 2022. Pursuant to General Instruction G(3) of Form 10-K, additional information required hereunder relating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is contained in Part I of this Annual Report on Form 10-K under the caption "Information about our Executive Officers."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www.allegromicro.com/en. We intend to satisfy the disclosure requirement under Item 5.05 of Form 8-K regarding amendment to, or waiver from, a provision of our Code of Business Conduct and Ethics by posting such information on our website at the address specified above. The information contained on our website is not incorporated by reference into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25,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25, 2022, with the exception of the information regarding securities authorized for issuance under our equity compensation plans, which is set forth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securities authorized for issuance under our equity compensation plans as of March 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1"/>
                <w:szCs w:val="11"/>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1"/>
                <w:szCs w:val="11"/>
                <w:color w:val="auto"/>
              </w:rPr>
            </w:pPr>
          </w:p>
        </w:tc>
        <w:tc>
          <w:tcPr>
            <w:tcW w:w="17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47"/>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1"/>
        </w:trPr>
        <w:tc>
          <w:tcPr>
            <w:tcW w:w="5900" w:type="dxa"/>
            <w:vAlign w:val="bottom"/>
            <w:vMerge w:val="continue"/>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8"/>
              </w:rPr>
              <w:t>(a)</w:t>
            </w:r>
            <w:r>
              <w:rPr>
                <w:rFonts w:ascii="Times New Roman" w:cs="Times New Roman" w:eastAsia="Times New Roman" w:hAnsi="Times New Roman"/>
                <w:sz w:val="18"/>
                <w:szCs w:val="18"/>
                <w:color w:val="auto"/>
                <w:w w:val="98"/>
                <w:vertAlign w:val="superscript"/>
              </w:rPr>
              <w:t>2</w:t>
            </w: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2,656,090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3,887,023</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2,656,090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3,887,023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hanging="172"/>
        <w:spacing w:after="0" w:line="229" w:lineRule="auto"/>
        <w:tabs>
          <w:tab w:leader="none" w:pos="261"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25, 2022, there were 3,180,390 shares available for future issuance under the 2020 Omnibus Incentive Compensation Plan (the “2020 Plan”), 706,633 under the 2020 ESPP.</w:t>
      </w:r>
    </w:p>
    <w:p>
      <w:pPr>
        <w:spacing w:after="0" w:line="6"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25, 2022, there were 465,732 PSUs issued at target and 1,344,717 RSUs included in this amount.</w:t>
      </w:r>
    </w:p>
    <w:p>
      <w:pPr>
        <w:spacing w:after="0" w:line="5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No exercise price has been derived as a result of all derivatives issued being PSUs and RSUs.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25,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7" w:lineRule="exact"/>
        <w:rPr>
          <w:sz w:val="20"/>
          <w:szCs w:val="20"/>
          <w:color w:val="auto"/>
        </w:rPr>
      </w:pPr>
    </w:p>
    <w:p>
      <w:pPr>
        <w:ind w:left="840" w:hanging="184"/>
        <w:spacing w:after="0"/>
        <w:tabs>
          <w:tab w:leader="none" w:pos="8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140" w:right="3580" w:hanging="324"/>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are included in this Form 10-K from page F-1 to page F-50: Reports of Independent Public Accounting Firm (PCAOB ID Number 248)</w:t>
      </w:r>
    </w:p>
    <w:p>
      <w:pPr>
        <w:ind w:left="1140" w:right="63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Consolidated Statements of Operations Consolidated Statements of Comprehensive Income Consolidated Statements of Changes in Equity Consolidated Statements of Cash Flows</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rFonts w:ascii="Times New Roman" w:cs="Times New Roman" w:eastAsia="Times New Roman" w:hAnsi="Times New Roman"/>
          <w:sz w:val="18"/>
          <w:szCs w:val="18"/>
          <w:color w:val="auto"/>
        </w:rPr>
      </w:pPr>
    </w:p>
    <w:p>
      <w:pPr>
        <w:ind w:left="660" w:hanging="4"/>
        <w:spacing w:after="0" w:line="282" w:lineRule="auto"/>
        <w:tabs>
          <w:tab w:leader="none" w:pos="8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because they are not applicable or the required information is shown on the financial statements or notes thereto.</w:t>
      </w:r>
    </w:p>
    <w:p>
      <w:pPr>
        <w:spacing w:after="0" w:line="5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8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34"/>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2.1</w:t>
            </w:r>
          </w:p>
        </w:tc>
        <w:tc>
          <w:tcPr>
            <w:tcW w:w="9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Master Transaction Agreement, dated as of March 25, 2020, by and among Polar Semiconductor, LLC, Allegro MicroSystems, Inc.,</w:t>
              </w:r>
            </w:hyperlink>
          </w:p>
        </w:tc>
      </w:tr>
      <w:tr>
        <w:trPr>
          <w:trHeight w:val="196"/>
        </w:trPr>
        <w:tc>
          <w:tcPr>
            <w:tcW w:w="1440" w:type="dxa"/>
            <w:vAlign w:val="bottom"/>
          </w:tcPr>
          <w:p>
            <w:pPr>
              <w:spacing w:after="0"/>
              <w:rPr>
                <w:sz w:val="17"/>
                <w:szCs w:val="17"/>
                <w:color w:val="auto"/>
              </w:rPr>
            </w:pPr>
          </w:p>
        </w:tc>
        <w:tc>
          <w:tcPr>
            <w:tcW w:w="9800" w:type="dxa"/>
            <w:vAlign w:val="bottom"/>
            <w:gridSpan w:val="17"/>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Allegro MicroSystems, LLC and Sanken Electric Co., Ltd. (incorporated by reference from Exhibit 2.1 to the Company’s Registration</w:t>
              </w:r>
            </w:hyperlink>
          </w:p>
        </w:tc>
      </w:tr>
      <w:tr>
        <w:trPr>
          <w:trHeight w:val="182"/>
        </w:trPr>
        <w:tc>
          <w:tcPr>
            <w:tcW w:w="144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Statement on Form S-1/A filed on October 13, 2020)</w:t>
              </w:r>
            </w:hyperlink>
          </w:p>
        </w:tc>
        <w:tc>
          <w:tcPr>
            <w:tcW w:w="59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3.1</w:t>
            </w:r>
          </w:p>
        </w:tc>
        <w:tc>
          <w:tcPr>
            <w:tcW w:w="97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Third Amended and Restated Certificate of Incorporation of Allegro MicroSystems, Inc. (incorporated by reference from Exhibit 3.1 to</w:t>
              </w:r>
            </w:hyperlink>
          </w:p>
        </w:tc>
        <w:tc>
          <w:tcPr>
            <w:tcW w:w="40" w:type="dxa"/>
            <w:vAlign w:val="bottom"/>
            <w:gridSpan w:val="2"/>
          </w:tcPr>
          <w:p>
            <w:pPr>
              <w:spacing w:after="0"/>
              <w:rPr>
                <w:sz w:val="24"/>
                <w:szCs w:val="24"/>
                <w:color w:val="auto"/>
              </w:rPr>
            </w:pPr>
          </w:p>
        </w:tc>
      </w:tr>
      <w:tr>
        <w:trPr>
          <w:trHeight w:val="196"/>
        </w:trPr>
        <w:tc>
          <w:tcPr>
            <w:tcW w:w="1440" w:type="dxa"/>
            <w:vAlign w:val="bottom"/>
          </w:tcPr>
          <w:p>
            <w:pPr>
              <w:spacing w:after="0"/>
              <w:rPr>
                <w:sz w:val="17"/>
                <w:szCs w:val="17"/>
                <w:color w:val="auto"/>
              </w:rPr>
            </w:pPr>
          </w:p>
        </w:tc>
        <w:tc>
          <w:tcPr>
            <w:tcW w:w="9800" w:type="dxa"/>
            <w:vAlign w:val="bottom"/>
            <w:gridSpan w:val="17"/>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the Company’s Current Report on Form 8-K filed on November 2, 2020)</w:t>
              </w:r>
            </w:hyperlink>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3.2</w:t>
            </w:r>
          </w:p>
        </w:tc>
        <w:tc>
          <w:tcPr>
            <w:tcW w:w="9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Bylaws of Allegro MicroSystems, Inc. (incorporated by reference from Exhibit 3.2 to the Company’s Current</w:t>
              </w:r>
            </w:hyperlink>
          </w:p>
        </w:tc>
      </w:tr>
      <w:tr>
        <w:trPr>
          <w:trHeight w:val="196"/>
        </w:trPr>
        <w:tc>
          <w:tcPr>
            <w:tcW w:w="1440" w:type="dxa"/>
            <w:vAlign w:val="bottom"/>
          </w:tcPr>
          <w:p>
            <w:pPr>
              <w:spacing w:after="0"/>
              <w:rPr>
                <w:sz w:val="17"/>
                <w:szCs w:val="17"/>
                <w:color w:val="auto"/>
              </w:rPr>
            </w:pPr>
          </w:p>
        </w:tc>
        <w:tc>
          <w:tcPr>
            <w:tcW w:w="35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Report on Form 8-K filed on November 2, 2020)</w:t>
              </w:r>
            </w:hyperlink>
          </w:p>
        </w:tc>
        <w:tc>
          <w:tcPr>
            <w:tcW w:w="6280" w:type="dxa"/>
            <w:vAlign w:val="bottom"/>
            <w:gridSpan w:val="13"/>
          </w:tcPr>
          <w:p>
            <w:pPr>
              <w:spacing w:after="0"/>
              <w:rPr>
                <w:sz w:val="17"/>
                <w:szCs w:val="17"/>
                <w:color w:val="auto"/>
              </w:rPr>
            </w:pPr>
          </w:p>
        </w:tc>
      </w:tr>
      <w:tr>
        <w:trPr>
          <w:trHeight w:val="344"/>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4.1</w:t>
            </w:r>
          </w:p>
        </w:tc>
        <w:tc>
          <w:tcPr>
            <w:tcW w:w="97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Specimen Stock Certificate evidencing the shares of common stock (incorporated by reference from Exhibit 4.1 to the Company’s</w:t>
              </w:r>
            </w:hyperlink>
          </w:p>
        </w:tc>
        <w:tc>
          <w:tcPr>
            <w:tcW w:w="40" w:type="dxa"/>
            <w:vAlign w:val="bottom"/>
            <w:gridSpan w:val="2"/>
          </w:tcPr>
          <w:p>
            <w:pPr>
              <w:spacing w:after="0"/>
              <w:rPr>
                <w:sz w:val="24"/>
                <w:szCs w:val="24"/>
                <w:color w:val="auto"/>
              </w:rPr>
            </w:pPr>
          </w:p>
        </w:tc>
      </w:tr>
      <w:tr>
        <w:trPr>
          <w:trHeight w:val="196"/>
        </w:trPr>
        <w:tc>
          <w:tcPr>
            <w:tcW w:w="1440" w:type="dxa"/>
            <w:vAlign w:val="bottom"/>
          </w:tcPr>
          <w:p>
            <w:pPr>
              <w:spacing w:after="0"/>
              <w:rPr>
                <w:sz w:val="17"/>
                <w:szCs w:val="17"/>
                <w:color w:val="auto"/>
              </w:rPr>
            </w:pPr>
          </w:p>
        </w:tc>
        <w:tc>
          <w:tcPr>
            <w:tcW w:w="47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Registration Statement on Form S-1/A filed on October 21, 2020)</w:t>
              </w:r>
            </w:hyperlink>
          </w:p>
        </w:tc>
        <w:tc>
          <w:tcPr>
            <w:tcW w:w="5060" w:type="dxa"/>
            <w:vAlign w:val="bottom"/>
            <w:gridSpan w:val="10"/>
          </w:tcPr>
          <w:p>
            <w:pPr>
              <w:spacing w:after="0"/>
              <w:rPr>
                <w:sz w:val="17"/>
                <w:szCs w:val="17"/>
                <w:color w:val="auto"/>
              </w:rPr>
            </w:pPr>
          </w:p>
        </w:tc>
      </w:tr>
      <w:tr>
        <w:trPr>
          <w:trHeight w:val="344"/>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4.2</w:t>
            </w:r>
          </w:p>
        </w:tc>
        <w:tc>
          <w:tcPr>
            <w:tcW w:w="9800" w:type="dxa"/>
            <w:vAlign w:val="bottom"/>
            <w:gridSpan w:val="17"/>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Stockholders Agreement, dated as of September 30, 2020, by and among Allegro MicroSystems, Inc., Sanken Electric Co., Ltd. and</w:t>
              </w:r>
            </w:hyperlink>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800" w:type="dxa"/>
            <w:vAlign w:val="bottom"/>
            <w:gridSpan w:val="17"/>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OEP SKNA, L.P. (incorporated by reference from Exhibit 4.3 to the Company’s Registration Statement on Form S-1/A filed on</w:t>
              </w:r>
            </w:hyperlink>
          </w:p>
        </w:tc>
      </w:tr>
      <w:tr>
        <w:trPr>
          <w:trHeight w:val="183"/>
        </w:trPr>
        <w:tc>
          <w:tcPr>
            <w:tcW w:w="144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94">
              <w:r>
                <w:rPr>
                  <w:rFonts w:ascii="Times New Roman" w:cs="Times New Roman" w:eastAsia="Times New Roman" w:hAnsi="Times New Roman"/>
                  <w:sz w:val="18"/>
                  <w:szCs w:val="18"/>
                  <w:color w:val="0000FF"/>
                  <w:w w:val="98"/>
                </w:rPr>
                <w:t>October 13, 2020)</w:t>
              </w:r>
            </w:hyperlink>
          </w:p>
        </w:tc>
        <w:tc>
          <w:tcPr>
            <w:tcW w:w="844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4.3</w:t>
            </w:r>
          </w:p>
        </w:tc>
        <w:tc>
          <w:tcPr>
            <w:tcW w:w="9800" w:type="dxa"/>
            <w:vAlign w:val="bottom"/>
            <w:gridSpan w:val="17"/>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Addendum to Stockholders Agreement of Allegro MicroSystems, Inc., dated as of June 30, 2021, by and among Allegro</w:t>
              </w:r>
            </w:hyperlink>
          </w:p>
        </w:tc>
      </w:tr>
      <w:tr>
        <w:trPr>
          <w:trHeight w:val="183"/>
        </w:trPr>
        <w:tc>
          <w:tcPr>
            <w:tcW w:w="1440" w:type="dxa"/>
            <w:vAlign w:val="bottom"/>
          </w:tcPr>
          <w:p>
            <w:pPr>
              <w:spacing w:after="0"/>
              <w:rPr>
                <w:sz w:val="15"/>
                <w:szCs w:val="15"/>
                <w:color w:val="auto"/>
              </w:rPr>
            </w:pPr>
          </w:p>
        </w:tc>
        <w:tc>
          <w:tcPr>
            <w:tcW w:w="868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MicroSystems, Inc., OEP SKNA, L.P. and Sanken Electric Co., Ltd. (incorporated by reference from Exhibit 10.1 to the</w:t>
              </w:r>
            </w:hyperlink>
          </w:p>
        </w:tc>
        <w:tc>
          <w:tcPr>
            <w:tcW w:w="1120" w:type="dxa"/>
            <w:vAlign w:val="bottom"/>
            <w:gridSpan w:val="8"/>
          </w:tcPr>
          <w:p>
            <w:pPr>
              <w:spacing w:after="0" w:line="182"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Company’s</w:t>
              </w:r>
            </w:hyperlink>
          </w:p>
        </w:tc>
      </w:tr>
      <w:tr>
        <w:trPr>
          <w:trHeight w:val="183"/>
        </w:trPr>
        <w:tc>
          <w:tcPr>
            <w:tcW w:w="144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Current Report on Form 8-K filed on July 1, 2021)</w:t>
              </w:r>
            </w:hyperlink>
          </w:p>
        </w:tc>
        <w:tc>
          <w:tcPr>
            <w:tcW w:w="5840" w:type="dxa"/>
            <w:vAlign w:val="bottom"/>
            <w:tcBorders>
              <w:top w:val="single" w:sz="8" w:color="0000FF"/>
            </w:tcBorders>
            <w:gridSpan w:val="8"/>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4.4</w:t>
            </w:r>
          </w:p>
        </w:tc>
        <w:tc>
          <w:tcPr>
            <w:tcW w:w="9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Registration Rights Agreement, by and among the Company, Sanken Electric Co. and OEP SKNA, L.P.</w:t>
              </w:r>
            </w:hyperlink>
          </w:p>
        </w:tc>
      </w:tr>
      <w:tr>
        <w:trPr>
          <w:trHeight w:val="196"/>
        </w:trPr>
        <w:tc>
          <w:tcPr>
            <w:tcW w:w="1440" w:type="dxa"/>
            <w:vAlign w:val="bottom"/>
          </w:tcPr>
          <w:p>
            <w:pPr>
              <w:spacing w:after="0"/>
              <w:rPr>
                <w:sz w:val="17"/>
                <w:szCs w:val="17"/>
                <w:color w:val="auto"/>
              </w:rPr>
            </w:pPr>
          </w:p>
        </w:tc>
        <w:tc>
          <w:tcPr>
            <w:tcW w:w="87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(incorporated by reference from Exhibit 10.1 to the Company’s Current Report on Form 8-K filed on November 2, 2020)</w:t>
              </w:r>
            </w:hyperlink>
          </w:p>
        </w:tc>
        <w:tc>
          <w:tcPr>
            <w:tcW w:w="1080" w:type="dxa"/>
            <w:vAlign w:val="bottom"/>
            <w:gridSpan w:val="7"/>
          </w:tcPr>
          <w:p>
            <w:pPr>
              <w:spacing w:after="0"/>
              <w:rPr>
                <w:sz w:val="17"/>
                <w:szCs w:val="17"/>
                <w:color w:val="auto"/>
              </w:rPr>
            </w:pPr>
          </w:p>
        </w:tc>
      </w:tr>
      <w:tr>
        <w:trPr>
          <w:trHeight w:val="344"/>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4.5</w:t>
            </w:r>
          </w:p>
        </w:tc>
        <w:tc>
          <w:tcPr>
            <w:tcW w:w="9800" w:type="dxa"/>
            <w:vAlign w:val="bottom"/>
            <w:gridSpan w:val="1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Description of securities (incorporated by reference from Exhibit 4.4 to the Company’s Annual Report on Form 10-K on May 19,</w:t>
              </w:r>
            </w:hyperlink>
          </w:p>
        </w:tc>
      </w:tr>
      <w:tr>
        <w:trPr>
          <w:trHeight w:val="196"/>
        </w:trPr>
        <w:tc>
          <w:tcPr>
            <w:tcW w:w="14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97">
              <w:r>
                <w:rPr>
                  <w:rFonts w:ascii="Times New Roman" w:cs="Times New Roman" w:eastAsia="Times New Roman" w:hAnsi="Times New Roman"/>
                  <w:sz w:val="18"/>
                  <w:szCs w:val="18"/>
                  <w:color w:val="0000FF"/>
                  <w:w w:val="95"/>
                </w:rPr>
                <w:t>2021)</w:t>
              </w:r>
            </w:hyperlink>
          </w:p>
        </w:tc>
        <w:tc>
          <w:tcPr>
            <w:tcW w:w="9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4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7"/>
              </w:rPr>
              <w:t>4.6</w:t>
            </w:r>
          </w:p>
        </w:tc>
        <w:tc>
          <w:tcPr>
            <w:tcW w:w="94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Form of Indenture (incorporated by reference from Exhibit 4.3 to the Company’s Registration Statement on Form S-3ASR filed on</w:t>
              </w:r>
            </w:hyperlink>
          </w:p>
        </w:tc>
        <w:tc>
          <w:tcPr>
            <w:tcW w:w="380" w:type="dxa"/>
            <w:vAlign w:val="bottom"/>
            <w:gridSpan w:val="5"/>
          </w:tcPr>
          <w:p>
            <w:pPr>
              <w:spacing w:after="0"/>
              <w:rPr>
                <w:sz w:val="24"/>
                <w:szCs w:val="24"/>
                <w:color w:val="auto"/>
              </w:rPr>
            </w:pPr>
          </w:p>
        </w:tc>
      </w:tr>
      <w:tr>
        <w:trPr>
          <w:trHeight w:val="196"/>
        </w:trPr>
        <w:tc>
          <w:tcPr>
            <w:tcW w:w="1440" w:type="dxa"/>
            <w:vAlign w:val="bottom"/>
          </w:tcPr>
          <w:p>
            <w:pPr>
              <w:spacing w:after="0"/>
              <w:rPr>
                <w:sz w:val="17"/>
                <w:szCs w:val="17"/>
                <w:color w:val="auto"/>
              </w:rPr>
            </w:pPr>
          </w:p>
        </w:tc>
        <w:tc>
          <w:tcPr>
            <w:tcW w:w="9800" w:type="dxa"/>
            <w:vAlign w:val="bottom"/>
            <w:gridSpan w:val="17"/>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November 1, 2021)</w:t>
              </w:r>
            </w:hyperlink>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Limited Liability Company Agreement of Polar Semiconductor, LLC, dated as of March 28, 2020, by and</w:t>
              </w:r>
            </w:hyperlink>
          </w:p>
        </w:tc>
      </w:tr>
      <w:tr>
        <w:trPr>
          <w:trHeight w:val="183"/>
        </w:trPr>
        <w:tc>
          <w:tcPr>
            <w:tcW w:w="144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among Polar Semiconductor, LLC, Allegro MicroSystems, Inc. and Sanken Electric Co. Ltd. (incorporated by reference from Exhibit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71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(Exhibit B) to the Company’s Registration Statement on Form S-1/A filed on October 13, 2020)</w:t>
              </w:r>
            </w:hyperlink>
          </w:p>
        </w:tc>
        <w:tc>
          <w:tcPr>
            <w:tcW w:w="2840" w:type="dxa"/>
            <w:vAlign w:val="bottom"/>
            <w:gridSpan w:val="18"/>
          </w:tcPr>
          <w:p>
            <w:pPr>
              <w:spacing w:after="0"/>
              <w:rPr>
                <w:sz w:val="17"/>
                <w:szCs w:val="17"/>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Wafer Foundry Agreement, dated as of April 12, 2013, by and between Allegro MicroSystems, LLC and Polar Semiconductor, LLC</w:t>
              </w:r>
            </w:hyperlink>
          </w:p>
        </w:tc>
      </w:tr>
      <w:tr>
        <w:trPr>
          <w:trHeight w:val="183"/>
        </w:trPr>
        <w:tc>
          <w:tcPr>
            <w:tcW w:w="1440" w:type="dxa"/>
            <w:vAlign w:val="bottom"/>
          </w:tcPr>
          <w:p>
            <w:pPr>
              <w:spacing w:after="0"/>
              <w:rPr>
                <w:sz w:val="15"/>
                <w:szCs w:val="15"/>
                <w:color w:val="auto"/>
              </w:rPr>
            </w:pPr>
          </w:p>
        </w:tc>
        <w:tc>
          <w:tcPr>
            <w:tcW w:w="934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(incorporated by reference from Exhibit 10.5 to the Company’s Registration Statement on Form S-1/A filed on October 13, 2020)</w:t>
              </w:r>
            </w:hyperlink>
          </w:p>
        </w:tc>
        <w:tc>
          <w:tcPr>
            <w:tcW w:w="5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Amendment No. 1 to Wafer Foundry Agreement, dated as of March 28, 2020, by and between Allegro MicroSystems, LLC and Polar</w:t>
              </w:r>
            </w:hyperlink>
          </w:p>
        </w:tc>
      </w:tr>
      <w:tr>
        <w:trPr>
          <w:trHeight w:val="183"/>
        </w:trPr>
        <w:tc>
          <w:tcPr>
            <w:tcW w:w="144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Semiconductor, LLC (incorporated by reference from Exhibit 2.1 (Exhibit C) to the Company’s Registration Statement on Form S-1/A</w:t>
              </w:r>
            </w:hyperlink>
          </w:p>
        </w:tc>
        <w:tc>
          <w:tcPr>
            <w:tcW w:w="18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19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filed on October 13, 2020)</w:t>
              </w:r>
            </w:hyperlink>
          </w:p>
        </w:tc>
        <w:tc>
          <w:tcPr>
            <w:tcW w:w="8100" w:type="dxa"/>
            <w:vAlign w:val="bottom"/>
            <w:gridSpan w:val="21"/>
          </w:tcPr>
          <w:p>
            <w:pPr>
              <w:spacing w:after="0"/>
              <w:rPr>
                <w:sz w:val="17"/>
                <w:szCs w:val="17"/>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Letter Agreement regarding FY21 Price Support, dated as of March 28, 2020, by and between Allegro MicroSystems, LLC and Polar</w:t>
              </w:r>
            </w:hyperlink>
          </w:p>
        </w:tc>
      </w:tr>
      <w:tr>
        <w:trPr>
          <w:trHeight w:val="183"/>
        </w:trPr>
        <w:tc>
          <w:tcPr>
            <w:tcW w:w="144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Semiconductor, LLC (incorporated by reference from Exhibit 2.1 (Exhibit D) to the Company’s Registration Statement on Form S-1/A</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19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filed on October 13, 2020)</w:t>
              </w:r>
            </w:hyperlink>
          </w:p>
        </w:tc>
        <w:tc>
          <w:tcPr>
            <w:tcW w:w="8100" w:type="dxa"/>
            <w:vAlign w:val="bottom"/>
            <w:gridSpan w:val="21"/>
          </w:tcPr>
          <w:p>
            <w:pPr>
              <w:spacing w:after="0"/>
              <w:rPr>
                <w:sz w:val="17"/>
                <w:szCs w:val="17"/>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Letter Agreement regarding Consolidation of Technology Agreements, by and among Allegro MicroSystems, LLC, Sanken Electric</w:t>
              </w:r>
            </w:hyperlink>
          </w:p>
        </w:tc>
      </w:tr>
      <w:tr>
        <w:trPr>
          <w:trHeight w:val="183"/>
        </w:trPr>
        <w:tc>
          <w:tcPr>
            <w:tcW w:w="144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 Ltd. and Polar Semiconductor, LLC (incorporated by reference from Exhibit 2.1 (Exhibit F) to the Company’s Registration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38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Statement on Form S-1/A filed on October 13, 2020)</w:t>
              </w:r>
            </w:hyperlink>
          </w:p>
        </w:tc>
        <w:tc>
          <w:tcPr>
            <w:tcW w:w="6200" w:type="dxa"/>
            <w:vAlign w:val="bottom"/>
            <w:gridSpan w:val="20"/>
          </w:tcPr>
          <w:p>
            <w:pPr>
              <w:spacing w:after="0"/>
              <w:rPr>
                <w:sz w:val="17"/>
                <w:szCs w:val="17"/>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Distribution Agreement, dated as of July 5, 2007, by and between Allegro MicroSystems, Inc. and Sanken Electric Co., Ltd.</w:t>
              </w:r>
            </w:hyperlink>
          </w:p>
        </w:tc>
      </w:tr>
      <w:tr>
        <w:trPr>
          <w:trHeight w:val="183"/>
        </w:trPr>
        <w:tc>
          <w:tcPr>
            <w:tcW w:w="1440" w:type="dxa"/>
            <w:vAlign w:val="bottom"/>
          </w:tcPr>
          <w:p>
            <w:pPr>
              <w:spacing w:after="0"/>
              <w:rPr>
                <w:sz w:val="15"/>
                <w:szCs w:val="15"/>
                <w:color w:val="auto"/>
              </w:rPr>
            </w:pPr>
          </w:p>
        </w:tc>
        <w:tc>
          <w:tcPr>
            <w:tcW w:w="976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(incorporated by reference from Exhibit 10.15 to the Company’s Registration Statement on Form S-1/A filed on October 21, 2020)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00" w:type="dxa"/>
            <w:vAlign w:val="bottom"/>
            <w:gridSpan w:val="3"/>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Transfer Pricing Agreement, dated as of March 28, 2020, by and among Sanken Electric Co., Ltd., Allegro</w:t>
              </w:r>
            </w:hyperlink>
          </w:p>
        </w:tc>
      </w:tr>
      <w:tr>
        <w:trPr>
          <w:trHeight w:val="183"/>
        </w:trPr>
        <w:tc>
          <w:tcPr>
            <w:tcW w:w="144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MicroSystems, Inc., Allegro MicroSystems, LLC and Polar Semiconductor, LLC (incorporated by reference from Exhibit 2.1 (Exhibit</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62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I) to the Company’s Registration Statement on Form S-1/A filed on October 13, 2020)</w:t>
              </w:r>
            </w:hyperlink>
          </w:p>
        </w:tc>
        <w:tc>
          <w:tcPr>
            <w:tcW w:w="3800" w:type="dxa"/>
            <w:vAlign w:val="bottom"/>
            <w:gridSpan w:val="19"/>
          </w:tcPr>
          <w:p>
            <w:pPr>
              <w:spacing w:after="0"/>
              <w:rPr>
                <w:sz w:val="17"/>
                <w:szCs w:val="17"/>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Sales Representative Agreement, dated as of July 5, 2007, by and between Sanken Electric Co., Ltd. and Allegro MicroSystems, Inc.</w:t>
              </w:r>
            </w:hyperlink>
          </w:p>
        </w:tc>
      </w:tr>
      <w:tr>
        <w:trPr>
          <w:trHeight w:val="183"/>
        </w:trPr>
        <w:tc>
          <w:tcPr>
            <w:tcW w:w="1440" w:type="dxa"/>
            <w:vAlign w:val="bottom"/>
          </w:tcPr>
          <w:p>
            <w:pPr>
              <w:spacing w:after="0"/>
              <w:rPr>
                <w:sz w:val="15"/>
                <w:szCs w:val="15"/>
                <w:color w:val="auto"/>
              </w:rPr>
            </w:pPr>
          </w:p>
        </w:tc>
        <w:tc>
          <w:tcPr>
            <w:tcW w:w="980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(incorporated by reference from Exhibit 10.17 to the Company’s Registration Statement on Form S-1/A filed on October 21,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20" w:type="dxa"/>
            <w:vAlign w:val="bottom"/>
            <w:gridSpan w:val="5"/>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Royalty Sharing Agreement, dated as of September 3, 2013, by and between Sanken Electric Co., Ltd. and Allegro MicroSystems,</w:t>
              </w:r>
            </w:hyperlink>
          </w:p>
        </w:tc>
      </w:tr>
      <w:tr>
        <w:trPr>
          <w:trHeight w:val="183"/>
        </w:trPr>
        <w:tc>
          <w:tcPr>
            <w:tcW w:w="1440" w:type="dxa"/>
            <w:vAlign w:val="bottom"/>
          </w:tcPr>
          <w:p>
            <w:pPr>
              <w:spacing w:after="0"/>
              <w:rPr>
                <w:sz w:val="15"/>
                <w:szCs w:val="15"/>
                <w:color w:val="auto"/>
              </w:rPr>
            </w:pPr>
          </w:p>
        </w:tc>
        <w:tc>
          <w:tcPr>
            <w:tcW w:w="99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LLC (incorporated by reference from Exhibit 10.18 to the Company’s Registration Statement on Form S-1/A filed on October 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03">
              <w:r>
                <w:rPr>
                  <w:rFonts w:ascii="Times New Roman" w:cs="Times New Roman" w:eastAsia="Times New Roman" w:hAnsi="Times New Roman"/>
                  <w:sz w:val="18"/>
                  <w:szCs w:val="18"/>
                  <w:color w:val="0000FF"/>
                  <w:w w:val="95"/>
                </w:rPr>
                <w:t>2020)</w:t>
              </w:r>
            </w:hyperlink>
          </w:p>
        </w:tc>
        <w:tc>
          <w:tcPr>
            <w:tcW w:w="1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Sublease Agreement, by and between Allegro MicroSystems Business Development, Inc. and Sanken Electric Co., Ltd. (incorporated</w:t>
              </w:r>
            </w:hyperlink>
          </w:p>
        </w:tc>
      </w:tr>
      <w:tr>
        <w:trPr>
          <w:trHeight w:val="183"/>
        </w:trPr>
        <w:tc>
          <w:tcPr>
            <w:tcW w:w="1440" w:type="dxa"/>
            <w:vAlign w:val="bottom"/>
          </w:tcPr>
          <w:p>
            <w:pPr>
              <w:spacing w:after="0"/>
              <w:rPr>
                <w:sz w:val="15"/>
                <w:szCs w:val="15"/>
                <w:color w:val="auto"/>
              </w:rPr>
            </w:pPr>
          </w:p>
        </w:tc>
        <w:tc>
          <w:tcPr>
            <w:tcW w:w="100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by reference from Exhibit 10.19 to the Company’s Registration Statement on Form S- filed on October 6, 2020)</w:t>
              </w:r>
            </w:hyperlink>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20" w:type="dxa"/>
            <w:vAlign w:val="bottom"/>
            <w:gridSpan w:val="5"/>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Contract of Lease, dated as of April 1, 2004, by and between Allegro MicroSystems Phils. Realty, Inc. and Allegro MicroSystems</w:t>
              </w:r>
            </w:hyperlink>
          </w:p>
        </w:tc>
      </w:tr>
      <w:tr>
        <w:trPr>
          <w:trHeight w:val="183"/>
        </w:trPr>
        <w:tc>
          <w:tcPr>
            <w:tcW w:w="1440" w:type="dxa"/>
            <w:vAlign w:val="bottom"/>
          </w:tcPr>
          <w:p>
            <w:pPr>
              <w:spacing w:after="0"/>
              <w:rPr>
                <w:sz w:val="15"/>
                <w:szCs w:val="15"/>
                <w:color w:val="auto"/>
              </w:rPr>
            </w:pPr>
          </w:p>
        </w:tc>
        <w:tc>
          <w:tcPr>
            <w:tcW w:w="992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Philippines, Inc. (incorporated by reference from Exhibit 10.20 to the Company’s Registration Statement on Form S-1 filed on October</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r>
              <w:rPr>
                <w:rFonts w:ascii="Times New Roman" w:cs="Times New Roman" w:eastAsia="Times New Roman" w:hAnsi="Times New Roman"/>
                <w:sz w:val="18"/>
                <w:szCs w:val="18"/>
                <w:color w:val="0000FF"/>
                <w:w w:val="96"/>
              </w:rPr>
              <w:t xml:space="preserve">6, </w:t>
            </w:r>
            <w:hyperlink r:id="rId105">
              <w:r>
                <w:rPr>
                  <w:rFonts w:ascii="Times New Roman" w:cs="Times New Roman" w:eastAsia="Times New Roman" w:hAnsi="Times New Roman"/>
                  <w:sz w:val="18"/>
                  <w:szCs w:val="18"/>
                  <w:color w:val="0000FF"/>
                  <w:w w:val="96"/>
                </w:rPr>
                <w:t>2020)</w:t>
              </w:r>
            </w:hyperlink>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Contract of Lease, dated as of May 23, 2008, by and between Allegro MicroSystems Phils. Realty, Inc. and Allegro MicroSystems</w:t>
              </w:r>
            </w:hyperlink>
          </w:p>
        </w:tc>
      </w:tr>
      <w:tr>
        <w:trPr>
          <w:trHeight w:val="183"/>
        </w:trPr>
        <w:tc>
          <w:tcPr>
            <w:tcW w:w="1440" w:type="dxa"/>
            <w:vAlign w:val="bottom"/>
          </w:tcPr>
          <w:p>
            <w:pPr>
              <w:spacing w:after="0"/>
              <w:rPr>
                <w:sz w:val="15"/>
                <w:szCs w:val="15"/>
                <w:color w:val="auto"/>
              </w:rPr>
            </w:pPr>
          </w:p>
        </w:tc>
        <w:tc>
          <w:tcPr>
            <w:tcW w:w="99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Philippines, Inc. (incorporated by reference from Exhibit 10.21 to the Company’s Registration Statement on Form S-1 filed on October</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r>
              <w:rPr>
                <w:rFonts w:ascii="Times New Roman" w:cs="Times New Roman" w:eastAsia="Times New Roman" w:hAnsi="Times New Roman"/>
                <w:sz w:val="18"/>
                <w:szCs w:val="18"/>
                <w:color w:val="0000FF"/>
                <w:w w:val="96"/>
              </w:rPr>
              <w:t xml:space="preserve">6, </w:t>
            </w:r>
            <w:hyperlink r:id="rId106">
              <w:r>
                <w:rPr>
                  <w:rFonts w:ascii="Times New Roman" w:cs="Times New Roman" w:eastAsia="Times New Roman" w:hAnsi="Times New Roman"/>
                  <w:sz w:val="18"/>
                  <w:szCs w:val="18"/>
                  <w:color w:val="0000FF"/>
                  <w:w w:val="96"/>
                </w:rPr>
                <w:t>2020)</w:t>
              </w:r>
            </w:hyperlink>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Contract of Lease, dated as of February 10, 2010, by and between Allegro MicroSystems Phils. Realty, Inc. and Allegro MicroSystems</w:t>
              </w:r>
            </w:hyperlink>
          </w:p>
        </w:tc>
      </w:tr>
      <w:tr>
        <w:trPr>
          <w:trHeight w:val="183"/>
        </w:trPr>
        <w:tc>
          <w:tcPr>
            <w:tcW w:w="1440" w:type="dxa"/>
            <w:vAlign w:val="bottom"/>
          </w:tcPr>
          <w:p>
            <w:pPr>
              <w:spacing w:after="0"/>
              <w:rPr>
                <w:sz w:val="15"/>
                <w:szCs w:val="15"/>
                <w:color w:val="auto"/>
              </w:rPr>
            </w:pPr>
          </w:p>
        </w:tc>
        <w:tc>
          <w:tcPr>
            <w:tcW w:w="980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Philippines, Inc. (incorporated by reference from Exhibit 10.22 to the Company’s Registration Statement on Form S-1 filed on October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r>
              <w:rPr>
                <w:rFonts w:ascii="Times New Roman" w:cs="Times New Roman" w:eastAsia="Times New Roman" w:hAnsi="Times New Roman"/>
                <w:sz w:val="18"/>
                <w:szCs w:val="18"/>
                <w:color w:val="0000FF"/>
                <w:w w:val="96"/>
              </w:rPr>
              <w:t xml:space="preserve">6, </w:t>
            </w:r>
            <w:hyperlink r:id="rId107">
              <w:r>
                <w:rPr>
                  <w:rFonts w:ascii="Times New Roman" w:cs="Times New Roman" w:eastAsia="Times New Roman" w:hAnsi="Times New Roman"/>
                  <w:sz w:val="18"/>
                  <w:szCs w:val="18"/>
                  <w:color w:val="0000FF"/>
                  <w:w w:val="96"/>
                </w:rPr>
                <w:t>2020)</w:t>
              </w:r>
            </w:hyperlink>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Contract of Lease, dated as of December 29, 2017, by and between Allegro MicroSystems Phils. Realty, Inc. and Allegro</w:t>
              </w:r>
            </w:hyperlink>
          </w:p>
        </w:tc>
      </w:tr>
      <w:tr>
        <w:trPr>
          <w:trHeight w:val="183"/>
        </w:trPr>
        <w:tc>
          <w:tcPr>
            <w:tcW w:w="144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MicroSystems Philippines, Inc. (incorporated by reference from Exhibit 10.23 to the Company’s Registration Statement on Form S-1</w:t>
              </w:r>
            </w:hyperlink>
          </w:p>
        </w:tc>
        <w:tc>
          <w:tcPr>
            <w:tcW w:w="120" w:type="dxa"/>
            <w:vAlign w:val="bottom"/>
            <w:tcBorders>
              <w:bottom w:val="single" w:sz="8" w:color="0000FF"/>
            </w:tcBorders>
            <w:gridSpan w:val="6"/>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10020" w:type="dxa"/>
            <w:vAlign w:val="bottom"/>
            <w:gridSpan w:val="25"/>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filed on October 6, 2020)</w:t>
              </w:r>
            </w:hyperlink>
          </w:p>
        </w:tc>
      </w:tr>
      <w:tr>
        <w:trPr>
          <w:trHeight w:val="20"/>
        </w:trPr>
        <w:tc>
          <w:tcPr>
            <w:tcW w:w="144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60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20" w:type="dxa"/>
            <w:vAlign w:val="bottom"/>
            <w:gridSpan w:val="25"/>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Board Executive Advisor Agreement, dated as of September 28, 2017, by and between Allegro MicroSystems, Inc. and Reza</w:t>
              </w:r>
            </w:hyperlink>
          </w:p>
        </w:tc>
      </w:tr>
      <w:tr>
        <w:trPr>
          <w:trHeight w:val="182"/>
        </w:trPr>
        <w:tc>
          <w:tcPr>
            <w:tcW w:w="1440" w:type="dxa"/>
            <w:vAlign w:val="bottom"/>
          </w:tcPr>
          <w:p>
            <w:pPr>
              <w:spacing w:after="0"/>
              <w:rPr>
                <w:sz w:val="15"/>
                <w:szCs w:val="15"/>
                <w:color w:val="auto"/>
              </w:rPr>
            </w:pPr>
          </w:p>
        </w:tc>
        <w:tc>
          <w:tcPr>
            <w:tcW w:w="982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Kazerounian (incorporated by reference from Exhibit 10.24 to the Company’s Registration Statement on Form S-1 filed on October 6,</w:t>
              </w:r>
            </w:hyperlink>
          </w:p>
        </w:tc>
        <w:tc>
          <w:tcPr>
            <w:tcW w:w="20" w:type="dxa"/>
            <w:vAlign w:val="bottom"/>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09">
              <w:r>
                <w:rPr>
                  <w:rFonts w:ascii="Times New Roman" w:cs="Times New Roman" w:eastAsia="Times New Roman" w:hAnsi="Times New Roman"/>
                  <w:sz w:val="18"/>
                  <w:szCs w:val="18"/>
                  <w:color w:val="0000FF"/>
                  <w:w w:val="95"/>
                </w:rPr>
                <w:t>2020)</w:t>
              </w:r>
            </w:hyperlink>
          </w:p>
        </w:tc>
        <w:tc>
          <w:tcPr>
            <w:tcW w:w="18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24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9" w:name="page80"/>
    <w:bookmarkEnd w:id="79"/>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10.16</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Amendment to Board Executive Advisor Agreement, dated as of June 28, 2018, by and between Allegro MicroSystems, Inc. and Reza</w:t>
              </w:r>
            </w:hyperlink>
          </w:p>
        </w:tc>
      </w:tr>
      <w:tr>
        <w:trPr>
          <w:trHeight w:val="183"/>
        </w:trPr>
        <w:tc>
          <w:tcPr>
            <w:tcW w:w="1440" w:type="dxa"/>
            <w:vAlign w:val="bottom"/>
          </w:tcPr>
          <w:p>
            <w:pPr>
              <w:spacing w:after="0"/>
              <w:rPr>
                <w:sz w:val="15"/>
                <w:szCs w:val="15"/>
                <w:color w:val="auto"/>
              </w:rPr>
            </w:pPr>
          </w:p>
        </w:tc>
        <w:tc>
          <w:tcPr>
            <w:tcW w:w="992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Kazerounian (incorporated by reference from Exhibit 10.25 to the Company’s Registration Statement on Form S-1 filed on October 6,</w:t>
              </w:r>
            </w:hyperlink>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2020)</w:t>
              </w:r>
            </w:hyperlink>
          </w:p>
        </w:tc>
        <w:tc>
          <w:tcPr>
            <w:tcW w:w="23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38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10.17</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Director Offer Letter, dated as of June 28, 2018, by and between Allegro MicroSystems, Inc. and Reza Kazerounian (incorporated by</w:t>
              </w:r>
            </w:hyperlink>
          </w:p>
        </w:tc>
      </w:tr>
      <w:tr>
        <w:trPr>
          <w:trHeight w:val="183"/>
        </w:trPr>
        <w:tc>
          <w:tcPr>
            <w:tcW w:w="1440" w:type="dxa"/>
            <w:vAlign w:val="bottom"/>
          </w:tcPr>
          <w:p>
            <w:pPr>
              <w:spacing w:after="0"/>
              <w:rPr>
                <w:sz w:val="15"/>
                <w:szCs w:val="15"/>
                <w:color w:val="auto"/>
              </w:rPr>
            </w:pPr>
          </w:p>
        </w:tc>
        <w:tc>
          <w:tcPr>
            <w:tcW w:w="978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from Exhibit 10.26 to the Company’s Registration Statement on Form S-1 filed on October 6,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10.18</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Allegro MicroSystems, LLC Executive Deferred Compensation Plan, dated as of September 15, 2015</w:t>
              </w:r>
            </w:hyperlink>
          </w:p>
        </w:tc>
      </w:tr>
      <w:tr>
        <w:trPr>
          <w:trHeight w:val="183"/>
        </w:trPr>
        <w:tc>
          <w:tcPr>
            <w:tcW w:w="1440" w:type="dxa"/>
            <w:vAlign w:val="bottom"/>
          </w:tcPr>
          <w:p>
            <w:pPr>
              <w:spacing w:after="0"/>
              <w:rPr>
                <w:sz w:val="15"/>
                <w:szCs w:val="15"/>
                <w:color w:val="auto"/>
              </w:rPr>
            </w:pPr>
          </w:p>
        </w:tc>
        <w:tc>
          <w:tcPr>
            <w:tcW w:w="988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(incorporated by reference from Exhibit 10.30 to the Company’s Registration Statement on Form S-1/A filed on October 13,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10.19</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Allegro MicroSystems, Inc. 2020 Omnibus Incentive Compensation Plan (incorporated by reference from Exhibit 99.1 to the</w:t>
              </w:r>
            </w:hyperlink>
          </w:p>
        </w:tc>
      </w:tr>
      <w:tr>
        <w:trPr>
          <w:trHeight w:val="183"/>
        </w:trPr>
        <w:tc>
          <w:tcPr>
            <w:tcW w:w="1440" w:type="dxa"/>
            <w:vAlign w:val="bottom"/>
          </w:tcPr>
          <w:p>
            <w:pPr>
              <w:spacing w:after="0"/>
              <w:rPr>
                <w:sz w:val="15"/>
                <w:szCs w:val="15"/>
                <w:color w:val="auto"/>
              </w:rPr>
            </w:pPr>
          </w:p>
        </w:tc>
        <w:tc>
          <w:tcPr>
            <w:tcW w:w="980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Company’s Registration Statement on Form S-8 filed on October 30,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10.20</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Restricted Stock Unit Agreement under Allegro MicroSystems, Inc. 2020 Omnibus Incentive Compensation Plan (Employees)</w:t>
              </w:r>
            </w:hyperlink>
          </w:p>
        </w:tc>
      </w:tr>
      <w:tr>
        <w:trPr>
          <w:trHeight w:val="183"/>
        </w:trPr>
        <w:tc>
          <w:tcPr>
            <w:tcW w:w="1440" w:type="dxa"/>
            <w:vAlign w:val="bottom"/>
          </w:tcPr>
          <w:p>
            <w:pPr>
              <w:spacing w:after="0"/>
              <w:rPr>
                <w:sz w:val="15"/>
                <w:szCs w:val="15"/>
                <w:color w:val="auto"/>
              </w:rPr>
            </w:pPr>
          </w:p>
        </w:tc>
        <w:tc>
          <w:tcPr>
            <w:tcW w:w="98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 xml:space="preserve">(incorporated by reference from Exhibit </w:t>
              </w:r>
            </w:hyperlink>
            <w:r>
              <w:rPr>
                <w:rFonts w:ascii="Times New Roman" w:cs="Times New Roman" w:eastAsia="Times New Roman" w:hAnsi="Times New Roman"/>
                <w:sz w:val="18"/>
                <w:szCs w:val="18"/>
                <w:color w:val="0000FF"/>
              </w:rPr>
              <w:t xml:space="preserve">10.31 </w:t>
            </w:r>
            <w:hyperlink r:id="rId115">
              <w:r>
                <w:rPr>
                  <w:rFonts w:ascii="Times New Roman" w:cs="Times New Roman" w:eastAsia="Times New Roman" w:hAnsi="Times New Roman"/>
                  <w:sz w:val="18"/>
                  <w:szCs w:val="18"/>
                  <w:color w:val="0000FF"/>
                </w:rPr>
                <w:t>to the Company’s Annual Report on Form 10-K filed on May 19, 202</w:t>
              </w:r>
            </w:hyperlink>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10.21</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Restricted Stock Unit Agreement under Allegro MicroSystems, Inc. 2020 Omnibus Incentive Compensation Plan (Board of</w:t>
              </w:r>
            </w:hyperlink>
          </w:p>
        </w:tc>
      </w:tr>
      <w:tr>
        <w:trPr>
          <w:trHeight w:val="183"/>
        </w:trPr>
        <w:tc>
          <w:tcPr>
            <w:tcW w:w="1440" w:type="dxa"/>
            <w:vAlign w:val="bottom"/>
          </w:tcPr>
          <w:p>
            <w:pPr>
              <w:spacing w:after="0"/>
              <w:rPr>
                <w:sz w:val="15"/>
                <w:szCs w:val="15"/>
                <w:color w:val="auto"/>
              </w:rPr>
            </w:pPr>
          </w:p>
        </w:tc>
        <w:tc>
          <w:tcPr>
            <w:tcW w:w="990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Directors) (incorporated by reference from Exhibit 10.34 to the Company’s Registration Statement on Form S-1/A filed on October 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282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2020)</w:t>
              </w:r>
              <w:r>
                <w:rPr>
                  <w:rFonts w:ascii="Times New Roman" w:cs="Times New Roman" w:eastAsia="Times New Roman" w:hAnsi="Times New Roman"/>
                  <w:sz w:val="18"/>
                  <w:szCs w:val="18"/>
                  <w:color w:val="000000"/>
                </w:rPr>
                <w:t>*</w:t>
              </w:r>
            </w:hyperlink>
          </w:p>
        </w:tc>
        <w:tc>
          <w:tcPr>
            <w:tcW w:w="220" w:type="dxa"/>
            <w:vAlign w:val="bottom"/>
            <w:tcBorders>
              <w:top w:val="single" w:sz="8" w:color="0000FF"/>
            </w:tcBorders>
          </w:tcPr>
          <w:p>
            <w:pPr>
              <w:spacing w:after="0"/>
              <w:rPr>
                <w:sz w:val="17"/>
                <w:szCs w:val="17"/>
                <w:color w:val="auto"/>
              </w:rPr>
            </w:pPr>
          </w:p>
        </w:tc>
        <w:tc>
          <w:tcPr>
            <w:tcW w:w="238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10.22</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Performance Stock Unit Agreement under Allegro MicroSystems, Inc. 2020 Omnibus Incentive Compensation Plan</w:t>
              </w:r>
            </w:hyperlink>
          </w:p>
        </w:tc>
      </w:tr>
      <w:tr>
        <w:trPr>
          <w:trHeight w:val="183"/>
        </w:trPr>
        <w:tc>
          <w:tcPr>
            <w:tcW w:w="1440" w:type="dxa"/>
            <w:vAlign w:val="bottom"/>
          </w:tcPr>
          <w:p>
            <w:pPr>
              <w:spacing w:after="0"/>
              <w:rPr>
                <w:sz w:val="15"/>
                <w:szCs w:val="15"/>
                <w:color w:val="auto"/>
              </w:rPr>
            </w:pPr>
          </w:p>
        </w:tc>
        <w:tc>
          <w:tcPr>
            <w:tcW w:w="976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by reference from Exhibit 10.33 to the Company’s Annual Report on Form 10-K filed on May 19, 2021)</w:t>
              </w:r>
            </w:hyperlink>
            <w:r>
              <w:rPr>
                <w:rFonts w:ascii="Times New Roman" w:cs="Times New Roman" w:eastAsia="Times New Roman" w:hAnsi="Times New Roman"/>
                <w:sz w:val="18"/>
                <w:szCs w:val="18"/>
                <w:color w:val="000000"/>
              </w:rPr>
              <w:t>*</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500" w:type="dxa"/>
            <w:vAlign w:val="bottom"/>
            <w:gridSpan w:val="3"/>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10.23</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Allegro MicroSystems, Inc. 2020 Employee Stock Purchase Plan (incorporated by reference from Exhibit 99.5 to the</w:t>
              </w:r>
            </w:hyperlink>
          </w:p>
        </w:tc>
      </w:tr>
      <w:tr>
        <w:trPr>
          <w:trHeight w:val="183"/>
        </w:trPr>
        <w:tc>
          <w:tcPr>
            <w:tcW w:w="1440" w:type="dxa"/>
            <w:vAlign w:val="bottom"/>
          </w:tcPr>
          <w:p>
            <w:pPr>
              <w:spacing w:after="0"/>
              <w:rPr>
                <w:sz w:val="15"/>
                <w:szCs w:val="15"/>
                <w:color w:val="auto"/>
              </w:rPr>
            </w:pPr>
          </w:p>
        </w:tc>
        <w:tc>
          <w:tcPr>
            <w:tcW w:w="982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Company’s Registration Statement on Form S-8 filed on October 30,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10.24</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Severance Agreement, dated as of September 30, 2020, by and between Allegro MicroSystems, LLC, Allegro</w:t>
              </w:r>
            </w:hyperlink>
          </w:p>
        </w:tc>
      </w:tr>
      <w:tr>
        <w:trPr>
          <w:trHeight w:val="183"/>
        </w:trPr>
        <w:tc>
          <w:tcPr>
            <w:tcW w:w="144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MicroSystems, Inc. and Paul V. Walsh, Jr. (incorporated by reference from Exhibit 10.38 to the Company’s Registration Statement on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9940" w:type="dxa"/>
            <w:vAlign w:val="bottom"/>
            <w:gridSpan w:val="18"/>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S-1/A filed on October 13, 2020)</w:t>
              </w:r>
              <w:r>
                <w:rPr>
                  <w:rFonts w:ascii="Times New Roman" w:cs="Times New Roman" w:eastAsia="Times New Roman" w:hAnsi="Times New Roman"/>
                  <w:sz w:val="18"/>
                  <w:szCs w:val="18"/>
                  <w:color w:val="000000"/>
                </w:rPr>
                <w:t>*</w:t>
              </w:r>
            </w:hyperlink>
          </w:p>
        </w:tc>
      </w:tr>
      <w:tr>
        <w:trPr>
          <w:trHeight w:val="20"/>
        </w:trPr>
        <w:tc>
          <w:tcPr>
            <w:tcW w:w="144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10.25</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Amended and Restated Severance Agreement, dated as of September 30, 2020, by and between Allegro MicroSystems, LLC, Allegro</w:t>
              </w:r>
            </w:hyperlink>
          </w:p>
        </w:tc>
      </w:tr>
      <w:tr>
        <w:trPr>
          <w:trHeight w:val="183"/>
        </w:trPr>
        <w:tc>
          <w:tcPr>
            <w:tcW w:w="144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MicroSystems, Inc. and Michael C. Doogue (incorporated by reference from Exhibit 10.39 to the Company’s Registration Statement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9940" w:type="dxa"/>
            <w:vAlign w:val="bottom"/>
            <w:gridSpan w:val="18"/>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on Form S-1/A filed on October 13, 2020)</w:t>
              </w:r>
              <w:r>
                <w:rPr>
                  <w:rFonts w:ascii="Times New Roman" w:cs="Times New Roman" w:eastAsia="Times New Roman" w:hAnsi="Times New Roman"/>
                  <w:sz w:val="18"/>
                  <w:szCs w:val="18"/>
                  <w:color w:val="000000"/>
                </w:rPr>
                <w:t>*</w:t>
              </w:r>
            </w:hyperlink>
          </w:p>
        </w:tc>
      </w:tr>
      <w:tr>
        <w:trPr>
          <w:trHeight w:val="20"/>
        </w:trPr>
        <w:tc>
          <w:tcPr>
            <w:tcW w:w="1440" w:type="dxa"/>
            <w:vAlign w:val="bottom"/>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68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98"/>
              </w:rPr>
              <w:t>10.26</w:t>
            </w:r>
          </w:p>
        </w:tc>
        <w:tc>
          <w:tcPr>
            <w:tcW w:w="9940" w:type="dxa"/>
            <w:vAlign w:val="bottom"/>
            <w:gridSpan w:val="1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Amended and Restated Severance Agreement, dated as of September 30, 2020, by and between Allegro MicroSystems, LLC, Allegro</w:t>
              </w:r>
            </w:hyperlink>
          </w:p>
        </w:tc>
      </w:tr>
      <w:tr>
        <w:trPr>
          <w:trHeight w:val="183"/>
        </w:trPr>
        <w:tc>
          <w:tcPr>
            <w:tcW w:w="144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MicroSystems, Inc. and Max R. Glover (incorporated by reference from Exhibit 10.40 to the Company’s Registration Statement on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bl>
    <w:p>
      <w:pPr>
        <w:spacing w:after="0" w:line="9"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10.28</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10.29</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u w:val="single" w:color="auto"/>
            <w:color w:val="0000FF"/>
          </w:rPr>
          <w:t>Form S-1/A filed on October 13, 2020)</w:t>
        </w:r>
        <w:r>
          <w:rPr>
            <w:rFonts w:ascii="Times New Roman" w:cs="Times New Roman" w:eastAsia="Times New Roman" w:hAnsi="Times New Roman"/>
            <w:sz w:val="18"/>
            <w:szCs w:val="18"/>
            <w:color w:val="000000"/>
          </w:rPr>
          <w:t>*</w:t>
        </w:r>
      </w:hyperlink>
    </w:p>
    <w:p>
      <w:pPr>
        <w:spacing w:after="0" w:line="158" w:lineRule="exact"/>
        <w:rPr>
          <w:sz w:val="20"/>
          <w:szCs w:val="20"/>
          <w:color w:val="auto"/>
        </w:rPr>
      </w:pPr>
    </w:p>
    <w:p>
      <w:pPr>
        <w:spacing w:after="0" w:line="266" w:lineRule="auto"/>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u w:val="single" w:color="auto"/>
            <w:color w:val="0000FF"/>
          </w:rPr>
          <w:t>Offer Letter, dated as of June 21, 2019, by and between Allegro MicroSystems, Inc. and Max R. Glover (incorporated by reference</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from Exhibit 10.41 to the Company’s Registration Statement on Form S-1/A filed on October 13, 2020)</w:t>
        </w:r>
        <w:r>
          <w:rPr>
            <w:rFonts w:ascii="Times New Roman" w:cs="Times New Roman" w:eastAsia="Times New Roman" w:hAnsi="Times New Roman"/>
            <w:sz w:val="18"/>
            <w:szCs w:val="18"/>
            <w:color w:val="000000"/>
          </w:rPr>
          <w:t>*</w:t>
        </w:r>
      </w:hyperlink>
    </w:p>
    <w:p>
      <w:pPr>
        <w:spacing w:after="0" w:line="108" w:lineRule="exact"/>
        <w:rPr>
          <w:sz w:val="20"/>
          <w:szCs w:val="20"/>
          <w:color w:val="auto"/>
        </w:rPr>
      </w:pPr>
    </w:p>
    <w:p>
      <w:pPr>
        <w:ind w:right="680"/>
        <w:spacing w:after="0" w:line="266" w:lineRule="auto"/>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u w:val="single" w:color="auto"/>
            <w:color w:val="0000FF"/>
          </w:rPr>
          <w:t>Offer Letter, dated as of October 15, 2021, by and between Allegro MicroSystems, Inc. and Sharon Briansky (incorporated by</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reference from Exhibit 10.4 to the Company’s Quarterly Report on Form 10-Q filed on February 2, 2022)</w:t>
        </w:r>
        <w:r>
          <w:rPr>
            <w:rFonts w:ascii="Times New Roman" w:cs="Times New Roman" w:eastAsia="Times New Roman" w:hAnsi="Times New Roman"/>
            <w:sz w:val="18"/>
            <w:szCs w:val="18"/>
            <w:color w:val="000000"/>
          </w:rPr>
          <w:t>*</w:t>
        </w:r>
      </w:hyperlink>
    </w:p>
    <w:p>
      <w:pPr>
        <w:spacing w:after="0" w:line="108" w:lineRule="exact"/>
        <w:rPr>
          <w:sz w:val="20"/>
          <w:szCs w:val="20"/>
          <w:color w:val="auto"/>
        </w:rPr>
      </w:pPr>
    </w:p>
    <w:p>
      <w:pPr>
        <w:ind w:right="100"/>
        <w:spacing w:after="0" w:line="266" w:lineRule="auto"/>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u w:val="single" w:color="auto"/>
            <w:color w:val="0000FF"/>
          </w:rPr>
          <w:t>Offer Letter, dated January 6, 2022, by and between Allegro MicroSystems, Inc. and Derek D’Antilio (incorporated by reference from</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Exhibit 10.2 to the Company’s Quarterly Report on Form 10-Q filed on February 2, 2022)</w:t>
        </w:r>
        <w:r>
          <w:rPr>
            <w:rFonts w:ascii="Times New Roman" w:cs="Times New Roman" w:eastAsia="Times New Roman" w:hAnsi="Times New Roman"/>
            <w:sz w:val="18"/>
            <w:szCs w:val="18"/>
            <w:color w:val="000000"/>
          </w:rPr>
          <w:t>*</w:t>
        </w:r>
      </w:hyperlink>
    </w:p>
    <w:p>
      <w:pPr>
        <w:spacing w:after="0" w:line="108" w:lineRule="exact"/>
        <w:rPr>
          <w:sz w:val="20"/>
          <w:szCs w:val="20"/>
          <w:color w:val="auto"/>
        </w:rPr>
      </w:pPr>
    </w:p>
    <w:p>
      <w:pPr>
        <w:ind w:right="220"/>
        <w:spacing w:after="0" w:line="266" w:lineRule="auto"/>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u w:val="single" w:color="auto"/>
            <w:color w:val="0000FF"/>
          </w:rPr>
          <w:t>Severance Agreement, dated as of January 10, 2022, by and between Allegro MicroSystems, Inc. and Derek D’Antilio (incorporated</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by reference from Exhibit 10.3 to the Company’s Quarterly Report on Form 10-Q filed on February 2, 2022)</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ectPr>
          <w:pgSz w:w="11900" w:h="16838" w:orient="portrait"/>
          <w:cols w:equalWidth="0" w:num="2">
            <w:col w:w="720" w:space="720"/>
            <w:col w:w="976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2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Severance Agreement, dated as of dated as of December 6, 2021, by and between Allegro MicroSystems, Inc. and Sharon S. Briansky</w:t>
              </w:r>
            </w:hyperlink>
          </w:p>
        </w:tc>
      </w:tr>
      <w:tr>
        <w:trPr>
          <w:trHeight w:val="183"/>
        </w:trPr>
        <w:tc>
          <w:tcPr>
            <w:tcW w:w="1440" w:type="dxa"/>
            <w:vAlign w:val="bottom"/>
          </w:tcPr>
          <w:p>
            <w:pPr>
              <w:spacing w:after="0"/>
              <w:rPr>
                <w:sz w:val="15"/>
                <w:szCs w:val="15"/>
                <w:color w:val="auto"/>
              </w:rPr>
            </w:pPr>
          </w:p>
        </w:tc>
        <w:tc>
          <w:tcPr>
            <w:tcW w:w="966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from Exhibit 10.5 to the Company’s Quarterly Report on Form 10-Q filed on February 2,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Consulting Agreement, dated as of January 10, 2022, by and between Allegro MicroSystems, Inc. and Paul V. Walsh, Jr. (incorporated</w:t>
              </w:r>
            </w:hyperlink>
          </w:p>
        </w:tc>
      </w:tr>
      <w:tr>
        <w:trPr>
          <w:trHeight w:val="183"/>
        </w:trPr>
        <w:tc>
          <w:tcPr>
            <w:tcW w:w="1440" w:type="dxa"/>
            <w:vAlign w:val="bottom"/>
          </w:tcPr>
          <w:p>
            <w:pPr>
              <w:spacing w:after="0"/>
              <w:rPr>
                <w:sz w:val="15"/>
                <w:szCs w:val="15"/>
                <w:color w:val="auto"/>
              </w:rPr>
            </w:pPr>
          </w:p>
        </w:tc>
        <w:tc>
          <w:tcPr>
            <w:tcW w:w="96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by reference from Exhibit 10.6 to the Company’s Quarterly Report on Form 10-Q filed on February 2, 2022)</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8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Summary of Allegro MicroSystems, Inc. Non-Employee Director Compensation</w:t>
            </w:r>
            <w:r>
              <w:rPr>
                <w:rFonts w:ascii="Times New Roman" w:cs="Times New Roman" w:eastAsia="Times New Roman" w:hAnsi="Times New Roman"/>
                <w:sz w:val="18"/>
                <w:szCs w:val="18"/>
                <w:color w:val="000000"/>
              </w:rPr>
              <w:t>*</w:t>
            </w:r>
          </w:p>
        </w:tc>
        <w:tc>
          <w:tcPr>
            <w:tcW w:w="2140" w:type="dxa"/>
            <w:vAlign w:val="bottom"/>
            <w:gridSpan w:val="17"/>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Employment Agreement, dated May 2, 2022, by and between Allegro MicroSystems, Inc. and Vineet Nargolwala (incorporated by</w:t>
              </w:r>
            </w:hyperlink>
          </w:p>
        </w:tc>
      </w:tr>
      <w:tr>
        <w:trPr>
          <w:trHeight w:val="183"/>
        </w:trPr>
        <w:tc>
          <w:tcPr>
            <w:tcW w:w="1440" w:type="dxa"/>
            <w:vAlign w:val="bottom"/>
          </w:tcPr>
          <w:p>
            <w:pPr>
              <w:spacing w:after="0"/>
              <w:rPr>
                <w:sz w:val="15"/>
                <w:szCs w:val="15"/>
                <w:color w:val="auto"/>
              </w:rPr>
            </w:pPr>
          </w:p>
        </w:tc>
        <w:tc>
          <w:tcPr>
            <w:tcW w:w="974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reference from Exhibit 10.3 to the Company’s Current Report on Form 8-K filed on May 9,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Second Amended and Restated Severance Agreement, dated May 6, 2022, by and between Allegro MicroSystems, Inc. and Ravi Vig</w:t>
              </w:r>
            </w:hyperlink>
          </w:p>
        </w:tc>
      </w:tr>
      <w:tr>
        <w:trPr>
          <w:trHeight w:val="183"/>
        </w:trPr>
        <w:tc>
          <w:tcPr>
            <w:tcW w:w="1440" w:type="dxa"/>
            <w:vAlign w:val="bottom"/>
          </w:tcPr>
          <w:p>
            <w:pPr>
              <w:spacing w:after="0"/>
              <w:rPr>
                <w:sz w:val="15"/>
                <w:szCs w:val="15"/>
                <w:color w:val="auto"/>
              </w:rPr>
            </w:pPr>
          </w:p>
        </w:tc>
        <w:tc>
          <w:tcPr>
            <w:tcW w:w="982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by reference from Exhibit 10.1 to the Company’s Current Report on Form 8-K filed on May 9,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Letter Agreement, dated May 6, 2022, between Allegro MicroSystems, Inc. and Ravi Vig (incorporated by reference from Exhibit 10.2</w:t>
              </w:r>
            </w:hyperlink>
          </w:p>
        </w:tc>
      </w:tr>
      <w:tr>
        <w:trPr>
          <w:trHeight w:val="183"/>
        </w:trPr>
        <w:tc>
          <w:tcPr>
            <w:tcW w:w="1440" w:type="dxa"/>
            <w:vAlign w:val="bottom"/>
          </w:tcPr>
          <w:p>
            <w:pPr>
              <w:spacing w:after="0"/>
              <w:rPr>
                <w:sz w:val="15"/>
                <w:szCs w:val="15"/>
                <w:color w:val="auto"/>
              </w:rPr>
            </w:pPr>
          </w:p>
        </w:tc>
        <w:tc>
          <w:tcPr>
            <w:tcW w:w="992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to the Company’s Current Report on Form 8-K filed on May 9,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Indemnification Agreement between Allegro MicroSystems, Inc. and its directors and officers (incorporated by reference from</w:t>
              </w:r>
            </w:hyperlink>
          </w:p>
        </w:tc>
      </w:tr>
      <w:tr>
        <w:trPr>
          <w:trHeight w:val="183"/>
        </w:trPr>
        <w:tc>
          <w:tcPr>
            <w:tcW w:w="1440" w:type="dxa"/>
            <w:vAlign w:val="bottom"/>
          </w:tcPr>
          <w:p>
            <w:pPr>
              <w:spacing w:after="0"/>
              <w:rPr>
                <w:sz w:val="15"/>
                <w:szCs w:val="15"/>
                <w:color w:val="auto"/>
              </w:rPr>
            </w:pPr>
          </w:p>
        </w:tc>
        <w:tc>
          <w:tcPr>
            <w:tcW w:w="708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Exhibit 10.43 to the Company’s Registration Statement on Form S-1/A filed on October 21, 2020)</w:t>
              </w:r>
            </w:hyperlink>
          </w:p>
        </w:tc>
        <w:tc>
          <w:tcPr>
            <w:tcW w:w="284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Term Loan Credit Agreement, dated as of September 30, 2020, by and between Allegro MicroSystems, Inc., Credit Suisse AG,</w:t>
              </w:r>
            </w:hyperlink>
          </w:p>
        </w:tc>
      </w:tr>
      <w:tr>
        <w:trPr>
          <w:trHeight w:val="183"/>
        </w:trPr>
        <w:tc>
          <w:tcPr>
            <w:tcW w:w="144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Cayman Islands Branch, as administrative agent and collateral agent, and the other agents, arrangers and lenders party thereto</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9960" w:type="dxa"/>
            <w:vAlign w:val="bottom"/>
            <w:gridSpan w:val="28"/>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from Exhibit 10.44 to the Company’s Registration Statement on Form S-1/A filed on October 13, 2020)</w:t>
              </w:r>
            </w:hyperlink>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Term Loan Security Agreement, dated as of September 30, 2020, by and between Allegro MicroSystems, Inc., the other grantors party</w:t>
              </w:r>
            </w:hyperlink>
          </w:p>
        </w:tc>
      </w:tr>
      <w:tr>
        <w:trPr>
          <w:trHeight w:val="183"/>
        </w:trPr>
        <w:tc>
          <w:tcPr>
            <w:tcW w:w="144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thereto from time to time, and Credit Suisse AG, Cayman Islands Branch, as collateral agent (incorporated by reference from Exhibit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65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45</w:t>
              </w:r>
              <w:r>
                <w:rPr>
                  <w:rFonts w:ascii="Times New Roman" w:cs="Times New Roman" w:eastAsia="Times New Roman" w:hAnsi="Times New Roman"/>
                  <w:sz w:val="18"/>
                  <w:szCs w:val="18"/>
                  <w:color w:val="0000FF"/>
                  <w:w w:val="99"/>
                </w:rPr>
                <w:t xml:space="preserve"> to the Company’s Registration Statement on Form S-1/A filed on October 13, 2020)</w:t>
              </w:r>
            </w:hyperlink>
          </w:p>
        </w:tc>
        <w:tc>
          <w:tcPr>
            <w:tcW w:w="3460" w:type="dxa"/>
            <w:vAlign w:val="bottom"/>
            <w:gridSpan w:val="21"/>
          </w:tcPr>
          <w:p>
            <w:pPr>
              <w:spacing w:after="0"/>
              <w:rPr>
                <w:sz w:val="17"/>
                <w:szCs w:val="17"/>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Revolving Facility Credit Agreement, dated as of September 30, 2020, by and between Allegro MicroSystems, Inc., Mizuho Bank,</w:t>
              </w:r>
            </w:hyperlink>
          </w:p>
        </w:tc>
      </w:tr>
      <w:tr>
        <w:trPr>
          <w:trHeight w:val="183"/>
        </w:trPr>
        <w:tc>
          <w:tcPr>
            <w:tcW w:w="144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Ltd., as administrative agent and collateral agent, and the other agents, arrangers and lenders party thereto (incorporated by reference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9960" w:type="dxa"/>
            <w:vAlign w:val="bottom"/>
            <w:gridSpan w:val="28"/>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from Exhibit 10.46 to the Company’s Registration Statement on Form S-1/A filed on October 13, 2020)</w:t>
              </w:r>
            </w:hyperlink>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Revolving Facility Security Agreement, dated as of September 30, 2020, by and between Allegro MicroSystems, Inc., the other</w:t>
              </w:r>
            </w:hyperlink>
          </w:p>
        </w:tc>
      </w:tr>
      <w:tr>
        <w:trPr>
          <w:trHeight w:val="183"/>
        </w:trPr>
        <w:tc>
          <w:tcPr>
            <w:tcW w:w="144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grantors party thereto from time to time, and Mizuho Bank, Ltd., as collateral agent (incorporated by reference from Exhibit 10.47 to</w:t>
              </w:r>
            </w:hyperlink>
          </w:p>
        </w:tc>
        <w:tc>
          <w:tcPr>
            <w:tcW w:w="20" w:type="dxa"/>
            <w:vAlign w:val="bottom"/>
            <w:tcBorders>
              <w:top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9960" w:type="dxa"/>
            <w:vAlign w:val="bottom"/>
            <w:gridSpan w:val="28"/>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the Company’s Registration Statement on Form S-1/A filed on October 13, 2020)</w:t>
              </w:r>
            </w:hyperlink>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960" w:type="dxa"/>
            <w:vAlign w:val="bottom"/>
            <w:gridSpan w:val="2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Loan Agreement, dated as of December 2, 2021, by and between Allegro MicroSystems, Inc. and Polar Semiconductor, LLC</w:t>
              </w:r>
            </w:hyperlink>
          </w:p>
        </w:tc>
      </w:tr>
      <w:tr>
        <w:trPr>
          <w:trHeight w:val="183"/>
        </w:trPr>
        <w:tc>
          <w:tcPr>
            <w:tcW w:w="144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(incorporated by reference from Exhibit 10.1 to the Company’s Quarterly Report on Form 10-Q filed on February 2, 2022)</w:t>
              </w:r>
            </w:hyperlink>
          </w:p>
        </w:tc>
        <w:tc>
          <w:tcPr>
            <w:tcW w:w="1020" w:type="dxa"/>
            <w:vAlign w:val="bottom"/>
            <w:tcBorders>
              <w:top w:val="single" w:sz="8" w:color="0000FF"/>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Allegro MicroSystems, Inc.</w:t>
            </w:r>
          </w:p>
        </w:tc>
        <w:tc>
          <w:tcPr>
            <w:tcW w:w="6840" w:type="dxa"/>
            <w:vAlign w:val="bottom"/>
            <w:gridSpan w:val="25"/>
          </w:tcPr>
          <w:p>
            <w:pPr>
              <w:spacing w:after="0"/>
              <w:rPr>
                <w:sz w:val="24"/>
                <w:szCs w:val="24"/>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Grant Thornton LLP</w:t>
            </w:r>
          </w:p>
        </w:tc>
        <w:tc>
          <w:tcPr>
            <w:tcW w:w="7640" w:type="dxa"/>
            <w:vAlign w:val="bottom"/>
            <w:gridSpan w:val="26"/>
          </w:tcPr>
          <w:p>
            <w:pPr>
              <w:spacing w:after="0"/>
              <w:rPr>
                <w:sz w:val="24"/>
                <w:szCs w:val="24"/>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83"/>
        </w:trPr>
        <w:tc>
          <w:tcPr>
            <w:tcW w:w="144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94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83"/>
        </w:trPr>
        <w:tc>
          <w:tcPr>
            <w:tcW w:w="144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760" w:type="dxa"/>
            <w:vAlign w:val="bottom"/>
            <w:tcBorders>
              <w:top w:val="single" w:sz="8" w:color="0000FF"/>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35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83"/>
        </w:trPr>
        <w:tc>
          <w:tcPr>
            <w:tcW w:w="1440" w:type="dxa"/>
            <w:vAlign w:val="bottom"/>
          </w:tcPr>
          <w:p>
            <w:pPr>
              <w:spacing w:after="0"/>
              <w:rPr>
                <w:sz w:val="15"/>
                <w:szCs w:val="15"/>
                <w:color w:val="auto"/>
              </w:rPr>
            </w:pPr>
          </w:p>
        </w:tc>
        <w:tc>
          <w:tcPr>
            <w:tcW w:w="980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r>
              <w:rPr>
                <w:rFonts w:ascii="Times New Roman" w:cs="Times New Roman" w:eastAsia="Times New Roman" w:hAnsi="Times New Roman"/>
                <w:sz w:val="18"/>
                <w:szCs w:val="18"/>
                <w:color w:val="000000"/>
              </w:rPr>
              <w:t>**</w:t>
            </w:r>
          </w:p>
        </w:tc>
        <w:tc>
          <w:tcPr>
            <w:tcW w:w="160" w:type="dxa"/>
            <w:vAlign w:val="bottom"/>
            <w:gridSpan w:val="8"/>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5" w:right="359" w:bottom="1440" w:gutter="0" w:footer="0" w:header="0"/>
        </w:sectPr>
      </w:pPr>
    </w:p>
    <w:bookmarkStart w:id="81" w:name="page82"/>
    <w:bookmarkEnd w:id="81"/>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83"/>
        </w:trPr>
        <w:tc>
          <w:tcPr>
            <w:tcW w:w="1440" w:type="dxa"/>
            <w:vAlign w:val="bottom"/>
          </w:tcPr>
          <w:p>
            <w:pPr>
              <w:spacing w:after="0"/>
              <w:rPr>
                <w:sz w:val="15"/>
                <w:szCs w:val="15"/>
                <w:color w:val="auto"/>
              </w:rPr>
            </w:pPr>
          </w:p>
        </w:tc>
        <w:tc>
          <w:tcPr>
            <w:tcW w:w="976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5"/>
                <w:szCs w:val="15"/>
                <w:color w:val="auto"/>
              </w:rPr>
            </w:pPr>
          </w:p>
        </w:tc>
      </w:tr>
      <w:tr>
        <w:trPr>
          <w:trHeight w:val="20"/>
        </w:trPr>
        <w:tc>
          <w:tcPr>
            <w:tcW w:w="14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r>
      <w:tr>
        <w:trPr>
          <w:trHeight w:val="36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440" w:type="dxa"/>
            <w:vAlign w:val="bottom"/>
          </w:tcPr>
          <w:p>
            <w:pPr>
              <w:spacing w:after="0"/>
              <w:rPr>
                <w:sz w:val="20"/>
                <w:szCs w:val="20"/>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7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*Indicates management contract or compensatory plan, contract or arrangement.</w:t>
      </w:r>
    </w:p>
    <w:p>
      <w:pPr>
        <w:spacing w:after="0" w:line="55" w:lineRule="exact"/>
        <w:rPr>
          <w:sz w:val="20"/>
          <w:szCs w:val="20"/>
          <w:color w:val="auto"/>
        </w:rPr>
      </w:pPr>
    </w:p>
    <w:p>
      <w:pPr>
        <w:ind w:firstLine="8"/>
        <w:spacing w:after="0" w:line="302" w:lineRule="auto"/>
        <w:tabs>
          <w:tab w:leader="none" w:pos="187"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is not deemed “filed” for purposes of Section 18 of the Exchange Act or otherwise subject to the liability of that section. Such certification is not deemed to be incorporated by reference into any filing under the Securities Act or the Exchange Act except to the extent that the registrant specifically incorporates it by reference.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May 18, 2022.</w:t>
      </w:r>
    </w:p>
    <w:p>
      <w:pPr>
        <w:spacing w:after="0" w:line="19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135" w:lineRule="exact"/>
        <w:rPr>
          <w:sz w:val="20"/>
          <w:szCs w:val="20"/>
          <w:color w:val="auto"/>
        </w:rPr>
      </w:pPr>
    </w:p>
    <w:p>
      <w:pPr>
        <w:ind w:left="4140"/>
        <w:spacing w:after="0"/>
        <w:tabs>
          <w:tab w:leader="none" w:pos="4600" w:val="left"/>
        </w:tabs>
        <w:rPr>
          <w:sz w:val="20"/>
          <w:szCs w:val="20"/>
          <w:color w:val="auto"/>
        </w:rPr>
      </w:pPr>
      <w:r>
        <w:rPr>
          <w:rFonts w:ascii="Times New Roman" w:cs="Times New Roman" w:eastAsia="Times New Roman" w:hAnsi="Times New Roman"/>
          <w:sz w:val="18"/>
          <w:szCs w:val="18"/>
          <w:color w:val="auto"/>
        </w:rPr>
        <w:t>By:</w:t>
        <w:tab/>
        <w:t>/s/ Ravi Vig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4217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Ravi Vig</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171" w:lineRule="exact"/>
        <w:rPr>
          <w:sz w:val="20"/>
          <w:szCs w:val="20"/>
          <w:color w:val="auto"/>
        </w:rPr>
      </w:pPr>
    </w:p>
    <w:p>
      <w:pPr>
        <w:jc w:val="both"/>
        <w:ind w:left="20" w:right="20"/>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the capacities and on the dates indicated. Each person whose signature appears below constitutes and appoints Derek P. D'Antilio and Sharon S. Briansky,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0" w:type="dxa"/>
            <w:vAlign w:val="bottom"/>
          </w:tcPr>
          <w:p>
            <w:pPr>
              <w:spacing w:after="0"/>
              <w:rPr>
                <w:sz w:val="20"/>
                <w:szCs w:val="20"/>
                <w:color w:val="auto"/>
              </w:rPr>
            </w:pPr>
          </w:p>
        </w:tc>
        <w:tc>
          <w:tcPr>
            <w:tcW w:w="49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58"/>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Ravi Vig</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(Principal</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Ravi Vig</w:t>
            </w:r>
          </w:p>
        </w:tc>
        <w:tc>
          <w:tcPr>
            <w:tcW w:w="560" w:type="dxa"/>
            <w:vAlign w:val="bottom"/>
          </w:tcPr>
          <w:p>
            <w:pPr>
              <w:spacing w:after="0"/>
              <w:rPr>
                <w:sz w:val="19"/>
                <w:szCs w:val="19"/>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Derek P. D’Antilio</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Derek P. D’Antilio</w:t>
            </w:r>
          </w:p>
        </w:tc>
        <w:tc>
          <w:tcPr>
            <w:tcW w:w="560" w:type="dxa"/>
            <w:vAlign w:val="bottom"/>
          </w:tcPr>
          <w:p>
            <w:pPr>
              <w:spacing w:after="0"/>
              <w:rPr>
                <w:sz w:val="19"/>
                <w:szCs w:val="19"/>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Yoshihiro (Zen) Suzuki</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Yoshihiro (Zen) Suzuki</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Aldrich</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Aldrich</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Dunn</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Dunn</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Noriharu Fujita</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Noriharu Fujita</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Reza Kazerounian</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Reza Kazerounian</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R. Lury</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R. Lury</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Susan Lynch</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Susan Lynch</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Martin</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Martin</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3"/>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Carl (Chip) Schorr IV</w:t>
            </w:r>
          </w:p>
        </w:tc>
        <w:tc>
          <w:tcPr>
            <w:tcW w:w="560" w:type="dxa"/>
            <w:vAlign w:val="bottom"/>
          </w:tcPr>
          <w:p>
            <w:pPr>
              <w:spacing w:after="0"/>
              <w:rPr>
                <w:sz w:val="24"/>
                <w:szCs w:val="24"/>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18, 2022</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Carl (Chip) Schorr IV</w:t>
            </w:r>
          </w:p>
        </w:tc>
        <w:tc>
          <w:tcPr>
            <w:tcW w:w="5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Number </w:t>
            </w:r>
            <w:r>
              <w:rPr>
                <w:rFonts w:ascii="Times New Roman" w:cs="Times New Roman" w:eastAsia="Times New Roman" w:hAnsi="Times New Roman"/>
                <w:sz w:val="18"/>
                <w:szCs w:val="18"/>
                <w:color w:val="000000"/>
              </w:rPr>
              <w:t>248</w:t>
            </w:r>
            <w:r>
              <w:rPr>
                <w:rFonts w:ascii="Times New Roman" w:cs="Times New Roman" w:eastAsia="Times New Roman" w:hAnsi="Times New Roman"/>
                <w:sz w:val="18"/>
                <w:szCs w:val="18"/>
                <w:u w:val="single" w:color="auto"/>
                <w:color w:val="0000FF"/>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5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820" w:type="dxa"/>
            <w:vAlign w:val="bottom"/>
            <w:tcBorders>
              <w:top w:val="single" w:sz="8" w:color="0000FF"/>
            </w:tcBorders>
            <w:gridSpan w:val="6"/>
          </w:tcPr>
          <w:p>
            <w:pPr>
              <w:spacing w:after="0"/>
              <w:rPr>
                <w:sz w:val="21"/>
                <w:szCs w:val="21"/>
                <w:color w:val="auto"/>
              </w:rPr>
            </w:pPr>
          </w:p>
        </w:tc>
        <w:tc>
          <w:tcPr>
            <w:tcW w:w="26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20" w:type="dxa"/>
            <w:vAlign w:val="bottom"/>
            <w:gridSpan w:val="2"/>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50"/>
        </w:trPr>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50"/>
        </w:trPr>
        <w:tc>
          <w:tcPr>
            <w:tcW w:w="33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380" w:type="dxa"/>
            <w:vAlign w:val="bottom"/>
            <w:tcBorders>
              <w:top w:val="single" w:sz="8" w:color="0000FF"/>
            </w:tcBorders>
          </w:tcPr>
          <w:p>
            <w:pPr>
              <w:spacing w:after="0"/>
              <w:rPr>
                <w:sz w:val="21"/>
                <w:szCs w:val="21"/>
                <w:color w:val="auto"/>
              </w:rPr>
            </w:pPr>
          </w:p>
        </w:tc>
        <w:tc>
          <w:tcPr>
            <w:tcW w:w="4820" w:type="dxa"/>
            <w:vAlign w:val="bottom"/>
            <w:gridSpan w:val="2"/>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680" w:type="dxa"/>
            <w:vAlign w:val="bottom"/>
            <w:gridSpan w:val="5"/>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400" w:type="dxa"/>
            <w:vAlign w:val="bottom"/>
            <w:gridSpan w:val="4"/>
          </w:tcPr>
          <w:p>
            <w:pPr>
              <w:spacing w:after="0"/>
              <w:rPr>
                <w:sz w:val="21"/>
                <w:szCs w:val="21"/>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Allegro MicroSystems,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Allegro MicroSystems, Inc. (a Delaware corporation) and subsidiaries (the “Company”) as of March 25, 2022 and March 26, 2021, the related consolidated statements of operations, comprehensive income, changes of equity, and cash flows for each of the three years in the fiscal period ended March 25, 2022, and the related notes (collectively referred to as the “financial statements”). In our opinion, the financial statements present fairly, in all material respects, the financial position of the Company as of March 25, 2022 and March 26, 2021, and the results of its operations and its cash flows for each of the three years in the fiscal period ended March 25, 2022, in conformity with accounting principles generally accepted in the United States of America.</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March 25,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May 18, 2022 expressed an unqualified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limited price concession provisions provided to distributors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sales recorded during the year include an estimate of the allowance for limited price protection provisions provided to distributors. The Company estimates potential future credits based on historical data from prior sales adjustments. We identified the estimate of the allowance as a critical audit matter.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allowance for the limited price protection provisions provided to distributors is a critical audit matter is the significant judgment by management in estimating the mix of pre-approved price concessions on future claims. Changes in that assumption can have a material effect on the amount of revenue recognized, which in turn led to high degree of auditor judgment, subjectivity and effort in performing procedures and evaluating audit evidence relating to management’s assumption.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allowance included the following, among others:</w:t>
      </w:r>
    </w:p>
    <w:p>
      <w:pPr>
        <w:spacing w:after="0" w:line="63"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design and operating effectiveness of controls relating to establishing the allowance,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process for determining the expected value estimate for the allowance,</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reasonableness of management’s estimate of the mix of approved price concessions on future claims in comparison to historical mix of price concessions through inspection of historical sales and claims data,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spacing w:after="0" w:line="86" w:lineRule="exact"/>
        <w:rPr>
          <w:sz w:val="20"/>
          <w:szCs w:val="20"/>
          <w:color w:val="auto"/>
        </w:rPr>
      </w:pPr>
    </w:p>
    <w:p>
      <w:pPr>
        <w:ind w:left="6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reasonableness of management’s estimated price concessions on future claims from prior periods by comparing to subsequent actual claim activity.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Allegro MicroSystems,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Allegro MicroSystems, Inc. (a Delaware corporation) and subsidiaries (the “Company”) as of March 25,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March 25,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fiscal period ended March 25, 2022, and our report dated May 18, 2022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25, 2022</w:t>
            </w:r>
          </w:p>
        </w:tc>
        <w:tc>
          <w:tcPr>
            <w:tcW w:w="180" w:type="dxa"/>
            <w:vAlign w:val="bottom"/>
          </w:tcPr>
          <w:p>
            <w:pPr>
              <w:spacing w:after="0"/>
              <w:rPr>
                <w:sz w:val="13"/>
                <w:szCs w:val="13"/>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0" w:type="dxa"/>
            <w:vAlign w:val="bottom"/>
          </w:tcPr>
          <w:p>
            <w:pPr>
              <w:spacing w:after="0"/>
              <w:rPr>
                <w:sz w:val="1"/>
                <w:szCs w:val="1"/>
                <w:color w:val="auto"/>
              </w:rPr>
            </w:pPr>
          </w:p>
        </w:tc>
      </w:tr>
      <w:tr>
        <w:trPr>
          <w:trHeight w:val="195"/>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197,214</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175"/>
        </w:trPr>
        <w:tc>
          <w:tcPr>
            <w:tcW w:w="880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provision for expected credit losses of $105 at March 25, 2022 and allowances for</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doubtful accounts $138 at March 26, 2021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0" w:type="dxa"/>
            <w:vAlign w:val="bottom"/>
          </w:tcPr>
          <w:p>
            <w:pPr>
              <w:spacing w:after="0"/>
              <w:rPr>
                <w:sz w:val="1"/>
                <w:szCs w:val="1"/>
                <w:color w:val="auto"/>
              </w:rPr>
            </w:pPr>
          </w:p>
        </w:tc>
      </w:tr>
      <w:tr>
        <w:trPr>
          <w:trHeight w:val="27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and other accounts receivable due from related party</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87,498</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related party note receivable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0" w:type="dxa"/>
            <w:vAlign w:val="bottom"/>
          </w:tcPr>
          <w:p>
            <w:pPr>
              <w:spacing w:after="0"/>
              <w:rPr>
                <w:sz w:val="1"/>
                <w:szCs w:val="1"/>
                <w:color w:val="auto"/>
              </w:rPr>
            </w:pPr>
          </w:p>
        </w:tc>
      </w:tr>
      <w:tr>
        <w:trPr>
          <w:trHeight w:val="223"/>
        </w:trPr>
        <w:tc>
          <w:tcPr>
            <w:tcW w:w="8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511,692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430,564</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192,393</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investment in related party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0" w:type="dxa"/>
            <w:vAlign w:val="bottom"/>
          </w:tcPr>
          <w:p>
            <w:pPr>
              <w:spacing w:after="0"/>
              <w:rPr>
                <w:sz w:val="1"/>
                <w:szCs w:val="1"/>
                <w:color w:val="auto"/>
              </w:rPr>
            </w:pPr>
          </w:p>
        </w:tc>
      </w:tr>
      <w:tr>
        <w:trPr>
          <w:trHeight w:val="229"/>
        </w:trPr>
        <w:tc>
          <w:tcPr>
            <w:tcW w:w="8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0" w:type="dxa"/>
            <w:vAlign w:val="bottom"/>
          </w:tcPr>
          <w:p>
            <w:pPr>
              <w:spacing w:after="0"/>
              <w:rPr>
                <w:sz w:val="1"/>
                <w:szCs w:val="1"/>
                <w:color w:val="auto"/>
              </w:rPr>
            </w:pPr>
          </w:p>
        </w:tc>
      </w:tr>
      <w:tr>
        <w:trPr>
          <w:trHeight w:val="248"/>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747,678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Non-Controlling Interest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78,932</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116,674</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Obligations due under Senior Secured Credit Facilities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160,807</w:t>
            </w:r>
          </w:p>
        </w:tc>
        <w:tc>
          <w:tcPr>
            <w:tcW w:w="0" w:type="dxa"/>
            <w:vAlign w:val="bottom"/>
          </w:tcPr>
          <w:p>
            <w:pPr>
              <w:spacing w:after="0"/>
              <w:rPr>
                <w:sz w:val="1"/>
                <w:szCs w:val="1"/>
                <w:color w:val="auto"/>
              </w:rPr>
            </w:pPr>
          </w:p>
        </w:tc>
      </w:tr>
      <w:tr>
        <w:trPr>
          <w:trHeight w:val="20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80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20,000,000 shares authorized, no shares issued or outstanding at March 25, 2022</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March 26, 2021</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80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1,000,000,000 shares authorized, 190,473,595 shares issued and outstanding at</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25, 2022; 1,000,000,000 shares authorized, 189,588,161 issued and outstanding at March 26, 2021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592,170</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0" w:type="dxa"/>
            <w:vAlign w:val="bottom"/>
          </w:tcPr>
          <w:p>
            <w:pPr>
              <w:spacing w:after="0"/>
              <w:rPr>
                <w:sz w:val="1"/>
                <w:szCs w:val="1"/>
                <w:color w:val="auto"/>
              </w:rPr>
            </w:pPr>
          </w:p>
        </w:tc>
      </w:tr>
      <w:tr>
        <w:trPr>
          <w:trHeight w:val="223"/>
        </w:trPr>
        <w:tc>
          <w:tcPr>
            <w:tcW w:w="8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 attributable to Allegro MicroSystems, Inc.</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585,752</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586,871</w:t>
            </w:r>
          </w:p>
        </w:tc>
        <w:tc>
          <w:tcPr>
            <w:tcW w:w="0" w:type="dxa"/>
            <w:vAlign w:val="bottom"/>
          </w:tcPr>
          <w:p>
            <w:pPr>
              <w:spacing w:after="0"/>
              <w:rPr>
                <w:sz w:val="1"/>
                <w:szCs w:val="1"/>
                <w:color w:val="auto"/>
              </w:rPr>
            </w:pPr>
          </w:p>
        </w:tc>
      </w:tr>
      <w:tr>
        <w:trPr>
          <w:trHeight w:val="248"/>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non-controlling interest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747,678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40" w:type="dxa"/>
            <w:vAlign w:val="bottom"/>
          </w:tcPr>
          <w:p>
            <w:pPr>
              <w:spacing w:after="0"/>
              <w:rPr>
                <w:sz w:val="11"/>
                <w:szCs w:val="11"/>
                <w:color w:val="auto"/>
              </w:rPr>
            </w:pPr>
          </w:p>
        </w:tc>
        <w:tc>
          <w:tcPr>
            <w:tcW w:w="1100" w:type="dxa"/>
            <w:vAlign w:val="bottom"/>
          </w:tcPr>
          <w:p>
            <w:pPr>
              <w:jc w:val="right"/>
              <w:ind w:right="271"/>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5"/>
        </w:trPr>
        <w:tc>
          <w:tcPr>
            <w:tcW w:w="7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465,532</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to related party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184,557</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650,089</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388,813</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261,276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102,052</w:t>
            </w:r>
          </w:p>
        </w:tc>
        <w:tc>
          <w:tcPr>
            <w:tcW w:w="0" w:type="dxa"/>
            <w:vAlign w:val="bottom"/>
          </w:tcPr>
          <w:p>
            <w:pPr>
              <w:spacing w:after="0"/>
              <w:rPr>
                <w:sz w:val="1"/>
                <w:szCs w:val="1"/>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106,396</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208,448</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52,828</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in earnings of equity investment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53,278</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tcPr>
          <w:p>
            <w:pPr>
              <w:ind w:left="6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189,748,427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83,448,055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191,811,205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176,416,645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6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40" w:type="dxa"/>
            <w:vAlign w:val="bottom"/>
          </w:tcPr>
          <w:p>
            <w:pPr>
              <w:spacing w:after="0"/>
              <w:rPr>
                <w:sz w:val="11"/>
                <w:szCs w:val="11"/>
                <w:color w:val="auto"/>
              </w:rPr>
            </w:pPr>
          </w:p>
        </w:tc>
        <w:tc>
          <w:tcPr>
            <w:tcW w:w="112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5"/>
        </w:trPr>
        <w:tc>
          <w:tcPr>
            <w:tcW w:w="69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w:t>
            </w: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176"/>
        </w:trPr>
        <w:tc>
          <w:tcPr>
            <w:tcW w:w="70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actuarial gain (loss) amortization of net transition obligation and prior service costs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70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related to defined benefit plans, net of tax of $(472), $391 and $233 in 2022, 2021 and 2020,</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3"/>
        </w:trPr>
        <w:tc>
          <w:tcPr>
            <w:tcW w:w="7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33,275</w:t>
            </w: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Allegro MicroSystems,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33,273</w:t>
            </w:r>
          </w:p>
        </w:tc>
      </w:tr>
      <w:tr>
        <w:trPr>
          <w:trHeight w:val="20"/>
        </w:trPr>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20" w:type="dxa"/>
            <w:vAlign w:val="bottom"/>
            <w:tcBorders>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340" w:type="dxa"/>
            <w:vAlign w:val="bottom"/>
            <w:gridSpan w:val="5"/>
            <w:vMerge w:val="continue"/>
          </w:tcPr>
          <w:p>
            <w:pPr>
              <w:spacing w:after="0"/>
              <w:rPr>
                <w:sz w:val="2"/>
                <w:szCs w:val="2"/>
                <w:color w:val="auto"/>
              </w:rPr>
            </w:pPr>
          </w:p>
        </w:tc>
        <w:tc>
          <w:tcPr>
            <w:tcW w:w="1220" w:type="dxa"/>
            <w:vAlign w:val="bottom"/>
            <w:tcBorders>
              <w:right w:val="single" w:sz="8" w:color="auto"/>
            </w:tcBorders>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20" w:type="dxa"/>
            <w:vAlign w:val="bottom"/>
          </w:tcPr>
          <w:p>
            <w:pPr>
              <w:spacing w:after="0"/>
              <w:rPr>
                <w:sz w:val="11"/>
                <w:szCs w:val="11"/>
                <w:color w:val="auto"/>
              </w:rPr>
            </w:pPr>
          </w:p>
        </w:tc>
        <w:tc>
          <w:tcPr>
            <w:tcW w:w="900" w:type="dxa"/>
            <w:vAlign w:val="bottom"/>
            <w:gridSpan w:val="3"/>
          </w:tcPr>
          <w:p>
            <w:pPr>
              <w:ind w:left="420"/>
              <w:spacing w:after="0" w:line="135"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360"/>
              <w:spacing w:after="0" w:line="135" w:lineRule="exact"/>
              <w:rPr>
                <w:sz w:val="20"/>
                <w:szCs w:val="20"/>
                <w:color w:val="auto"/>
              </w:rPr>
            </w:pPr>
            <w:r>
              <w:rPr>
                <w:rFonts w:ascii="Times New Roman" w:cs="Times New Roman" w:eastAsia="Times New Roman" w:hAnsi="Times New Roman"/>
                <w:sz w:val="13"/>
                <w:szCs w:val="13"/>
                <w:b w:val="1"/>
                <w:bCs w:val="1"/>
                <w:color w:val="auto"/>
              </w:rPr>
              <w:t>Class L</w:t>
            </w: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44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0" w:type="dxa"/>
            <w:vAlign w:val="bottom"/>
          </w:tcPr>
          <w:p>
            <w:pPr>
              <w:spacing w:after="0"/>
              <w:rPr>
                <w:sz w:val="4"/>
                <w:szCs w:val="4"/>
                <w:color w:val="auto"/>
              </w:rPr>
            </w:pPr>
          </w:p>
        </w:tc>
        <w:tc>
          <w:tcPr>
            <w:tcW w:w="5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4"/>
        </w:trPr>
        <w:tc>
          <w:tcPr>
            <w:tcW w:w="2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29,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607,620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447,762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157,384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589,788</w:t>
            </w:r>
          </w:p>
        </w:tc>
        <w:tc>
          <w:tcPr>
            <w:tcW w:w="0" w:type="dxa"/>
            <w:vAlign w:val="bottom"/>
          </w:tcPr>
          <w:p>
            <w:pPr>
              <w:spacing w:after="0"/>
              <w:rPr>
                <w:sz w:val="1"/>
                <w:szCs w:val="1"/>
                <w:color w:val="auto"/>
              </w:rPr>
            </w:pPr>
          </w:p>
        </w:tc>
      </w:tr>
      <w:tr>
        <w:trPr>
          <w:trHeight w:val="170"/>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37,105</w:t>
            </w:r>
          </w:p>
        </w:tc>
        <w:tc>
          <w:tcPr>
            <w:tcW w:w="0" w:type="dxa"/>
            <w:vAlign w:val="bottom"/>
          </w:tcPr>
          <w:p>
            <w:pPr>
              <w:spacing w:after="0"/>
              <w:rPr>
                <w:sz w:val="1"/>
                <w:szCs w:val="1"/>
                <w:color w:val="auto"/>
              </w:rPr>
            </w:pPr>
          </w:p>
        </w:tc>
      </w:tr>
      <w:tr>
        <w:trPr>
          <w:trHeight w:val="127"/>
        </w:trPr>
        <w:tc>
          <w:tcPr>
            <w:tcW w:w="21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Issuance of Class L shares, net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forfeitures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contribution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Net actuarial loss and amortization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net transition obligation and prior</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w w:val="98"/>
              </w:rPr>
              <w:t>service costs related to defined benefit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3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plans, net of tax</w:t>
            </w: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27, 2020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622,470</w:t>
            </w:r>
          </w:p>
        </w:tc>
        <w:tc>
          <w:tcPr>
            <w:tcW w:w="80" w:type="dxa"/>
            <w:vAlign w:val="bottom"/>
          </w:tcPr>
          <w:p>
            <w:pPr>
              <w:spacing w:after="0"/>
              <w:rPr>
                <w:sz w:val="14"/>
                <w:szCs w:val="14"/>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458,697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194,355</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(19,976)</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634,132</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18,101</w:t>
            </w: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Issuance of Class L shares, net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forfeitures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Capitalization changes related to</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organizational structure of affiliates</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and direct and indirect interests in</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3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(19,165)</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subsidiaries</w:t>
            </w: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49,872</w:t>
            </w:r>
          </w:p>
        </w:tc>
        <w:tc>
          <w:tcPr>
            <w:tcW w:w="0" w:type="dxa"/>
            <w:vAlign w:val="bottom"/>
          </w:tcPr>
          <w:p>
            <w:pPr>
              <w:spacing w:after="0"/>
              <w:rPr>
                <w:sz w:val="1"/>
                <w:szCs w:val="1"/>
                <w:color w:val="auto"/>
              </w:rPr>
            </w:pPr>
          </w:p>
        </w:tc>
      </w:tr>
      <w:tr>
        <w:trPr>
          <w:trHeight w:val="127"/>
        </w:trPr>
        <w:tc>
          <w:tcPr>
            <w:tcW w:w="212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IPO, net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underwriting discounts and other</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3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321,175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321,425</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costs</w:t>
            </w: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Conversion of Class A and Class L</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 into common stock in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connection with the IPO</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(10,000,000)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(636,301)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166,500,000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Repurchase of Class A and Class L</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to cover related taxes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(2,068,274)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(27,707)</w:t>
            </w: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Conversion of LTCIP/TRIP awards</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into restricted stock units in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connection with the IPO</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7"/>
              </w:rPr>
              <w:t>Cash dividend paid to holders of Class</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 common stock</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(191,243)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(208,757)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(400,000)</w:t>
            </w: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9,304</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Net actuarial loss and amortization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net transition obligation and prior</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w w:val="98"/>
              </w:rPr>
              <w:t>service costs related to defined benefit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3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plans, net of tax</w:t>
            </w: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26, 2021</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189,588,161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592,170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(11,865)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586,871</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119,555</w:t>
            </w: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Employee stock purchase plan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2,832</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Stock-based compensation, net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forfeitures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759,667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33,437</w:t>
            </w: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Payments of taxes withheld on net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 of equity awards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3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3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(8,110)</w:t>
            </w: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9"/>
              </w:rPr>
              <w:t>Net actuarial gain and amortization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2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net transition obligation and prior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12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w w:val="98"/>
              </w:rPr>
              <w:t>service costs related to defined benefit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3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0" w:type="dxa"/>
            <w:vAlign w:val="bottom"/>
          </w:tcPr>
          <w:p>
            <w:pPr>
              <w:spacing w:after="0"/>
              <w:rPr>
                <w:sz w:val="1"/>
                <w:szCs w:val="1"/>
                <w:color w:val="auto"/>
              </w:rPr>
            </w:pPr>
          </w:p>
        </w:tc>
      </w:tr>
      <w:tr>
        <w:trPr>
          <w:trHeight w:val="170"/>
        </w:trPr>
        <w:tc>
          <w:tcPr>
            <w:tcW w:w="2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plans, net of tax</w:t>
            </w: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Balance at Balance at March 25,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190,473,595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627,792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735,363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80" w:type="dxa"/>
            <w:vAlign w:val="bottom"/>
          </w:tcPr>
          <w:p>
            <w:pPr>
              <w:spacing w:after="0"/>
              <w:rPr>
                <w:sz w:val="11"/>
                <w:szCs w:val="11"/>
                <w:color w:val="auto"/>
              </w:rPr>
            </w:pPr>
          </w:p>
        </w:tc>
        <w:tc>
          <w:tcPr>
            <w:tcW w:w="10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80" w:type="dxa"/>
            <w:vAlign w:val="bottom"/>
          </w:tcPr>
          <w:p>
            <w:pPr>
              <w:spacing w:after="0"/>
              <w:rPr>
                <w:sz w:val="11"/>
                <w:szCs w:val="11"/>
                <w:color w:val="auto"/>
              </w:rPr>
            </w:pPr>
          </w:p>
        </w:tc>
        <w:tc>
          <w:tcPr>
            <w:tcW w:w="94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5"/>
        </w:trPr>
        <w:tc>
          <w:tcPr>
            <w:tcW w:w="77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119,555</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13"/>
        </w:trPr>
        <w:tc>
          <w:tcPr>
            <w:tcW w:w="7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(Gain) loss on disposal of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Provisions for inventory and credit losses/bad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Unrealized gains on marketable securities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w:t>
            </w:r>
          </w:p>
        </w:tc>
        <w:tc>
          <w:tcPr>
            <w:tcW w:w="0" w:type="dxa"/>
            <w:vAlign w:val="bottom"/>
          </w:tcPr>
          <w:p>
            <w:pPr>
              <w:spacing w:after="0"/>
              <w:rPr>
                <w:sz w:val="1"/>
                <w:szCs w:val="1"/>
                <w:color w:val="auto"/>
              </w:rPr>
            </w:pPr>
          </w:p>
        </w:tc>
      </w:tr>
      <w:tr>
        <w:trPr>
          <w:trHeight w:val="213"/>
        </w:trPr>
        <w:tc>
          <w:tcPr>
            <w:tcW w:w="77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receivable - 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77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Trade accounts payable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13"/>
        </w:trPr>
        <w:tc>
          <w:tcPr>
            <w:tcW w:w="77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Due to/from related parties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expenses and other current and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156,129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81,419</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property, plant and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of cash balances due to divestiture of subsidiary</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(41,679)</w:t>
            </w: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note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discounts and other offering costs</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Proceeds from issuance of common stock under equity award and purchase plans less payments for taxes related to</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share settlement of equity awards</w:t>
            </w: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of senior secured debt, net of deferred financing costs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senior secured debt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contribution</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0" w:type="dxa"/>
            <w:vAlign w:val="bottom"/>
          </w:tcPr>
          <w:p>
            <w:pPr>
              <w:spacing w:after="0"/>
              <w:rPr>
                <w:sz w:val="1"/>
                <w:szCs w:val="1"/>
                <w:color w:val="auto"/>
              </w:rPr>
            </w:pPr>
          </w:p>
        </w:tc>
      </w:tr>
      <w:tr>
        <w:trPr>
          <w:trHeight w:val="212"/>
        </w:trPr>
        <w:tc>
          <w:tcPr>
            <w:tcW w:w="77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116,619</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219,876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103,257</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289,799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219,876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219,876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103,257</w:t>
            </w:r>
          </w:p>
        </w:tc>
        <w:tc>
          <w:tcPr>
            <w:tcW w:w="0" w:type="dxa"/>
            <w:vAlign w:val="bottom"/>
          </w:tcPr>
          <w:p>
            <w:pPr>
              <w:spacing w:after="0"/>
              <w:rPr>
                <w:sz w:val="1"/>
                <w:szCs w:val="1"/>
                <w:color w:val="auto"/>
              </w:rPr>
            </w:pPr>
          </w:p>
        </w:tc>
      </w:tr>
      <w:tr>
        <w:trPr>
          <w:trHeight w:val="207"/>
        </w:trPr>
        <w:tc>
          <w:tcPr>
            <w:tcW w:w="7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214,491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0" w:type="dxa"/>
            <w:vAlign w:val="bottom"/>
          </w:tcPr>
          <w:p>
            <w:pPr>
              <w:spacing w:after="0"/>
              <w:rPr>
                <w:sz w:val="1"/>
                <w:szCs w:val="1"/>
                <w:color w:val="auto"/>
              </w:rPr>
            </w:pPr>
          </w:p>
        </w:tc>
      </w:t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289,799</w:t>
            </w:r>
          </w:p>
        </w:tc>
        <w:tc>
          <w:tcPr>
            <w:tcW w:w="8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219,876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9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985"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2,746</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22,195</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8,908</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Trade accounts payable related to Property, plant and equipment, net</w:t>
            </w:r>
          </w:p>
        </w:tc>
        <w:tc>
          <w:tcPr>
            <w:tcW w:w="10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r>
      <w:tr>
        <w:trPr>
          <w:trHeight w:val="213"/>
        </w:trPr>
        <w:tc>
          <w:tcPr>
            <w:tcW w:w="7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Assets held for sale transferred from property, plant and equipment, net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25,969</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Loans to cover purchase of common stock under employee stock plan</w:t>
            </w:r>
          </w:p>
        </w:tc>
        <w:tc>
          <w:tcPr>
            <w:tcW w:w="10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0"/>
        </w:trPr>
        <w:tc>
          <w:tcPr>
            <w:tcW w:w="7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Recognition of right of use assets and lease liability upon adoption of new accounting standard</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Allegro MicroSystems, Inc., together with its consolidated subsidiaries (“AMI” or the “Company”), is a global leader in designing, developing and manufacturing sensing and power solutions for motion control and energy-efficient systems in automotive and industrial markets. The Company was incorporated under the laws of Delaware on March 30, 2013 under the name of Sanken North America, Inc. (“SKNA”) as a wholly owned subsidiary of Sanken Electric Co., Ltd. (“Sanken”). In October 2017, Sanken sold 28.8% of the common stock of SKNA to One Equity Partners (“OEP”). In April 2018, SKNA filed a certificate of amendment in the state of Delaware to change its name to Allegro MicroSystems, Inc. The Company is headquartered in Manchester, New Hampshire and has a global footprint with 16 locations across four continents.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2, 2020, the Company completed its Initial Public Offering (“IPO”) of 28,750,000 shares of its common stock at an offering price of $14.00 per share, of which 25,000,000 shares were sold by the Company and 3,750,000 shares were sold by selling stockholders, resulting in net proceeds to the Company of approximately $321,425 after deducting $20,125 of underwriting discounts and $8,450 of offering costs. The Company’s common stock is now listed on the Nasdaq Global Select Market under the ticker symbol “ALGM.”</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28, 2020, the Company entered into an agreement to divest a majority of its ownership interest in Polar Semiconductor, Inc. (“PSL”) to Sanken, in order to better align with its fabless, asset-lite scalable manufacturing strategy (the “PSL Divestiture”). In order to affect this in-kind, non-cash transaction, Sanken contributed the forgiveness of the fair value of the entire related party notes payable of $42,700 owed to Sanken and the Company contributed the forgiveness of the fair value of $15,000 out of the $66,377 total debt owed by PSL to the Company, which was previously eliminated in consolidation. The entire net receivable balance of $51,377 plus accrued interest of $762 was repaid on October 14, 2020. Following the divestiture, Sanken held a 70% majority share in PSL with the Company retaining a 30% minority shareholder interest. The investment was recorded for the 30%, totaling $25,250 at the divestiture date. Beginning with reporting periods on and after March 28, 2020, the investment is included on the Company’s balance sheet as an equity investment in a related party, including $1,007 and $1,413 of income earned during the fiscal years ended March 25, 2022 and March 26, 2021.</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difference between the fair value contributed by both parties at the consummation of this transaction and the book value was treated as an adjustment of capitalization changes related to organizational structure of affiliates and direct and indirect interests in subsidiaries within additional paid-in capital of $19,165 at March 26, 2021. This amount includes an estimated tax effect of $1,552 for the fiscal year ended March 26, 2021.</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28, 2020, in connection with the divestiture described above, the Company also formally terminated its distribution agreement with Sanken to distribute Sanken’s products and entered into a transitional services agreement with PSL, which contracted with Sanken as its new channel for fulfillment of Sanken product sales in North America and Europe. Sanken will continue to provide distribution support for the Company’s products in Japan. See Note 21, “Related Party Transactions” for further discussion.</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11, 2020, the COVID-19 outbreak was declared a pandemic by the World Health Organization. The pandemic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the COVID-19 pandemic.</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continues to monitor the rapidly evolving conditions and circumstances as well as guidance from international and domestic authorities, including public health authorities, and the Company may need to take additional actions based on their recommendations. There is considerable uncertainty regarding the impact on the Company’s business stemming from current measures and potential future measures that could restrict access to the Company’s facilities, limit manufacturing and support operations and place restrictions on the Company’s workforce and suppliers. The measures implemented by various authorities related to the COVID-19 pandemic have caused the Company to change its business practices, including those related to where employees work, the distance between employees in the Company’s facilities, limitations on the in-person meetings between employees and with customers, suppliers, service providers, and stakeholders, as well as restrictions on business travel to domestic and international locations or to attend trade shows, investor conferences and other events.</w:t>
      </w:r>
    </w:p>
    <w:p>
      <w:pPr>
        <w:spacing w:after="0" w:line="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full extent to which the ongoing COVID-19 pandemic adversely affects the Company’s financial performance will depend on future developments, many of which are outside of the Company’s control, are highly uncertain and cannot be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predicted, including, but not limited to, the duration and spread of the pandemic, its severity, the effectiveness of actions to contain the virus or treat its impact and how quickly and to what extent normal economic and operating conditions can resume. The COVID-19 pandemic could also result in additional governmental restrictions and regulations, which could adversely affect the Company’s business and financial results. In addition, a recession, depression or other sustained adverse market impact resulting from COVID-19 could materially and adversely affect the Company’s business and its access to needed capital and liquidity. Even after the COVID-19 pandemic has lessened or subsided, the Company may continue to experience adverse impacts on its business and financial performance as a result of its global economic impact.</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COVID-19 pandemic may also heighten other risks. For example, if the business impacts of COVID-19 are prolonged, this could cause the Company to recognize impairments for goodwill and certain long-lived assets including amortizable intangible assets.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taken actions to mitigate its financial risk given the uncertainty in global markets caused by the COVID-19 pandemic. During the fourth quarter of fiscal year 2020, the Company borrowed $43,000 under its revolving credit facilities. The borrowing was made as part of the Company’s ongoing efforts to preserve financial flexibility in light of the current uncertainty in the global markets and related effects on the Company’s business resulting from the COVID-19 pandemic. In connection with entering into a new revolving credit facility on September 30, 2020, the Company used cash on hand to repay all amounts outstanding under the line of credit and terminated all commitments thereunder.</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contains numerous tax provisions including a correction to the applicable depreciation rates available in the original Tax Cuts and Jobs Act of 2017 (“TCJA”) for Qualified Improvement Property (“QIP”), temporarily establishes a five-year carryback period for current net operating losses (“NOL”), and contains a provision for deferred payment of 2020 employer payroll taxes. The Company currently estimates cash tax benefits of the QIP adjustment and NOL carryback period to be $12.8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Periods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fiscal year is the 52-week or 53-week period ending on the Friday closest to the last day in March. The Company’s 2022 fiscal year ended March 25, 2022 (“fiscal year 2022”), 2021 fiscal year ended March 26, 2021 (“fiscal year 2021”) and 2020 fiscal year ended March 27, 2020 (“fiscal year 2020”) were 52-week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disclosures of contingencies at the date of the consolidated financial statements and the reported amounts of net sales and expenses during the reporting period. Such estimates relate to useful lives of fixed and intangible assets, allowances for doubtful accounts and customer returns and sales allowances. Such estimates could also relate to the net realizable value of inventory, accrued liabilities, the valuation of stock-based awards, deferred tax valuation allowances, and other reserves. On an ongoing basis, management evaluates its estimates. Actual results could differ from those estimates, and such differences may be material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reclassifications have been made to prior-period amounts to conform to current-period reporting classifications.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 Information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operates in one segment which involves the design, development, production and distribution of various integrated circuits in various markets worldwide. The Company has a single, company-wide management team that administers all properties as a whole rather than as discrete operating segments. The chief operating decision maker, who is the Company’s chief executive officer, measures financial performance as a single enterprise and not on legal entity or end market basis. Throughout the year, the chief operating decision maker allocates capital resources on a project-by-project basis across the Company’s entire asset base to maximize profitability without regard to legal entity or end market basis. The Company operates in a number of countries throughout the world in a variety of product lines through its business unit structure.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 The financial statements of the Company’s foreign subsidiaries are translated from local currency into U.S. dollars using the current exchange rate at the balance sheet date for assets and liabilities, and the average exchange rate in effect during the period for net sales and expenses. The functional currency for the Company’s international subsidiaries is considered to be the local currency for each entity, and, accordingly, translation adjustments for these entities are included as a component of accumulated other comprehensive loss in the Company’s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one of its wholly owned subsidiaries, established an affiliated entity in Philippines for the primary purpose of purchasing, selling, leasing, developing and otherwise managing real estate acquired by the Company in the Philippines. The Company owns 40% of the equity interest in this entity and the remaining 60% is held in a trust for the benefit of its employee retirement fund. The portion of the results of operations of this entity is shown as net income attributable to the non-controlling interest in the Company’s consolidated statements of operations for fiscal 2022, 2021 and 2020. Additionally, the cumulative portion of the results of operations of this entity along with the interest in the net assets is shown as a component of non-controlling interest in the Company’s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Restricted Cash</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at the time of acquisition to be cash equivalents. At March 25, 2022 and March 26, 2021, the Company maintained investments in an interest-bearing cash account. Because of the investment’s short term to maturity and the investment’s relative price insensitivity to changes in market interest rates, the Company notes that cost approximates fair value for this investment. As a result, there were no realized or unrealized gains or losses for the fiscal years ended March 25, 2022, March 26, 2021 and March 27, 2020. The Company has restricted cash, the use of which is restricted to the benefit of employees through a deferred compensation program.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the exchange price that would be received for an asset or paid to transfer a liability (at exit price) in the principal or most advantageous market for the asset or liability in an orderly transaction between market participants on the measurement date. The Company establishes a fair value hierarchy that requires an entity to maximize the use of observable inputs and minimize the use of unobservable inputs when measuring fair value. The standard describes three levels of inputs that may be used to measure fair value, which are provided below:</w:t>
      </w:r>
    </w:p>
    <w:p>
      <w:pPr>
        <w:spacing w:after="0" w:line="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Quoted prices in active markets for identical assets or liabilities.</w:t>
      </w:r>
    </w:p>
    <w:p>
      <w:pPr>
        <w:spacing w:after="0" w:line="27" w:lineRule="exact"/>
        <w:rPr>
          <w:sz w:val="20"/>
          <w:szCs w:val="20"/>
          <w:color w:val="auto"/>
        </w:rPr>
      </w:pPr>
    </w:p>
    <w:p>
      <w:pPr>
        <w:jc w:val="both"/>
        <w:ind w:left="740" w:hanging="971"/>
        <w:spacing w:after="0" w:line="250" w:lineRule="auto"/>
        <w:tabs>
          <w:tab w:leader="none" w:pos="720" w:val="left"/>
        </w:tabs>
        <w:rPr>
          <w:sz w:val="20"/>
          <w:szCs w:val="20"/>
          <w:color w:val="auto"/>
        </w:rPr>
      </w:pPr>
      <w:r>
        <w:rPr>
          <w:rFonts w:ascii="Times New Roman" w:cs="Times New Roman" w:eastAsia="Times New Roman" w:hAnsi="Times New Roman"/>
          <w:sz w:val="18"/>
          <w:szCs w:val="18"/>
          <w:color w:val="auto"/>
        </w:rPr>
        <w:t>Level 2</w:t>
        <w:tab/>
        <w:t>—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jc w:val="both"/>
        <w:ind w:left="740" w:hanging="971"/>
        <w:spacing w:after="0" w:line="255" w:lineRule="auto"/>
        <w:tabs>
          <w:tab w:leader="none" w:pos="720" w:val="left"/>
        </w:tabs>
        <w:rPr>
          <w:sz w:val="20"/>
          <w:szCs w:val="20"/>
          <w:color w:val="auto"/>
        </w:rPr>
      </w:pPr>
      <w:r>
        <w:rPr>
          <w:rFonts w:ascii="Times New Roman" w:cs="Times New Roman" w:eastAsia="Times New Roman" w:hAnsi="Times New Roman"/>
          <w:sz w:val="18"/>
          <w:szCs w:val="18"/>
          <w:color w:val="auto"/>
        </w:rPr>
        <w:t>Level 3</w:t>
        <w:tab/>
        <w:t>—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examination.</w:t>
      </w:r>
    </w:p>
    <w:p>
      <w:pPr>
        <w:spacing w:after="0" w:line="7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cash equivalents and restricted cash are carried at fair values as determined according to the fair value hierarchy described above (see Note 4, “Fair Value Measurements”). The carrying value of accounts receivable, assets held for sale, notes receivables, accounts payable and accrued expenses approximate their respective fair value due to the short-term nature of these assets and liabilities. The carrying value of outstanding borrowings under the line of credit agreements approximates fair value as it bears interest at a rate approximating a market interest rate.</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Related party note receivable was classified as held-for-investment based on management’s intent and ability to hold the loan for the foreseeable future or to maturity. Loans held-for investment are carried at amortized cost and reduced by a valuation allowance for estimated credit losses, as necessary. The Company recognizes interest income on loans, including the amortization of discounts and premiums, loan fees paid and received, using the interest method. The interest method 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applied on a loan-by-loan basis when collectability of the future payments is reasonably assured. Premiums and discounts are recognized as yield adjustments over the term of the related loans.</w:t>
      </w:r>
    </w:p>
    <w:p>
      <w:pPr>
        <w:spacing w:after="0" w:line="54" w:lineRule="exact"/>
        <w:rPr>
          <w:sz w:val="20"/>
          <w:szCs w:val="20"/>
          <w:color w:val="auto"/>
        </w:rPr>
      </w:pPr>
    </w:p>
    <w:p>
      <w:pPr>
        <w:ind w:right="500" w:firstLine="486"/>
        <w:spacing w:after="0" w:line="375" w:lineRule="auto"/>
        <w:rPr>
          <w:sz w:val="20"/>
          <w:szCs w:val="20"/>
          <w:color w:val="auto"/>
        </w:rPr>
      </w:pPr>
      <w:r>
        <w:rPr>
          <w:rFonts w:ascii="Times New Roman" w:cs="Times New Roman" w:eastAsia="Times New Roman" w:hAnsi="Times New Roman"/>
          <w:sz w:val="18"/>
          <w:szCs w:val="18"/>
          <w:color w:val="auto"/>
        </w:rPr>
        <w:t xml:space="preserve">A detailed description of fair value measurement of the assets of the non-U.S. defined benefit plan is included in Note 16, “Retirement Plans.” </w:t>
      </w:r>
      <w:r>
        <w:rPr>
          <w:rFonts w:ascii="Times New Roman" w:cs="Times New Roman" w:eastAsia="Times New Roman" w:hAnsi="Times New Roman"/>
          <w:sz w:val="18"/>
          <w:szCs w:val="18"/>
          <w:b w:val="1"/>
          <w:bCs w:val="1"/>
          <w:i w:val="1"/>
          <w:iCs w:val="1"/>
          <w:color w:val="auto"/>
        </w:rPr>
        <w:t>Trade accounts receivable, net</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receivable is a right to consideration that is unconditional (i.e., only the passage of time is required before payment is due). Accounts receivables are presented net of an allowance for doubtful accounts, which is an estimate of amounts that may not be collectible.</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is our estimate of current expected credit losses (“CECL”) based on historical loss experience. The Company periodically performs detailed reviews to assess the adequacy of the allowance. The Company exercises judgment in estimating the timing, frequency and severity of losses. The Company uses an aging schedule method to estimate current expected credit losses based on days of delinquency, including information about past events and current economic conditions, as well as future forecasts of economic conditions. The Company’s accounts receivable is separated into two categories using a portfolio methodology to evaluate the allowance under the CECL impairment model based on sales categorization and similar credit quality and worthiness of the customers: original equipment manufacturers (“OEMs”) and distributors. The receivables in each category share similar risk characteristics. The Company increases the allowance for expected credits losses when the Company determines all or a portion of a receivable is uncollectible. The Company recognizes recoveries as a decrease to the allowance for expected credit losses. Adjustments to the allowance for doubtful accounts are recorded as selling, general and administrative expenses in the consolidated statements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on a first-in, first-out basis. The Company records inventory provisions when conditions exist that suggest that inventory may be in excess of anticipated demand, is obsolete based upon expected future demand for products and market conditions, or quality related rejections. These provisions are reported as a reduction to raw materials and supplies, work in process and finished goods. The Company regularly evaluates the ability to realize the value of inventory based on a combination of factors, including historical usage rates, forecasted sales or usage, and product end of life dates. Assumptions used in determining management’s estimates of future product demand may prove to be incorrect, in which case the provision required for excess and obsolete inventory would have to be adjusted in the future. Although the Company performs a detailed review of its forecasts of future product demand, any significant unanticipated changes in demand could have a significant impact on the value of the Company’s inventory and reported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classifies assets as held for sale when all of the following are met: (i) management has committed to a plan to sell the assets; (ii) the assets are available for immediate sale in their present condition; (iii) an active program to locate a buyer has been initiated; (iv) it is probable that a sale will occur within one year; (v) the assets are being actively marketed for sale at a price that is reasonable in relation to their current fair value; and (vi) it is unlikely that significant changes to the plan will be made or that the plan will be withdrawn. If all held for sale criteria are met, the assets are reclassified and presented separately in the consolidated balance sheets as assets held for sale at the lower of the carrying value or the fair value, less cost to sell, and no longer depreciated or amortized.</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2021, the Company entered into an agreement to sell the AMTC Facility in connection with its previously announced back-end facility consolidation plan. The AMTC Facility met the criteria to be classified as held for sale, and the Company was required to record these assets at the lower of carrying value or fair value less any costs to sell based on the agreed-upon sales price. The sale of the AMTC Facility closed in August 2021 upon receipt of the necessary government approvals in Thailand and customary closing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Property, plant and equipment, net, including improvements that significantly add to productive capacity or extend useful life, are stated at historical cost less accumulated depreciation. Depreciation is computed using the straight-line method over the estimated useful lives of the assets. The Company capitalizes interest on certain projects with long-term construction periods. Maintenance and repairs expenditures are charged to expense as incurred. Estimated useful lives of the respective property, plant and equipment assets are as follows: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64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ALLEGRO MICROSYSTEMS, INC.</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4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4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r>
      <w:tr>
        <w:trPr>
          <w:trHeight w:val="891"/>
        </w:trPr>
        <w:tc>
          <w:tcPr>
            <w:tcW w:w="2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7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7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years</w:t>
            </w:r>
          </w:p>
        </w:tc>
      </w:tr>
      <w:tr>
        <w:trPr>
          <w:trHeight w:val="230"/>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7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Economic life of the building improvements</w:t>
            </w:r>
          </w:p>
        </w:tc>
      </w:tr>
      <w:tr>
        <w:trPr>
          <w:trHeight w:val="229"/>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shorter of the remaining term of the lease or estimated useful life</w:t>
            </w:r>
          </w:p>
        </w:tc>
      </w:tr>
      <w:tr>
        <w:trPr>
          <w:trHeight w:val="229"/>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7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 years</w:t>
            </w:r>
          </w:p>
        </w:tc>
      </w:tr>
      <w:tr>
        <w:trPr>
          <w:trHeight w:val="230"/>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Intangible assets, net primarily consist of capitalized costs to acquire and defend patent and trademark related awards. In addition, the Company holds technology, customer relationships, and non-compete agreements. The Company’s intangible assets are amortized using the straight-line method over their estimated useful lives, ranging from three to ten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plant and equipment, finite-lived intangibles, such as patents and customer relationships and indefinite-lived intangible assets such as process technology and trademarks.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finite-lived assets are tested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If such assets are not impaired, but their useful lives have decreased, the remaining net book value is amortized over the revised useful life.</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are reviewed for impairment at least annually or whenever events or changes in circumstances indicate that it is more likely than not that the asset is impaired. The impairment test consists of a qualitative assessment to determine if events or changes in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events occur, a comparison of the fair value of the intangible asset with its carrying value is performed. If the carrying value of the intangible asset exceeds its fair value, an impairment loss is recognized in an amount equal to that excess. The Company has elected the first business day of the fourth quarter of its fiscal year as the annual impairment testing date. The results of the annual impairment test did not indicate any impairments of indefinite-lived intangible assets for fiscal years 2022, 2021 and 2020.</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fourth quarter of fiscal year 2020, the Company initiated a process to conclude its operations at the AMTC facility with the intention of selling the AMTC Facility. On March 3, 2021, the Company entered into a definitive agreement to sell its AMTC facility for approximately $30,000 before fees and expenses. As a result of the execution of the definitive agreement, the Company reclassified the AMTC assets within its “Property, plant and equipment, net” to “Assets held for sale” and incurred an impairment charge to the book value of those assets of $7,119 in its fiscal fourth quarter ended March 26,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as of the acquisition date. The Company tests goodwill for impairment on an annual basis on the first business day of the fourth quarter or more frequently if there are indicators of impairment. Events that could indicate impairment and trigger an interim impairment assessment include, but are not limited to, current economic and market conditions, including a decline in market capitalization, a significant adverse change in legal factors, business climate, operational performance of the business or key personnel, and an adverse action or assessment by a regulator. The Company has determined that there is one reporting unit for purposes of testing goodwill for impairment.</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testing goodwill for impairment, the Company has the option to first consider qualitative factors to determine whether it is more likely than not that the fair value of a reporting unit is less than its carrying value. Such qualitative factors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 industry and market considerations, economic conditions, entity-specific financial performance and other events, such as changes in management, strategy and primary customer base. If based on the Company’s qualitative assessment it is more likely than not that the fair value of the reporting unit is less than its carrying amount, quantitative impairment testing is required. However, if the Company concludes otherwise, quantitative impairment testing is not required. The results of the Company’s qualitative goodwill impairment test performed on the first business day of fourth quarter for fiscal years 2022, 2021 and 2020 did not indicate any impairments.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warranties on its products to its customers, generally for one year from the date of shipment and in limited cases for longer periods. In the event of a failure of a product covered by these warranties, the Company must repair or replace the product or, if those remedies are insufficient, and at the discretion of the Company, provide a refund. In limited cases, the Company warrants its products to include significant liability beyond the cost of repairing or replacing the product or refunding the sales price of the product. The Company periodically assesses the adequacy of the warranty reserve and adjusts the amount as necessary. If there is a material increase in the rate of customer claims, or the Company’s estimates of probable losses relating to specifically identified warranty exposures are inaccurate, the Company may need to record a charge against future cost of goods sold. There were minimal costs accrued in the fiscal years ended March 25, 2022, March 26, 2021 and March 27,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rent expense on a straight-line basis using a constant periodic rate over the term of its lease agreements. The excess of the cumulative rent expense incurred over the cumulative amounts due under the lease agreements is deferred and recognized over the term of the leases. Leasehold improvement reimbursements from landlords are recorded as deferred rent and amortized as reductions to lease expense over the lease term.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recognized on contracts with customers when transfer of control to the customer occurs in exchange for an amount reflecting the consideration that the Company expects to be entitled. In order to achieve this core principle, the Company applies the following five step approach:</w:t>
      </w:r>
    </w:p>
    <w:p>
      <w:pPr>
        <w:spacing w:after="0" w:line="52" w:lineRule="exact"/>
        <w:rPr>
          <w:sz w:val="20"/>
          <w:szCs w:val="20"/>
          <w:color w:val="auto"/>
        </w:rPr>
      </w:pPr>
    </w:p>
    <w:p>
      <w:pPr>
        <w:jc w:val="both"/>
        <w:ind w:firstLine="494"/>
        <w:spacing w:after="0" w:line="258" w:lineRule="auto"/>
        <w:tabs>
          <w:tab w:leader="none" w:pos="7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contract with a customer</w:t>
      </w:r>
      <w:r>
        <w:rPr>
          <w:rFonts w:ascii="Times New Roman" w:cs="Times New Roman" w:eastAsia="Times New Roman" w:hAnsi="Times New Roman"/>
          <w:sz w:val="18"/>
          <w:szCs w:val="18"/>
          <w:color w:val="auto"/>
        </w:rPr>
        <w:t>—The Company considers customer purchase orders, which in some cases are governed by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to be customer contracts. A contract exists when it is approved by both parties, each party’s rights and obligations are identified, payment terms are known, customer has the ability and intent to pay and the contract has commercial substance. The Company uses judgement in determining the customer’s ability and intent to pay, which is based on factors such as the customer’s historical payment experience or, for new customers, credit and financial information pertaining to the customers.</w:t>
      </w:r>
    </w:p>
    <w:p>
      <w:pPr>
        <w:spacing w:after="0" w:line="75" w:lineRule="exact"/>
        <w:rPr>
          <w:rFonts w:ascii="Times New Roman" w:cs="Times New Roman" w:eastAsia="Times New Roman" w:hAnsi="Times New Roman"/>
          <w:sz w:val="18"/>
          <w:szCs w:val="18"/>
          <w:color w:val="auto"/>
        </w:rPr>
      </w:pPr>
    </w:p>
    <w:p>
      <w:pPr>
        <w:jc w:val="both"/>
        <w:ind w:firstLine="494"/>
        <w:spacing w:after="0" w:line="258" w:lineRule="auto"/>
        <w:tabs>
          <w:tab w:leader="none" w:pos="7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Identify the performance obligations in the contract</w:t>
      </w:r>
      <w:r>
        <w:rPr>
          <w:rFonts w:ascii="Times New Roman" w:cs="Times New Roman" w:eastAsia="Times New Roman" w:hAnsi="Times New Roman"/>
          <w:sz w:val="18"/>
          <w:szCs w:val="18"/>
          <w:color w:val="auto"/>
        </w:rPr>
        <w:t>—Performance obligations are identified as products and services that will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Substantially, all of the Company’s contracts with customers contain a single performance obligation, such as the sale of mixed-signal integrated circuit products or the sale of wafer fabricators.</w:t>
      </w:r>
    </w:p>
    <w:p>
      <w:pPr>
        <w:spacing w:after="0" w:line="75" w:lineRule="exact"/>
        <w:rPr>
          <w:rFonts w:ascii="Times New Roman" w:cs="Times New Roman" w:eastAsia="Times New Roman" w:hAnsi="Times New Roman"/>
          <w:sz w:val="18"/>
          <w:szCs w:val="18"/>
          <w:color w:val="auto"/>
        </w:rPr>
      </w:pPr>
    </w:p>
    <w:p>
      <w:pPr>
        <w:jc w:val="both"/>
        <w:ind w:firstLine="494"/>
        <w:spacing w:after="0" w:line="267" w:lineRule="auto"/>
        <w:tabs>
          <w:tab w:leader="none" w:pos="7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Determine the transaction price</w:t>
      </w:r>
      <w:r>
        <w:rPr>
          <w:rFonts w:ascii="Times New Roman" w:cs="Times New Roman" w:eastAsia="Times New Roman" w:hAnsi="Times New Roman"/>
          <w:sz w:val="18"/>
          <w:szCs w:val="18"/>
          <w:color w:val="auto"/>
        </w:rPr>
        <w:t>—The transaction price is determined based on the consideration to which the Company expects to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products to the customer. Variable consideration is included in the transaction price if, in the Company’s judgment, it is probable that no significant future reversal of cumulative revenue under the contract will occur.</w:t>
      </w:r>
    </w:p>
    <w:p>
      <w:pPr>
        <w:spacing w:after="0" w:line="65" w:lineRule="exact"/>
        <w:rPr>
          <w:rFonts w:ascii="Times New Roman" w:cs="Times New Roman" w:eastAsia="Times New Roman" w:hAnsi="Times New Roman"/>
          <w:sz w:val="18"/>
          <w:szCs w:val="18"/>
          <w:color w:val="auto"/>
        </w:rPr>
      </w:pPr>
    </w:p>
    <w:p>
      <w:pPr>
        <w:jc w:val="both"/>
        <w:ind w:firstLine="494"/>
        <w:spacing w:after="0" w:line="267" w:lineRule="auto"/>
        <w:tabs>
          <w:tab w:leader="none" w:pos="7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Allocate the transaction price to the performance obligations in the contract</w:t>
      </w:r>
      <w:r>
        <w:rPr>
          <w:rFonts w:ascii="Times New Roman" w:cs="Times New Roman" w:eastAsia="Times New Roman" w:hAnsi="Times New Roman"/>
          <w:sz w:val="18"/>
          <w:szCs w:val="18"/>
          <w:color w:val="auto"/>
        </w:rPr>
        <w:t>—If the contract contains a single performance obligation,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that performance obligation. Contracts that contain multiple performance obligations require an allocation of the transaction price to each performance obligations based on a relative standalone selling price (“SSP”).</w:t>
      </w:r>
    </w:p>
    <w:p>
      <w:pPr>
        <w:spacing w:after="0" w:line="65" w:lineRule="exact"/>
        <w:rPr>
          <w:rFonts w:ascii="Times New Roman" w:cs="Times New Roman" w:eastAsia="Times New Roman" w:hAnsi="Times New Roman"/>
          <w:sz w:val="18"/>
          <w:szCs w:val="18"/>
          <w:color w:val="auto"/>
        </w:rPr>
      </w:pPr>
    </w:p>
    <w:p>
      <w:pPr>
        <w:ind w:firstLine="494"/>
        <w:spacing w:after="0" w:line="284" w:lineRule="auto"/>
        <w:tabs>
          <w:tab w:leader="none" w:pos="7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Recognize revenue when a performance obligation is satisfied</w:t>
      </w:r>
      <w:r>
        <w:rPr>
          <w:rFonts w:ascii="Times New Roman" w:cs="Times New Roman" w:eastAsia="Times New Roman" w:hAnsi="Times New Roman"/>
          <w:sz w:val="18"/>
          <w:szCs w:val="18"/>
          <w:color w:val="auto"/>
        </w:rPr>
        <w:t>—Revenue is recognized when control of the product is transferred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(i.e., when the Company’s performance obligation is satisfied), which typically occurs point in time at shipment.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channels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sells products globally through its direct sales force, third-party distributors, independent sales representatives and consignment. The Company records revenue based on the amount of any discounted arrangement fee. When the Company transacts with a distributor, its contractual arrangement is with the distributor and not with the end customer. Whether the Company transacts business with and receives the order from a distributor or directly from an end customer, its revenue recognition policy and resulting pattern of revenue recognition for the order are the same.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also uses independent sales representatives to assist in the sales process with certain customers. Sales representatives are not distributors. If a sales representative is engaged in the sales process, the Company receives the order directly from and sells the products directly to the end customer. The Company pays a commission to the sales representative, calculated as a percentage of the related customer payment. Sales representatives commissions are recorded as expenses when incurred and are classified as sales and marketing expenses in the Company’s consolidated statements of operations.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consignment arrangements with distributors, delivery occurs and revenue is recognized when the distributor pulls product from consignment inventory that it is stored at designated distributor locations. Recognition is not contingent upon resale of the products to the distributors’ customers. Until the products are pulled for use or sale by the distributor, the Company retains control over the products’ disposition, including the right to pull back or relocate the products.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Variable consideration includes sales in which the amount of consideration that the Company will receive is unknown as of the end of a reporting period. Such consideration primarily includes limited price protection provisions provided to distributors, sales under agreements that allow rights of return, referred to as stock rotation, provided to distributors, discounts and credits provided to distributors and returns provisions offered to direct customers. The Company estimates potential future returns, credits and sales allowances based on historical data from prior sales returns and credits issued and changes in product sales to customers.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Practical expedients elected</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recognized is adjusted based on allowances, which are prepared on a portfolio basis using a most likely amount methodology. The length of time between revenue recognition and payment is not significant under any of the Company’s payment terms. Moreover, if the period between revenue recognition and when the customer pays is one year or less, the Company elected not to account for the significant financing component.</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Revenue Recognition Policies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the end of fiscal year 2020, the Company acted as a distributor of Sanken products in North America, South America and Europe. The Company evaluated whether it is acting as the principal (i.e., report net sales on a gross basis) or agent (i.e., report net sales on a net basis) in these transactions. In doing so, the Company evaluated whether it controls the good or service before it is transferred to the customer. If the Company controls the good or service before it is transferred to the customer, it is acting as principal in the transaction. Generally, the Company controls the promised products before transferring the products to the customer and acts as the principal to the transaction, therefore the Company recognizes net sales gross.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activities are not considered a contract performance obligation. The Company records shipping and handling costs billed to customers as revenue with offsetting costs recorded as cost of sale.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assets and contract liabilities (deferred revenue) are reported net at the contract level for each reporting period. Contract assets typically result from contracts when revenue recognized exceeds the amount billed to the customer, and right to payment is not just subject to the passage of time. Contract assets are transferred to accounts receivable when the rights become unconditional. The Company had no contract assets as of March 25, 2022 and March 26, 2021.</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Contract Liabilities (Deferred Revenue)—Deferred revenue typically results from billings in excess of revenues recognized and relate to products shipped near the end of the reporting period for which the required revenue recognition criteria were not met. The Company had no significant contract liabilities as of March 25, 2022 and March 26,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costs, such as cost to obtain a contract or cost to fulfill a contract are required to be capitalized. The Company has immaterial contract costs, as such, no amounts were capitalized as of March 25, 2022 and March 26,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costs for all stock-based compensation awards made to employees based upon the awards’ grant-date fair value. The Company estimates the fair value of stock-based compensation awards granted using the grant date fair value of the awards. Stock-based compensation expense is recognized evenly over the vesting period. The Company accounts for forfeitures as they occur. Determining the fair value of the stock-based compensation awards at the grant date requires judgment, including estimating the expected life of the stock awards and the volatility of the underlying market-based and projected future cash flow assumptions. Any changes to those estimates that the Company makes from time to time may have a significant impact on the stock-based compensation expense recorded and could materially impact the Company’s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Obligations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subsidiaries, has various foreign defined benefit plans as well as U.S. defined contribution plans. Accredited independent actuaries calculate related plan assets, liabilities and expenses. The Company is required to make certain assumptions to assign value to the plan assets and liabilities. These assumptions are reviewed annually, based on current plan information and consultations with independent investment advisors and actuaries. The selection of assumptions requires a high degree of judgment and may materially change from period to period. The Company does not offer other defined benefits associated with postretirement benefit plans other than pensions.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the funded status of a benefit plan on its consolidated balance sheets and recognizes gains, losses and prior service cost or credits that arise during the period that are not recognized as components of net periodic benefit cost as a component of other comprehensive income, net of tax. In addition, the Company measures defined benefit plan assets and obligations as of the date of the employer’s fiscal year-end consolidated balance sheets and discloses in the notes to the consolidated financial statements the gains or losses, prior service costs or credits and transition asset or obligation.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 This method also requires the recognition of future tax benefits to the extent that realization of such benefits is more likely than not. Deferred tax expense or benefit is the result of changes in the deferred tax assets and liabilities. The Company assesses the likelihood that its deferred tax assets will be recovered from future taxable income and, to the extent it believes, based upon the weight of available evidence, it is more likely than not that some or all of the deferred tax assets will not be realized, a valuation allowance is established.</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recognizes a liability for potential payments of taxes to various tax authorities related to uncertain tax positions and other tax matters. The recorded liability is based on a determination of whether and how much of a tax benefit taken by the Company in its tax filings or positions is “more likely than not” to be realized. The amount of the benefit that may be recognized in the consolidated financial statements is the largest amount that has a greater than 50% likelihood of being realized upon ultimate settlement. To the extent that the assessment of such tax positions changes, the change in estimate is recorded in the period in which the determination is made. The Company establishes a liability, which is included in other long-term liabilities in the consolidated balance sheets, for tax-related uncertainties based on estimates of whether, and the extent to which, additional taxes will be due. These liabilities are established when the Company believes that certain positions might be challenged despite the Company’s belief that the tax return positions are fully supportable. The recorded liability is adjusted considering changes in the facts and circumstances. The provision for income taxes includes the impact of the recorded liability and changes thereto.</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provision in the consolidated statements of operations. Accrued interest and penalties are included in accrued income taxes in the consolidated balance sheets.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Except for our AMTC Facility prior to its sale, all undistributed earnings of our foreign subsidiaries are permanently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Accordingly, the Company does not provide for U.S. income taxes on such undistributed earnings.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as a component of sales expense. Advertising expense was $452, $331 and $273 in fiscal years 2022, 2021 and 2020,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computes net income per share in accordance with ASC 260, Earnings Per Share (“ASC 260”). Basic net income per share is computed by dividing net income attributable to stockholders of the Company by the weighted-average number of common shares outstanding during the reporting period. Diluted net income per share is computed similarly to basic net income per share, except that it includes the potential dilution that could occur if dilutive securities were exercised. Information about potentially dilutive and antidilutive shares for the reporting period is provided in Note 18, “Net Income per Share.”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the Company maintained two classes of Common stock (Class A and Class L) in fiscal year 2020, earnings per basic and diluted shares were calculated under the two-class method. The two-class method includes an earnings allocation formula that determines earnings per share for each participating security according to dividends declared on undistributed earnings for the period. Earnings per diluted share is computed on the basis of the weighted-average number of common shares outstanding during the period plus the dilutive effect of any potential common shares outstanding during the period using the more dilutive of the two-class method or another dilutive method. For the fiscal year ended March 27, 2020, the Company did not allocate income to the Class L shares in accordance with ASC 260, because such classes of shares would not have shared in the distribution had all of the income for the periods been distributed. Accordingly, earnings per share calculations were provided only for the class A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accounts receivable. The Company maintains its cash and cash equivalents with financial institutions, which management believes to be of a high credit quality. To manage credit risk related to accounts receivables, the Company evaluates its creditworthiness of its customers and maintains allowances, to the extend necessary, for potential credit losses based upon the aging of its accounts receivable balances and known collection issues. The Company has not experienced any significant credit losses to date.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25, 2022 and March 26, 2021, Sanken accounted for 23.8% and 23.2% of the Company’s outstanding trade accounts receivable, net, respectively, including related party trade accounts receivable. No other customers accounted for 10% or more of outstanding trade accounts receivable, net as of such dates.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25, 2022, March 26, 2021 and March 27, 2020, Sanken accounted for 19.4%, 17.7% and 28.4% of total net sales, respectively. No other customers accounted for 10% or more of total net sales for any of these periods.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March 25, 2022, sales from customers located outside of the United States in the aggregate accounted for 85.9% of the Company’s total net sales, with Japan accounting for 19.4%, Greater China accounting for 25.0% and South Korea accounting for 10.5%. No other countries accounted for greater than 10.0% of total net sales for the fiscal year ended March 25, 2022.</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March 26, 2021, sales from customers located outside of the United States in the aggregate accounted for 86.1% of the Company’s total net sales, with Japan accounting for 17.7%, Greater China accounting for 26.6% and South Korea accounting for 10.5%. No other countries accounted for greater than 10.0% of total net sales for the fiscal year ended March 26, 2021.</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March 27, 2020, sales from customers located outside of the United States in the aggregate accounted for 81.7% of the Company’s total net sales, with Japan accounting for 28.4% and Greater China accounting for 18.7%. No other countries accounted for greater than 10.0% of total net sales for the fiscal year ended March 27,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In February 2016, the Financial Accounting Standards Board (“FASB”) issued its new lease accounting guidance in Accounting Standards Update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“Leases (Topic 842)” (“ASU 2016-02”), which is codified as Accounting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Standard Codification (“ASC”) Topic 842 (“ASC 842”) and replaces ASC Topic 840, Leases (“ASC 840”). ASU 2016-02 and all subsequent amendments amend various aspects of existing guidance for leases and require significant additional quantitative and qualitative disclosures about lease arrangements. ASU 2016-02 requires lessees to recognize lease assets representing the right to use an underlying asset and lease liabilities representing the obligation to make lease payments over the lease term, measured on a discounted basis, for substantially all leases. ASU 2016-02 retains a distinction between finance leases and operating leases using classification criteria that are substantially similar to the previous lease guidance. Although the Company has elected to opt-in to the extended transition dates for new or revised accounting standards to align with nonpublic companies, the Company elected to early adopt ASU 2016-02 effective March 27, 2021. The Company used the optional transition method to the modified retrospective approach, which eliminates the requirement to restate the prior period financial statements. Under this transition provision, the Company has applied ASU 2016-02 to reporting periods beginning on March 27, 2021, while prior periods continue to be reported and disclosed in accordance with the legacy guidance under ASC 840.</w:t>
      </w:r>
    </w:p>
    <w:p>
      <w:pPr>
        <w:spacing w:after="0" w:line="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number of practical expedients and policy elections are available under the new guidance to reduce the burden of adoption and ongoing compliance with ASC 842. The Company elected the “package of practical expedients,” which permitted the Company to retain lease classification and initial direct costs for any identified leases that existed prior to adoption of ASC 842. Under this transition guidance, the Company also did not reassess whether any existing contracts at March 27, 2021 are, or contain, leases and carried forward its initial determination under legacy lease guidance. The Company has elected not to adopt the “hindsight” practical expedient and, therefore, will measure the right-of-use (“ROU”) asset and lease liability using the remaining portion of the lease term at adoption on March 27, 2021.</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made an accounting policy election available under the new lease standard to not recognize lease assets and lease liabilities for leases with a term of 12 months or less. For all other leases, the initial measurement of the lease liability is based on the present value of future lease payments over the lease term at the application date or the commencement date of the lease. Lease payments may include fixed rent escalation clauses or payments that depend on an index or a rate (such as the consumer price index) measured using the index or applicable rate at lease commencement. Subsequent changes in the index or rate and any other variable payments, such as market-rate base rent adjustments, are recognized as variable lease expense in the period incurred. Payments for terminating a lease are included in lease payments only when it is probable they will be incurred. To determine the present value of lease payments, the Company uses its incremental borrowing rate, as the leases generally do not have a readily determinable implicit discount rate. The Company applies judgment in assessing factors such as Company-specific credit risk, lease term, nature and quality of the underlying collateral, currency and economic environment in determining the lease-specific incremental borrowing rate. The carrying value of the ROU assets at the application date equals the lease liability adjusted for any initial direct costs incurred and lease payments made at or before the commencement date and for any lease incentives.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leases generally include a non-lease component representing additional services transferred to the Company. The Company has made an accounting policy election to account for lease and non-lease components in its contacts as a single lease component for all asset classes. The non-lease components are usually variable in nature and recorded in variable lease expense in the period incurred.</w:t>
      </w:r>
    </w:p>
    <w:p>
      <w:pPr>
        <w:spacing w:after="0" w:line="5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Adoption of ASC 842 resulted in ROU assets of $18,403 and lease liabilities of $18,759 related to the Company’s operating leases at March 27, 2021. The Company does not have any leases classified as finance leases. The adoption of ASC 842 did not materially impact the Company’s consolidated net income or consolidated cash flows and did not result in a cumulative-effect adjustment to the opening balance of retained earnings.</w:t>
      </w:r>
    </w:p>
    <w:p>
      <w:pPr>
        <w:spacing w:after="0" w:line="8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“Measurement of Credit Losses on Financial Instruments” (“ASU 2016-13”), which adds an impairment model (known as the current expected credit loss (“CECL”) model) that is based on expected losses rather than incurred losses. Under the new guidance, an entity recognizes as an allowance its estimate of expected credit losses, which the FASB believes will result in more timely recognition of such losses. The ASU is also intended to reduce complexity by decreasing the number of credit impairment models that entities use to account for debt instruments. The Company adopted ASU 2016-13 effective March 27, 2021 and concluded that adoption of this standard update did not have a material impact on either the financial position, results of operations, cash flows, or related disclosures. There was no impact on beginning balance retained earnings upon adoption of this ASU.</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losses primarily through trade and other financing receivables arising from revenue transactions. The Company uses an aging schedule method to estimate current expected credit losses based on days of delinquency, including information about past events and current economic conditions. The Company’s accounts receivable is separated into two categories using a portfolio methodology to evaluate the allowance under the CECL impairment model based on sales categorization and similar credit quality and worthiness of the customers: original equipment manufacturers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(“OEMs”) and distributors. The receivables in each category share similar risk characteristics. The change to the CECL impairment model resulted in an immaterial increase in the provision for expected credit losses compared to the allowance for doubtful accounts under the previous incurred loss method.</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increases the allowance for expected credits losses when the Company determines all or a portion of a receivable is uncollectible. The Company recognizes recoveries as a decrease to the allowance for expected credit losses. For the fiscal year ended March 25, 2022, no material changes in the allowance occurred.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2021-08”), which eliminates the diversity in practice and inconsistency related to the accounting for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contracts with customers in a business combination. The amendments in ASU 2021-08 require an acquiring entity to apply ASC Topic 606,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to recognize and measure contract assets and contract liabilities in a business combination as if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were originated by the acquiring entity at the acquisition date. An acquirer may assess how the acquiree applied ASC 606 and generally should recognize and measure the acquired contract assets and contract liabilities consistent with the recognition and measurement in the acquiree’s financial statements as prepared in accordance with U.S. GAAP. If unable to rely on the acquiree’s accounting due to errors, noncompliance with U.S. GAAP, or differences in accounting policies, the acquirer should consider the terms of the acquired contracts, such as timing of payment, identify each performance obligation in the contracts, and allocate the total transaction price to each identified performance obligation on a relative standalone selling price basis as of contract inception (that is, the date the acquiree entered into the contracts) or contract modification to determine what should be recorded at the acquisition date. The guidance is effective prospectively for fiscal years beginning after December 15, 2022, including interim periods within those fiscal years. Early adoption is permitted, including in an interim period as of the beginning of the fiscal year that includes that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is currently in the process of evaluating the impact of this new guidance on the consolidated financial statements and the related disclosures, which will be dependent on the consummation of any future business combination.</w:t>
      </w:r>
    </w:p>
    <w:p>
      <w:pPr>
        <w:spacing w:after="0" w:line="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Compensation—Stock Compensation (Topic 718), and Derivatives and Hedging—Contracts in Entity’s Own Equity (Subtopic 815-40) </w:t>
      </w:r>
      <w:r>
        <w:rPr>
          <w:rFonts w:ascii="Times New Roman" w:cs="Times New Roman" w:eastAsia="Times New Roman" w:hAnsi="Times New Roman"/>
          <w:sz w:val="18"/>
          <w:szCs w:val="18"/>
          <w:color w:val="auto"/>
        </w:rPr>
        <w:t>(“ASU 2021-04”).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2021-04 outlines how an entity should account for modifications made to equity-classified written call options, including stock options and warrants to purchase the entity’s own common stock. The guidance in the ASU requires an entity to treat a modification of an equity-classified written call option that does not cause the option to become liability-classified as an exchange of the original option for a new option. This guidance applies whether the modification is structured as an amendment to the terms and conditions of the equity-classified written call option or as termination of the original option and issuance of a new option. The guidance is effective prospectively for fiscal years beginning after December 15, 2021, including interim periods within those fiscal years. Early adoption is permitted, including in an interim period as of the beginning of the fiscal year that includes that interim period. The Company does not expect this new guidance to have an impact on the consolidated financial statements and the related disclosures at this time. Additionally, if the Company issues stock options under its 2020 Omnibus Incentive Compensation Plan (the “2020 Plan”) and subsequently makes modifications, the Company anticipates no material impact in future periods.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generates revenue from the sale of magnetic sensor integrated circuits (“ICs”), application-specific analog power semiconductors and photonics, for the year ended March 27, 2020, also from wafer foundry products and from the sale of Sanken related products. The following tables summarize net sales disaggregated by core end market and application, by product and by geography for the fiscal years ended March 25, 2022, March 26, 2021 and March 27, 2020. The categorization of net sales by core end market and application is determined using various characteristics of the product and the application into which the Company’s product will be incorporated. The categorization of net sales by geography is determined based on the location the products are being shipped 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by core end market and application: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60" w:type="dxa"/>
            <w:vAlign w:val="bottom"/>
          </w:tcPr>
          <w:p>
            <w:pPr>
              <w:spacing w:after="0"/>
              <w:rPr>
                <w:sz w:val="11"/>
                <w:szCs w:val="11"/>
                <w:color w:val="auto"/>
              </w:rPr>
            </w:pPr>
          </w:p>
        </w:tc>
        <w:tc>
          <w:tcPr>
            <w:tcW w:w="1200" w:type="dxa"/>
            <w:vAlign w:val="bottom"/>
          </w:tcPr>
          <w:p>
            <w:pPr>
              <w:jc w:val="center"/>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5"/>
        </w:trPr>
        <w:tc>
          <w:tcPr>
            <w:tcW w:w="6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end market: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531,564</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398,298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395,277</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78,399</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applications: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Wafer foundry products</w:t>
            </w:r>
          </w:p>
        </w:tc>
        <w:tc>
          <w:tcPr>
            <w:tcW w:w="2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72,370</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of Sanken products</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35,421</w:t>
            </w:r>
          </w:p>
        </w:tc>
        <w:tc>
          <w:tcPr>
            <w:tcW w:w="0" w:type="dxa"/>
            <w:vAlign w:val="bottom"/>
          </w:tcPr>
          <w:p>
            <w:pPr>
              <w:spacing w:after="0"/>
              <w:rPr>
                <w:sz w:val="1"/>
                <w:szCs w:val="1"/>
                <w:color w:val="auto"/>
              </w:rPr>
            </w:pPr>
          </w:p>
        </w:tc>
      </w:tr>
      <w:tr>
        <w:trPr>
          <w:trHeight w:val="223"/>
        </w:trPr>
        <w:tc>
          <w:tcPr>
            <w:tcW w:w="6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650,089</w:t>
            </w:r>
          </w:p>
        </w:tc>
        <w:tc>
          <w:tcPr>
            <w:tcW w:w="0" w:type="dxa"/>
            <w:vAlign w:val="bottom"/>
          </w:tcPr>
          <w:p>
            <w:pPr>
              <w:spacing w:after="0"/>
              <w:rPr>
                <w:sz w:val="1"/>
                <w:szCs w:val="1"/>
                <w:color w:val="auto"/>
              </w:rPr>
            </w:pPr>
          </w:p>
        </w:tc>
      </w:tr>
      <w:tr>
        <w:trPr>
          <w:trHeight w:val="21"/>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sales by product:</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60" w:type="dxa"/>
            <w:vAlign w:val="bottom"/>
          </w:tcPr>
          <w:p>
            <w:pPr>
              <w:spacing w:after="0"/>
              <w:rPr>
                <w:sz w:val="11"/>
                <w:szCs w:val="11"/>
                <w:color w:val="auto"/>
              </w:rPr>
            </w:pPr>
          </w:p>
        </w:tc>
        <w:tc>
          <w:tcPr>
            <w:tcW w:w="1200" w:type="dxa"/>
            <w:vAlign w:val="bottom"/>
          </w:tcPr>
          <w:p>
            <w:pPr>
              <w:jc w:val="center"/>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5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integrated circuits (“PIC”)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165,911</w:t>
            </w:r>
          </w:p>
        </w:tc>
        <w:tc>
          <w:tcPr>
            <w:tcW w:w="0" w:type="dxa"/>
            <w:vAlign w:val="bottom"/>
          </w:tcPr>
          <w:p>
            <w:pPr>
              <w:spacing w:after="0"/>
              <w:rPr>
                <w:sz w:val="1"/>
                <w:szCs w:val="1"/>
                <w:color w:val="auto"/>
              </w:rPr>
            </w:pPr>
          </w:p>
        </w:tc>
      </w:tr>
      <w:tr>
        <w:trPr>
          <w:trHeight w:val="27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Magnetic sensors (“MS”)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498,561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376,387</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Photonics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Wafer foundry products</w:t>
            </w:r>
          </w:p>
        </w:tc>
        <w:tc>
          <w:tcPr>
            <w:tcW w:w="2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72,370</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of Sanken products</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35,421</w:t>
            </w:r>
          </w:p>
        </w:tc>
        <w:tc>
          <w:tcPr>
            <w:tcW w:w="0" w:type="dxa"/>
            <w:vAlign w:val="bottom"/>
          </w:tcPr>
          <w:p>
            <w:pPr>
              <w:spacing w:after="0"/>
              <w:rPr>
                <w:sz w:val="1"/>
                <w:szCs w:val="1"/>
                <w:color w:val="auto"/>
              </w:rPr>
            </w:pPr>
          </w:p>
        </w:tc>
      </w:tr>
      <w:tr>
        <w:trPr>
          <w:trHeight w:val="22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650,089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sales by geography:</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60" w:type="dxa"/>
            <w:vAlign w:val="bottom"/>
          </w:tcPr>
          <w:p>
            <w:pPr>
              <w:spacing w:after="0"/>
              <w:rPr>
                <w:sz w:val="11"/>
                <w:szCs w:val="11"/>
                <w:color w:val="auto"/>
              </w:rPr>
            </w:pPr>
          </w:p>
        </w:tc>
        <w:tc>
          <w:tcPr>
            <w:tcW w:w="1200" w:type="dxa"/>
            <w:vAlign w:val="bottom"/>
          </w:tcPr>
          <w:p>
            <w:pPr>
              <w:jc w:val="center"/>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5"/>
        </w:trPr>
        <w:tc>
          <w:tcPr>
            <w:tcW w:w="6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119,139</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110,126</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184,557</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Greater China</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121,807</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South Korea</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0" w:type="dxa"/>
            <w:vAlign w:val="bottom"/>
          </w:tcPr>
          <w:p>
            <w:pPr>
              <w:spacing w:after="0"/>
              <w:rPr>
                <w:sz w:val="1"/>
                <w:szCs w:val="1"/>
                <w:color w:val="auto"/>
              </w:rPr>
            </w:pPr>
          </w:p>
        </w:tc>
      </w:tr>
      <w:tr>
        <w:trPr>
          <w:trHeight w:val="27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Asia</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recognizes sales net of returns, credits issued, price protection adjustments and stock rotation rights. As of March 25, 2022 and March 26, 2021, these adjustments were $14,924 and $15,412, respectively, and were netted against trade accounts receivable in the consolidated balance sheets. These amounts represent activity of income of $488, income of $2,061 and charges of $423 for the fiscal years ended March 25, 2022, March 26, 2021 and March 27, 2020, respectively.</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Unsatisfied performance obligations primarily represent contracts for products with future delivery dates. The Company elected not to disclose the amount of unsatisfied performance obligations as these contracts have original expected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as of March 25, 2022 and March 26, 2021 measured at fair value on a recurring basis and indicate the level of the fair value hierarchy utilized to determine such fair values:</w:t>
      </w: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at March 25, 2022 Using: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net (long-term):</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r>
      <w:tr>
        <w:trPr>
          <w:trHeight w:val="223"/>
        </w:trPr>
        <w:tc>
          <w:tcPr>
            <w:tcW w:w="51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36,689</w:t>
            </w: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23"/>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0"/>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 at March 26, 2021 Using: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 fund deposits</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r>
      <w:tr>
        <w:trPr>
          <w:trHeight w:val="250"/>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w:t>
            </w:r>
          </w:p>
        </w:tc>
      </w:tr>
      <w:tr>
        <w:trPr>
          <w:trHeight w:val="23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3"/>
        </w:trPr>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unrealized gains and losses on investments in marketable securities held with a readily determinable fair value for the fiscal year ended March 25,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and losses recognized during the period on equity securities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gains and losses recognized during the period on equity securities sold during the period</w:t>
            </w: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and losses recognized during the reporting period on equity securities still held at the reporting date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to the unrealized gains in the table above, the change in fair value of the equity securities was impacted by unrealized foreign currency exchange losses of $565 for the fiscal year ended March 25, 2022.</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fiscal year 2021 purchase of Voxtel, Inc. (“Voxtel”), a privately held technology company located in Beaverton, Oregon, that develops, manufactures and supplies photonic and advanced 3D imaging technologies (the “Voxtel Acquisition”), the Company is required to make contingent payments, subject to the entity achieving certain sales and revenue thresholds. The contingent consideration payments are up to $15,000. The fair value of the liabilities for the contingent payments recognized upon the Voxtel Acquisition as part of the purchase accounting opening balance sheet totaled $7,300 and was estimated by discounting to present value the probability-weighted contingent payments expected to be made. Assumptions used in this calculation were units sold, expected revenue, discount rate and various probability factors. The ultimate settlement of contingent consideration could deviate from current estimates based on the actual results</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these financial measures. This liability is considered to be a Level 3 financial liability that is remeasured during each reporting period. The change in fair value of contingent consideration for the Acquisition is included in change in fair value of contingent consideration in the consolidated statements of operations.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change in fair value of Level 3 contingent consideration for the fiscal years ended March 25, 2022 and March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2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46"/>
        </w:trPr>
        <w:tc>
          <w:tcPr>
            <w:tcW w:w="8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tcPr>
          <w:p>
            <w:pPr>
              <w:jc w:val="right"/>
              <w:ind w:right="756"/>
              <w:spacing w:after="0" w:line="146" w:lineRule="exact"/>
              <w:rPr>
                <w:sz w:val="20"/>
                <w:szCs w:val="20"/>
                <w:color w:val="auto"/>
              </w:rPr>
            </w:pPr>
            <w:r>
              <w:rPr>
                <w:rFonts w:ascii="Times New Roman" w:cs="Times New Roman" w:eastAsia="Times New Roman" w:hAnsi="Times New Roman"/>
                <w:sz w:val="14"/>
                <w:szCs w:val="14"/>
                <w:b w:val="1"/>
                <w:bCs w:val="1"/>
                <w:color w:val="auto"/>
              </w:rPr>
              <w:t>Contingent</w:t>
            </w:r>
          </w:p>
        </w:tc>
      </w:tr>
      <w:tr>
        <w:trPr>
          <w:trHeight w:val="196"/>
        </w:trPr>
        <w:tc>
          <w:tcPr>
            <w:tcW w:w="89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27, 2020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4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29"/>
        </w:trPr>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26, 2021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9"/>
        </w:trPr>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25, 2022</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0"/>
        </w:trPr>
        <w:tc>
          <w:tcPr>
            <w:tcW w:w="8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also consist of marketable securities, unit investment trust funds, loans, bonds, stock and other investments, which constitute the Company’s defined benefit plan assets. Fair value information for those assets and liabilities, including their classification in the fair value hierarchy, is included in Note 16, “Retirement Plans.”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fiscal years ended March 25, 2022, March 26, 2021 and March 27, 2020, there were no transfers between Level 1, Level 2 and Level 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Trade Accounts Receivable,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Trade accounts receivable, net (including related party trade accounts receivable)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32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6"/>
        </w:trPr>
        <w:tc>
          <w:tcPr>
            <w:tcW w:w="7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108,546</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expected credit losses and allowance for doubtful accounts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Returns and sales allowances</w:t>
            </w:r>
          </w:p>
        </w:tc>
        <w:tc>
          <w:tcPr>
            <w:tcW w:w="3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(15,274)</w:t>
            </w:r>
          </w:p>
        </w:tc>
      </w:tr>
      <w:tr>
        <w:trPr>
          <w:trHeight w:val="270"/>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Related party trade accounts receivable</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r>
      <w:tr>
        <w:trPr>
          <w:trHeight w:val="223"/>
        </w:trPr>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69,500</w:t>
            </w: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Company’s provision for expected credit losses/allowance for doubtful accounts and returns and sales allowances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Returns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Doubtful</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Sales</w:t>
            </w:r>
          </w:p>
        </w:tc>
        <w:tc>
          <w:tcPr>
            <w:tcW w:w="34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Charged to costs and expenses or revenue</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118,981</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(119,527)</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27, 2020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Charged to costs and expenses or revenue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146,876</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(148,937)</w:t>
            </w: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26, 2021</w:t>
            </w: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Charged to costs and expenses or revenue</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144,285</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(144,773)</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25,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07" w:name="page108"/>
    <w:bookmarkEnd w:id="107"/>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include material, labor and overhead and consisted of the following:</w:t>
      </w:r>
    </w:p>
    <w:p>
      <w:pPr>
        <w:spacing w:after="0" w:line="57"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March 25,</w:t>
      </w:r>
    </w:p>
    <w:p>
      <w:pPr>
        <w:spacing w:after="0" w:line="1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26,</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11" w:lineRule="exact"/>
        <w:rPr>
          <w:sz w:val="20"/>
          <w:szCs w:val="20"/>
          <w:color w:val="auto"/>
        </w:rPr>
      </w:pPr>
    </w:p>
    <w:p>
      <w:pPr>
        <w:sectPr>
          <w:pgSz w:w="11900" w:h="16838" w:orient="portrait"/>
          <w:cols w:equalWidth="0" w:num="2">
            <w:col w:w="9360" w:space="720"/>
            <w:col w:w="1160"/>
          </w:cols>
          <w:pgMar w:left="320" w:top="104"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50,095</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w:t>
            </w:r>
          </w:p>
        </w:tc>
      </w:tr>
      <w:tr>
        <w:trPr>
          <w:trHeight w:val="223"/>
        </w:trPr>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87,498</w:t>
            </w:r>
          </w:p>
        </w:tc>
      </w:tr>
      <w:tr>
        <w:trPr>
          <w:trHeight w:val="21"/>
        </w:trPr>
        <w:tc>
          <w:tcPr>
            <w:tcW w:w="7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inventory provisions totaling $5,809, $4,464 and $3,345 for the fiscal years ended March 25, 2022, March 26, 2021 and March 27, 2020, respectively.</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discontinued a product line manufactured by Voxtel and subsequently recognized impairment charges, which represented much of the increase in inventory provisions, for the related inventory of $3,106 for the fiscal year ended March 25,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Assets Held for Sale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26, 2021, the Company had entered into a definitive agreement to sell its Thailand-based facility (the “AMTC Facility”) as it had already transferred production to the Manila, Philippines facility, which was reclassified from Property, plant and equipment, net to Assets held for sale in fiscal year 2021. The AMTC Facility met the criteria to be classified as held for sale, and the Company was required to record these assets at the lower of carrying value or fair value less any costs to sell based on the agreed-upon sales price. The total amount of Assets held for sale was related to the AMTC Facility. The sale of the AMTC Facility was completed on August 3, 2021 following receipt of government approvals in Thailand and the fulfillment of customary closing conditions. The Company received cash of $27,405, which with related selling costs, resulted in a gain on the final disposition of $370 during the fiscal year ended March 25,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plant and equipment, net is stated at cost, and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320" w:type="dxa"/>
            <w:vAlign w:val="bottom"/>
          </w:tcPr>
          <w:p>
            <w:pPr>
              <w:spacing w:after="0"/>
              <w:rPr>
                <w:sz w:val="16"/>
                <w:szCs w:val="16"/>
                <w:color w:val="auto"/>
              </w:rPr>
            </w:pP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6"/>
        </w:trPr>
        <w:tc>
          <w:tcPr>
            <w:tcW w:w="7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building improvements and leasehold improvements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w:t>
            </w:r>
          </w:p>
        </w:tc>
      </w:tr>
      <w:tr>
        <w:trPr>
          <w:trHeight w:val="223"/>
        </w:trPr>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600,020</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(436,983)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(407,627)</w:t>
            </w:r>
          </w:p>
        </w:tc>
      </w:tr>
      <w:tr>
        <w:trPr>
          <w:trHeight w:val="223"/>
        </w:trPr>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210,028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192,393</w:t>
            </w:r>
          </w:p>
        </w:tc>
      </w:tr>
      <w:tr>
        <w:trPr>
          <w:trHeight w:val="21"/>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retired $10,976, $63 and $9,418 of fully depreciated assets during the fiscal years ended March 25, 2022, March 26, 2021 and March 27, 2020, respectively. Total depreciation expense amounted to $44,178, $44,845 and $62,118 for the fiscal years ended March 25, 2022, March 26, 2021 and March 27, 2020,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auto"/>
        </w:rPr>
        <w:t>Long-lived assets include property, plant and equipment and related deposits on such assets, and capitalized tooling costs. The geographic locations of the Company's long-lived assets, net, based on physical location of the assets, as of March 25, 2022 and March 26, 2021 are as follows:</w:t>
      </w: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32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8"/>
        </w:trPr>
        <w:tc>
          <w:tcPr>
            <w:tcW w:w="7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148,374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w:t>
            </w:r>
          </w:p>
        </w:tc>
      </w:tr>
      <w:tr>
        <w:trPr>
          <w:trHeight w:val="248"/>
        </w:trPr>
        <w:tc>
          <w:tcPr>
            <w:tcW w:w="7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Amortization of prepaid tooling costs amounted to $130, $130 and $125 for the fiscal years ended March 25, 2022, March 26, 2021 and March 27,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27, 2020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70"/>
        </w:trPr>
        <w:tc>
          <w:tcPr>
            <w:tcW w:w="4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Goodwill arising from acquisition</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Currency translation</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26, 2021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Currency translation</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25, 2022</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Intangible assets, net is as follows:</w:t>
            </w: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w w:val="98"/>
              </w:rPr>
              <w:t>March 25, 2022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8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2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Lives</w:t>
            </w:r>
          </w:p>
        </w:tc>
        <w:tc>
          <w:tcPr>
            <w:tcW w:w="0" w:type="dxa"/>
            <w:vAlign w:val="bottom"/>
          </w:tcPr>
          <w:p>
            <w:pPr>
              <w:spacing w:after="0"/>
              <w:rPr>
                <w:sz w:val="1"/>
                <w:szCs w:val="1"/>
                <w:color w:val="auto"/>
              </w:rPr>
            </w:pPr>
          </w:p>
        </w:tc>
      </w:tr>
      <w:tr>
        <w:trPr>
          <w:trHeight w:val="195"/>
        </w:trPr>
        <w:tc>
          <w:tcPr>
            <w:tcW w:w="4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631"/>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technology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631"/>
              <w:spacing w:after="0"/>
              <w:rPr>
                <w:sz w:val="20"/>
                <w:szCs w:val="20"/>
                <w:color w:val="auto"/>
              </w:rPr>
            </w:pPr>
            <w:r>
              <w:rPr>
                <w:rFonts w:ascii="Times New Roman" w:cs="Times New Roman" w:eastAsia="Times New Roman" w:hAnsi="Times New Roman"/>
                <w:sz w:val="18"/>
                <w:szCs w:val="18"/>
                <w:color w:val="auto"/>
                <w:w w:val="99"/>
              </w:rPr>
              <w:t>12 years</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and legacy process technology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631"/>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trademarks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w w:val="98"/>
              </w:rPr>
              <w:t>March 26, 2021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8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2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Lives</w:t>
            </w:r>
          </w:p>
        </w:tc>
        <w:tc>
          <w:tcPr>
            <w:tcW w:w="0" w:type="dxa"/>
            <w:vAlign w:val="bottom"/>
          </w:tcPr>
          <w:p>
            <w:pPr>
              <w:spacing w:after="0"/>
              <w:rPr>
                <w:sz w:val="1"/>
                <w:szCs w:val="1"/>
                <w:color w:val="auto"/>
              </w:rPr>
            </w:pPr>
          </w:p>
        </w:tc>
      </w:tr>
      <w:tr>
        <w:trPr>
          <w:trHeight w:val="195"/>
        </w:trPr>
        <w:tc>
          <w:tcPr>
            <w:tcW w:w="4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1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631"/>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technology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631"/>
              <w:spacing w:after="0"/>
              <w:rPr>
                <w:sz w:val="20"/>
                <w:szCs w:val="20"/>
                <w:color w:val="auto"/>
              </w:rPr>
            </w:pPr>
            <w:r>
              <w:rPr>
                <w:rFonts w:ascii="Times New Roman" w:cs="Times New Roman" w:eastAsia="Times New Roman" w:hAnsi="Times New Roman"/>
                <w:sz w:val="18"/>
                <w:szCs w:val="18"/>
                <w:color w:val="auto"/>
                <w:w w:val="99"/>
              </w:rPr>
              <w:t>12 years</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and legacy process technology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631"/>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trademarks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completed the Voxtel Acquisition during the fiscal year ended March 26, 2021. The Company paid an amount of $34,980 to acquire Voxtel, which represents its fair value on that date. Any excess of the Voxtel Acquisition consideration over the fair value of the assets acquired and liabilities assumed was allocated to goodwill, which amounted to $18,702. As a result of the Acquisition, the Company recorded finite-life intangible assets of $13,600. In addition, as a result of the Acquisition, the Company recorded indefinite-life intangible assets of $2,400.</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Intangible assets amortization expense was $4,219, $3,332 and $1,805 for the fiscal years ended March 25, 2022, March 26, 2021 and March 27, 2020, respectively. The majority of the Company’s intangible assets are related to patents as noted above. The Company capitalizes external legal costs incurred in the defense of its patents when it believes that a significant, discernible increase in value will result from the defense and a successful outcome of the legal action is probable. When the Company capitalizes patent defense costs it amortizes these costs over the remaining estimated useful life of the patent, which is generally ten years. There were no significant costs capitalized during either of the fiscal years 2022 or 2021.</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25, 2022, annual amortization expense of intangible assets for the next five fiscal years is expected to be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Assets, net</w:t>
            </w: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composition of other assets, net is as follows: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VAT receivables long-term,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 long-term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marketable securities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contracts long-term</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23"/>
        </w:trPr>
        <w:tc>
          <w:tcPr>
            <w:tcW w:w="7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40" w:hanging="332"/>
        <w:spacing w:after="0" w:line="281" w:lineRule="auto"/>
        <w:tabs>
          <w:tab w:leader="none" w:pos="35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equity investments in an entity whose equity securities have a readily determinable fair value. These strategic investments represent less than a 20% ownership interest in the entity, and the Company does not maintain power over or control of the entity. These investments are measured at fair value with unrealized gains and losses related to changes in the entity’s stock price and the impact of changes in foreign exchange rates each included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composition of accrued expenses and other current liabilities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260" w:type="dxa"/>
            <w:vAlign w:val="bottom"/>
          </w:tcPr>
          <w:p>
            <w:pPr>
              <w:spacing w:after="0"/>
              <w:rPr>
                <w:sz w:val="13"/>
                <w:szCs w:val="13"/>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management incentives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acquisition purchase price due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on AMTC facility</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utilities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68"/>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Management Long-Term Cash Incentive Plan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28, 2015 the Company’s Board of Directors approved a Long-Term Cash Incentive Plan (“LTCIP”) for certain employees. Under the LTCIP, employees receive cash payments upon achievement of certain performance metrics determined based on a three-year rolling performance period. The Company had executed individual agreements with employees to pay certain incentives upon achievement of the plan conditions at the end of each three-year performance period.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its IPO, the Company offered certain employees (excluding its then named executive officers) who were eligible to receive cash bonuses under the Company’s LTCIP and/or Talent Retention Incentive Program (as amended, the “TRIP”) the opportunity to elect to receive restricted stock units (“RSUs”) under its 2020 Omnibus Incentive Compensation Plan in lieu of cash payouts under the LTCIP and/or TRIP, through the LTCIP/TRIP Award RSU Conversion Program (the “RSU Conversion Program”). The expense related to the LTCIP and TRIP awards elected to be exchanged in the RSU Conversion Program amounted to $607 and $421, respectively. The number of RSUs granted to employees that elected to participate in the RSU Conversion Program is determined as a percentage of the employee’s target bonus under the LTCIP or TRIP, and amounted to 602,490 and 348,911 RSUs on behalf of the LTCIP and TRIP conversion, respectively, at 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date fair value of $14.00. If an employee elected not to participate in the RSU Conversion Program, the LTCIP or TRIP award will continue under its existing terms and conditions.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accrual activity, payments, removal due to divestitures and balances related to the LTCIP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5"/>
                <w:szCs w:val="15"/>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190"/>
        </w:trPr>
        <w:tc>
          <w:tcPr>
            <w:tcW w:w="8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37"/>
        </w:trPr>
        <w:tc>
          <w:tcPr>
            <w:tcW w:w="82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2019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Accruals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27, 2020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 conversion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Removal due to divestiture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Accruals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26, 2021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Accruals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6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25, 2022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bl>
    <w:p>
      <w:pPr>
        <w:spacing w:after="0" w:line="18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current and long-term portion of the liabilities associated with the LTCIP is included within accrued expenses and other current liabilities and other long-term liabilities in the Company’s consolidated balance sheets,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The Company also considers whether its service arrangements include the right to control the use of an asset.</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leases real estate, equipment and vehicles under operating lease agreements that have initial terms ranging from one to ten years. The Company does not have any leases classified as finance leases. Some leases include one or more options to exercise renewal terms, generally at the Company’s sole discretion, that can extend the lease term. Certain leases contain rights to terminate whereby those termination options are held by either the Company, the lessor, or both parties. These options to extend or terminate a lease are included in the lease term only when it is reasonably certain that the Company will exercise that option. The Company’s leases generally do not contain any material restrictive covenants.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Information regarding the Company’s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9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9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March 25, 2022</w:t>
            </w:r>
          </w:p>
        </w:tc>
      </w:tr>
      <w:tr>
        <w:trPr>
          <w:trHeight w:val="216"/>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4,648</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5,289</w:t>
            </w:r>
          </w:p>
        </w:tc>
      </w:tr>
      <w:tr>
        <w:trPr>
          <w:trHeight w:val="229"/>
        </w:trPr>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liabilities arising from obtaining right-of-use assets</w:t>
            </w:r>
          </w:p>
        </w:tc>
        <w:tc>
          <w:tcPr>
            <w:tcW w:w="320" w:type="dxa"/>
            <w:vAlign w:val="bottom"/>
          </w:tcPr>
          <w:p>
            <w:pPr>
              <w:spacing w:after="0"/>
              <w:rPr>
                <w:sz w:val="19"/>
                <w:szCs w:val="19"/>
                <w:color w:val="auto"/>
              </w:rPr>
            </w:pPr>
          </w:p>
        </w:tc>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3,159</w:t>
            </w:r>
          </w:p>
        </w:tc>
      </w:tr>
      <w:tr>
        <w:trPr>
          <w:trHeight w:val="230"/>
        </w:trPr>
        <w:tc>
          <w:tcPr>
            <w:tcW w:w="9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years</w:t>
            </w:r>
          </w:p>
        </w:tc>
      </w:tr>
      <w:tr>
        <w:trPr>
          <w:trHeight w:val="234"/>
        </w:trPr>
        <w:tc>
          <w:tcPr>
            <w:tcW w:w="9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Rent expense incurred under operating lease agreements was $5,720, $4,385 and $5,456 for the fiscal years ended March 25, 2022, March 26, 2021</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and March 27, 2020, respectively.</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March 25, 2022, expirations of lease obligations by fiscal year are expected as follows:</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1"/>
        </w:trPr>
        <w:tc>
          <w:tcPr>
            <w:tcW w:w="9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3"/>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48"/>
        </w:trPr>
        <w:tc>
          <w:tcPr>
            <w:tcW w:w="9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as Lessee under ASC 840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Future minimum lease payments by fiscal year for noncancellable operating leases as reported under the previous lease guidance as of March 26,</w:t>
            </w: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2021 were as follows:</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35"/>
        </w:trPr>
        <w:tc>
          <w:tcPr>
            <w:tcW w:w="9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48"/>
        </w:trPr>
        <w:tc>
          <w:tcPr>
            <w:tcW w:w="9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8820" w:firstLine="8"/>
        <w:spacing w:after="0" w:line="400" w:lineRule="auto"/>
        <w:tabs>
          <w:tab w:leader="none" w:pos="27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and Other Borrowings Components of Debt</w:t>
      </w: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obligations under the Company’s Senior Secured Credit Facilities and other borrowings as of March 25,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260" w:type="dxa"/>
            <w:vAlign w:val="bottom"/>
          </w:tcPr>
          <w:p>
            <w:pPr>
              <w:spacing w:after="0"/>
              <w:rPr>
                <w:sz w:val="13"/>
                <w:szCs w:val="1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Revolving Credit Facilities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payable within one year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Debt payable after one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40" w:firstLine="486"/>
        <w:spacing w:after="0" w:line="375" w:lineRule="auto"/>
        <w:rPr>
          <w:sz w:val="20"/>
          <w:szCs w:val="20"/>
          <w:color w:val="auto"/>
        </w:rPr>
      </w:pPr>
      <w:r>
        <w:rPr>
          <w:rFonts w:ascii="Times New Roman" w:cs="Times New Roman" w:eastAsia="Times New Roman" w:hAnsi="Times New Roman"/>
          <w:sz w:val="18"/>
          <w:szCs w:val="18"/>
          <w:color w:val="auto"/>
        </w:rPr>
        <w:t xml:space="preserve">As of March 25, 2022, the principal maturities of debt obligations outstanding of $25,000 are due for repayment in fiscal year 2028. </w:t>
      </w:r>
      <w:r>
        <w:rPr>
          <w:rFonts w:ascii="Times New Roman" w:cs="Times New Roman" w:eastAsia="Times New Roman" w:hAnsi="Times New Roman"/>
          <w:sz w:val="18"/>
          <w:szCs w:val="18"/>
          <w:b w:val="1"/>
          <w:bCs w:val="1"/>
          <w:i w:val="1"/>
          <w:iCs w:val="1"/>
          <w:color w:val="auto"/>
        </w:rPr>
        <w:t>Senior Secured Credit Facilities</w:t>
      </w:r>
    </w:p>
    <w:p>
      <w:pPr>
        <w:spacing w:after="0" w:line="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September 30, 2020, the Company entered into a term loan credit agreement with Credit Suisse AG, Cayman Islands Branch, as administrative agent and collateral agent, and the other agents, arrangers and lenders party thereto, providing for a $325,000 senior secured term loan facility due in fiscal year 2028 (the “Term Loan Facility”). On September 30, 2020, the Company also entered into a revolving facility credit agreement with Mizuho Bank, Ltd., as administrative agent and collateral agent, and the other agents, arrangers and lenders party thereto, providing for a $50,000 senior secured revolving credit facility expiring in 2023 (the “Revolving Credit Facility” and, together with the Term Loan Facility, the “Senior Secured Credit Facilities”). The Revolving Credit Facility is secured by a lien on the same collateral and on the same basis as the Term Loan Facility. Interest on the Term Loan Facility is calculated at LIBOR plus 3.75% to 4.00% based on the</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net leverage ratio, and LIBOR is subject to a 0.5% floor. The Company’s outstanding borrowings bore an interest rate of 4.25% at March 25, 2022. The Company had no outstanding borrowings on the Revolving Credit Facility as of March 25, 2022.</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Revolving Credit Facility, the Company used cash on hand to repay all prior amounts outstanding under AML’s $25,000 and $8,000 line-of-credit agreements and terminated all commitments thereunder as discussed below.</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Included in the Term Loan Facility were deferred financing costs of $9,374, which the Company has deducted from the carrying amount presented on its consolidated balance sheet and amortized into interest expense or recognized as loss on debt extinguishment. Included in the Revolving Credit Facility were deferred financing costs of $300, which the Company classified the related short-term and long-term portions within “Prepaid expenses and other current assets” and “Other assets” on its consolidated balance sheet and is amortizing those costs over the term of the facility. The unamortized portion of the deferred financing costs associated with the Revolving Credit Facility was $149 and $249 as of March 25, 2022 and March 26, 2021, respectively.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November 25, 2020, the Company repaid $300,000 of the outstanding $325,000 Term Loan Facility using proceeds from the Company’s IPO. The repayment was accounted for as a debt extinguishment in accordance with provisions of ASC Topic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xml:space="preserve"> The Company recognized a loss on partial debt extinguishment of $9,055 which was included within “Other (expense) income” in the consolidated statements of operations for the fiscal year ended March 26, 2021. The loss on debt extinguishment consisted of the unamortized balances of previously deferred original issue discount (“OID”) and debt issuance costs which the Company wrote off.</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Revolving Credit Facilities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January 22, 2019, the Company, through its subsidiaries, entered into a revolving line-of-credit agreement, with a financial institution, that provided for a maximum borrowing capacity of $25,000. The revolving line-of-credit bore interest at LIBOR on the day of the advance plus a 0.4% spread payable upon maturity of the draws, and expired on January 22, 2021. During fiscal year 2021, the Company borrowed $25,000 under the revolving line-of-credit. As of March 27, 2020, the Company had a $25,000 outstanding balance under the revolving line-of-credit agreement with an original repayment date of June 19, 2020 at an interest rate of 1.7%. In the first quarter of fiscal 2021, repayment of the $25,000 borrowings under the revolving line-of-credit was extended to December 18, 2020. The revolving line of credit was secured, for a one year period, by a non-refundable fee of $25 that was paid to the financial institution. In connection with entering into a new revolving credit facility on September 30, 2020, the Company used cash on hand to repay all amounts outstanding under the line-of-credit and terminated all commitments thereunder.</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March 27, 2006, the Company, through its PSL subsidiary, entered into a revolving line-of-credit agreement, with a financial institution, that provides for a maximum borrowing capacity of $10,000. The revolving line-of-credit bore interest at LIBOR on the day of the advance plus 1.0% spread payable upon maturity of the draws and was guaranteed by Sanken. Under the terms of the revolving line-of-credit agreement, the principal was due at various times during fiscal year 2021. During fiscal year 2020, the Company borrowed $10,000 under the revolving line of credit. As of March 27, 2020, the Company had a $10,000 outstanding balance under the revolving line-of-credit agreement maturing on September 16, 2020, at an interest rate of 2.5%. On March 28, 2020, in conjunction with the PSL Divestiture, the debt was deconsolidated.</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5, 2001, the Company, through its subsidiaries, entered into a line-of-credit agreement with a financial institution that provides for a maximum borrowing capacity of $8,000. On March 18, 2020, the Company borrowed $8,000 under the line-of-credit. As of March 27, 2020, the Company had an $8,000 outstanding balance under the line-of-credit agreement maturing on June 18, 2020 at an interest rate of 1.9%. In the first quarter of fiscal 2021, repayment of the $8,000 borrowings under the line-of-credit was extended to December 21, 2020. In connection with entering into a new revolving credit facility on September 30, 2020, the Company used cash on hand to repay all amounts outstanding under the line-of-credit and terminated all commitments thereunder.</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26, 2019, the Company, through its subsidiaries, entered into a line-of-credit agreement with a financial institution that provides for a maximum borrowing capacity of 60,000 Philippine pesos (approximately $1,145 at March 25, 2022) at the bank’s prevailing interest rate. The line-of-credit is due to expire on August 21, 2022. There were no borrowings outstanding under this line-of-credit as of March 25, 2022 and March 26, 2021.</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20, 2019, the Company, through its subsidiaries, entered into a line-of-credit agreement with a financial institution that provides for a maximum capacity of 75,000 Philippine pesos (approximately $1,431 at March 25, 2022) at the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bank’s prevailing interest rate. The line-of-credit is due to expire on June 30, 2022. There were no borrowings outstanding under this line-of-credit as of March 25, 2022 and March 26,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Long-Term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composition of other long-term liabilities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260" w:type="dxa"/>
            <w:vAlign w:val="bottom"/>
          </w:tcPr>
          <w:p>
            <w:pPr>
              <w:spacing w:after="0"/>
              <w:rPr>
                <w:sz w:val="13"/>
                <w:szCs w:val="13"/>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management incentives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uncertain tax positions (net)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19,133</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recognizes the funded status (i.e., the difference between the fair value of plan assets and the benefit obligations) of its defined benefit pension plans in its consolidated balance sheets with a corresponding adjustment to accumulated other comprehensive income (“AOCI”), net of tax. These amounts will continue to be recognized as a component of future net periodic benefit costs consistent with the Company’s past practice. Further, actuarial gains and losses and prior service costs that arise in future periods and are not recognized as net periodic benefit costs in the same periods will be recognized as a component of other comprehensive income. Those amounts will also be recognized as a component of future net periodic benefit costs consistent with the Company’s past practice. The Company uses a measurement date for its defined benefit pension plans and other postretirement benefit plans that is equivalent to its fiscal year-end.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Descriptions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Defined Benefit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through its wholly owned subsidiary, Allegro MicroSystems Philippines, Inc. (“AMPI”), has a defined benefit pension plan, which is a noncontributory plan that covers substantially all employees of the respective subsidiary. The plan’s assets are invested in common trust funds, bonds and other debt instruments and stocks.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consolidated statements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Expense related to the non-U.S. defined benefit plan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8"/>
        </w:trPr>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60" w:type="dxa"/>
            <w:vAlign w:val="bottom"/>
          </w:tcPr>
          <w:p>
            <w:pPr>
              <w:spacing w:after="0"/>
              <w:rPr>
                <w:sz w:val="11"/>
                <w:szCs w:val="11"/>
                <w:color w:val="auto"/>
              </w:rPr>
            </w:pPr>
          </w:p>
        </w:tc>
        <w:tc>
          <w:tcPr>
            <w:tcW w:w="12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20" w:type="dxa"/>
            <w:vAlign w:val="bottom"/>
          </w:tcPr>
          <w:p>
            <w:pPr>
              <w:spacing w:after="0"/>
              <w:rPr>
                <w:sz w:val="11"/>
                <w:szCs w:val="11"/>
                <w:color w:val="auto"/>
              </w:rPr>
            </w:pPr>
          </w:p>
        </w:tc>
        <w:tc>
          <w:tcPr>
            <w:tcW w:w="104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6"/>
        </w:trPr>
        <w:tc>
          <w:tcPr>
            <w:tcW w:w="6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transition asset</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68"/>
        </w:trPr>
        <w:tc>
          <w:tcPr>
            <w:tcW w:w="6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periodic pension expense</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benefit obligations and plan assets for the non-U.S. defined benefit plan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2022</w:t>
            </w:r>
          </w:p>
        </w:tc>
        <w:tc>
          <w:tcPr>
            <w:tcW w:w="180" w:type="dxa"/>
            <w:vAlign w:val="bottom"/>
          </w:tcPr>
          <w:p>
            <w:pPr>
              <w:spacing w:after="0"/>
              <w:rPr>
                <w:sz w:val="16"/>
                <w:szCs w:val="16"/>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26, 2021</w:t>
            </w:r>
          </w:p>
        </w:tc>
        <w:tc>
          <w:tcPr>
            <w:tcW w:w="0" w:type="dxa"/>
            <w:vAlign w:val="bottom"/>
          </w:tcPr>
          <w:p>
            <w:pPr>
              <w:spacing w:after="0"/>
              <w:rPr>
                <w:sz w:val="1"/>
                <w:szCs w:val="1"/>
                <w:color w:val="auto"/>
              </w:rPr>
            </w:pPr>
          </w:p>
        </w:tc>
      </w:tr>
      <w:tr>
        <w:trPr>
          <w:trHeight w:val="216"/>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 and funded status of plan:</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Fair value of plan assets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underfunded plan amounts are recognized as a component of other long-term liabilities in the consolidated balance sheets.</w:t>
      </w:r>
    </w:p>
    <w:p>
      <w:pPr>
        <w:spacing w:after="0" w:line="117" w:lineRule="exact"/>
        <w:rPr>
          <w:sz w:val="20"/>
          <w:szCs w:val="20"/>
          <w:color w:val="auto"/>
        </w:rPr>
      </w:pPr>
    </w:p>
    <w:p>
      <w:pPr>
        <w:jc w:val="both"/>
        <w:ind w:right="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obligations and asset information for the non-U.S. defined benefit plan that has a projected benefit obligation in excess of plan assets:</w:t>
      </w: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25, 2022</w:t>
            </w:r>
          </w:p>
        </w:tc>
        <w:tc>
          <w:tcPr>
            <w:tcW w:w="180" w:type="dxa"/>
            <w:vAlign w:val="bottom"/>
          </w:tcPr>
          <w:p>
            <w:pPr>
              <w:spacing w:after="0"/>
              <w:rPr>
                <w:sz w:val="16"/>
                <w:szCs w:val="16"/>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26, 2021</w:t>
            </w:r>
          </w:p>
        </w:tc>
      </w:tr>
      <w:tr>
        <w:trPr>
          <w:trHeight w:val="229"/>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r>
    </w:tbl>
    <w:p>
      <w:pPr>
        <w:spacing w:after="0" w:line="171"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amounts recorded in AOCI for the non-U.S. defined benefit plan for the fiscal years ended March 25, 2022 and March 26, 2021 are further detailed below:</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Transition</w:t>
            </w: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Actuarial Loss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Prior Service Costs</w:t>
            </w:r>
          </w:p>
        </w:tc>
        <w:tc>
          <w:tcPr>
            <w:tcW w:w="32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Obligation (Asset)</w:t>
            </w:r>
          </w:p>
        </w:tc>
        <w:tc>
          <w:tcPr>
            <w:tcW w:w="144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27, 2020, net of tax</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2021 change in AOCI for non-U.S. defined benefit plan</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 AOCI before tax</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tax expense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26, 2021, net of tax</w:t>
            </w: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2022 change in AOCI for non-U.S. defined benefit plan</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 AOCI before tax</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tax expense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25, 2022,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is no actuarial net gain or loss included in AOCI as of March 25, 2022 that is expected to be amortized into net periodic benefit cost over the next fiscal year.</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25, 2022, the Company does not expect a return of plan assets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 and Investment Policies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Weighted-Average Assumptions Used to Determine Projected Benefit Obligation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25, 2022</w:t>
            </w:r>
          </w:p>
        </w:tc>
        <w:tc>
          <w:tcPr>
            <w:tcW w:w="40" w:type="dxa"/>
            <w:vAlign w:val="bottom"/>
          </w:tcPr>
          <w:p>
            <w:pPr>
              <w:spacing w:after="0"/>
              <w:rPr>
                <w:sz w:val="16"/>
                <w:szCs w:val="16"/>
                <w:color w:val="auto"/>
              </w:rPr>
            </w:pPr>
          </w:p>
        </w:tc>
        <w:tc>
          <w:tcPr>
            <w:tcW w:w="15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March 26, 2021</w:t>
            </w:r>
          </w:p>
        </w:tc>
      </w:tr>
      <w:tr>
        <w:trPr>
          <w:trHeight w:val="23"/>
        </w:trPr>
        <w:tc>
          <w:tcPr>
            <w:tcW w:w="64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assumed discount rate</w:t>
            </w: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rate of compensation increase</w:t>
            </w: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414"/>
        </w:trPr>
        <w:tc>
          <w:tcPr>
            <w:tcW w:w="648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Weighted-Average Assumptions Used to Determine Net Periodic Benefit Cost</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2"/>
        </w:trPr>
        <w:tc>
          <w:tcPr>
            <w:tcW w:w="648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25, 2022</w:t>
            </w:r>
          </w:p>
        </w:tc>
        <w:tc>
          <w:tcPr>
            <w:tcW w:w="40" w:type="dxa"/>
            <w:vAlign w:val="bottom"/>
          </w:tcPr>
          <w:p>
            <w:pPr>
              <w:spacing w:after="0"/>
              <w:rPr>
                <w:sz w:val="24"/>
                <w:szCs w:val="24"/>
                <w:color w:val="auto"/>
              </w:rPr>
            </w:pPr>
          </w:p>
        </w:tc>
        <w:tc>
          <w:tcPr>
            <w:tcW w:w="15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March 26, 2021</w:t>
            </w:r>
          </w:p>
        </w:tc>
        <w:tc>
          <w:tcPr>
            <w:tcW w:w="40" w:type="dxa"/>
            <w:vAlign w:val="bottom"/>
          </w:tcPr>
          <w:p>
            <w:pPr>
              <w:spacing w:after="0"/>
              <w:rPr>
                <w:sz w:val="24"/>
                <w:szCs w:val="24"/>
                <w:color w:val="auto"/>
              </w:rPr>
            </w:pPr>
          </w:p>
        </w:tc>
        <w:tc>
          <w:tcPr>
            <w:tcW w:w="15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March 27, 2020</w:t>
            </w:r>
          </w:p>
        </w:tc>
      </w:tr>
      <w:tr>
        <w:trPr>
          <w:trHeight w:val="23"/>
        </w:trPr>
        <w:tc>
          <w:tcPr>
            <w:tcW w:w="64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assumed discount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expected long-term return on plan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4.20 %</w:t>
            </w:r>
          </w:p>
        </w:tc>
        <w:tc>
          <w:tcPr>
            <w:tcW w:w="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5.20 %</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rate of compensation increase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5.00 %</w:t>
            </w:r>
          </w:p>
        </w:tc>
        <w:tc>
          <w:tcPr>
            <w:tcW w:w="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Plan Assets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entity’s plan assets as of March 25, 2022 and March 26, 2021, using the same three-level hierarchy of fair value inputs described in Note 2, “Summary of Significant Accounting Policies”: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at March</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of non-U.S. defined benefit plan: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securities</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 investment trust fund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Stocks and other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tcPr>
          <w:p>
            <w:pPr>
              <w:spacing w:after="0"/>
              <w:rPr>
                <w:sz w:val="24"/>
                <w:szCs w:val="24"/>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at March</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of non-U.S. defined benefit plan: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securities</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 investment trust fund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Stocks and other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change in fair value of Level 3 plan assets for the fiscal years ended March 25, 2022, March 26, 2021 and March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Level 3 Non-U.S. Defined</w:t>
      </w:r>
    </w:p>
    <w:p>
      <w:pPr>
        <w:spacing w:after="0" w:line="2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Plan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Stocks</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2019</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Redemptions during the year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27, 2020</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Redemptions during the year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Revaluation of equity securities</w:t>
            </w:r>
          </w:p>
        </w:tc>
        <w:tc>
          <w:tcPr>
            <w:tcW w:w="9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26, 2021</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during the year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Redemptions during the year</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Revaluation of equity securities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foreign currency exchange rates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25, 2022</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investments in the Company’s major benefit plans largely consist of low-cost, broad-market index funds to mitigate risks of concentration within the market sectors. In recent years, the Company’s investment policy has shifted toward a closer matching of the interest-rate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The Company, through its wholly-owned subsidiary, Allegro MicroSystems, LLC’s (“AML”), has added a greater proportion of fixed income securities to the non-U.S. defined benefit plan with return characteristics that are more closely aligned with changes in liabilities caused by discount rate volatility. There are no significant restrictions on the amount or nature of the investments that may be acquired or held by the plans.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fiscal years ended March 25, 2022, March 26, 2021 and March 27, 2020, the Company contributed approximately $1,369, $986 and $943 to its non-U.S. pension plan, respectively. The Company expects to contribute approximately $1,546 to its non-U.S. pension plan in fiscal year 2023.</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119" w:lineRule="exact"/>
        <w:rPr>
          <w:sz w:val="20"/>
          <w:szCs w:val="20"/>
          <w:color w:val="auto"/>
        </w:rPr>
      </w:pPr>
    </w:p>
    <w:p>
      <w:pPr>
        <w:jc w:val="both"/>
        <w:ind w:right="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projects the benefits expected to be paid to participants from the plans in each of the following fiscal years. The majority of the payments will be paid from plan assets, not company assets.</w:t>
      </w:r>
    </w:p>
    <w:tbl>
      <w:tblPr>
        <w:tblLayout w:type="fixed"/>
        <w:tblInd w:w="0" w:type="dxa"/>
        <w:tblCellMar>
          <w:top w:w="0" w:type="dxa"/>
          <w:left w:w="0" w:type="dxa"/>
          <w:bottom w:w="0" w:type="dxa"/>
          <w:right w:w="0" w:type="dxa"/>
        </w:tblCellMar>
      </w:tblPr>
      <w:tr>
        <w:trPr>
          <w:trHeight w:val="147"/>
        </w:trPr>
        <w:tc>
          <w:tcPr>
            <w:tcW w:w="9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414"/>
              <w:spacing w:after="0" w:line="147" w:lineRule="exact"/>
              <w:rPr>
                <w:sz w:val="20"/>
                <w:szCs w:val="20"/>
                <w:color w:val="auto"/>
              </w:rPr>
            </w:pPr>
            <w:r>
              <w:rPr>
                <w:rFonts w:ascii="Times New Roman" w:cs="Times New Roman" w:eastAsia="Times New Roman" w:hAnsi="Times New Roman"/>
                <w:sz w:val="14"/>
                <w:szCs w:val="14"/>
                <w:b w:val="1"/>
                <w:bCs w:val="1"/>
                <w:color w:val="auto"/>
              </w:rPr>
              <w:t>Pension</w:t>
            </w:r>
          </w:p>
        </w:tc>
      </w:tr>
      <w:tr>
        <w:trPr>
          <w:trHeight w:val="196"/>
        </w:trPr>
        <w:tc>
          <w:tcPr>
            <w:tcW w:w="9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w:t>
            </w:r>
          </w:p>
        </w:tc>
      </w:tr>
      <w:tr>
        <w:trPr>
          <w:trHeight w:val="248"/>
        </w:trPr>
        <w:tc>
          <w:tcPr>
            <w:tcW w:w="9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Defined Benefit Plan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1993, the Company commenced with a rollover pension promise agreement (“Pension Promise”) to offer a then European employee an insured annuity upon their retirement at age 65. The employee was the only eligible participant of the Pension Promise. The impact associated with the expense and related other income with the Pension Promise was insignificant in fiscal years 2022, 2021 and 2020. The total values of the Pension Promise in the amounts of 661 and 928 British Pounds Sterling at March 25, 2022 and March 26, 2021, respectively (approximately $875 and $1,272 at March 25, 2022 and March 26, 2021, respectively), were classified with other in other assets, net and accrued retirement in other long-term liabilities in the Company’s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Eligible AML U.S. employees may contribute up to 50% of their pretax compensation to a defined contribution plan, subject to certain limitations, and AML may match, at its discretion, 100% of the participants’ pretax contributions, up to a maximum of 5% of their eligible compensation. Matching contributions by AML totaled $4,074, $3,687 and $3,792 for the fiscal years ended March 25, 2022, March 26, 2021 and March 27, 2020, respectively.</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through its AML subsidiary, Allegro MicroSystems Europe, Ltd. (“Allegro Europe”), also has a defined contribution plan (the “AME Plan”) covering substantially all employees of Allegro Europe. Contributions to the AME Plan by the Company totaled approximately $1,065, $507 and $372 for the fiscal years ended March 25, 2022, March 26, 2021 and March 27, 2020, respectively.</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a 401(k) plan that covers all U.S. employees meeting certain service and age requirements. Employees are eligible to participate in the plan upon hire when the service and age requirements are met. Employees may contribute up to 35% of their compensation, subject to the maximum contribution allowed by the Internal Revenue Service (“IRS”). All employees are 100% vested in their contributions at the time of plan entry. As of January 1, 2008, and until January 1, 2015, the Company’s former wholly-owned subsidiary, PSL, adopted and used a Safe Harbor provision, whereby PSL contributed 3% of compensation each pay period for all eligible employees meeting the Safe Harbor criteria. As of January 1, 2015, PSL may match, at its discretion, 100% of the employee’s contribution, up to a maximum of 5% of their eligible compensation.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Noncancellable purchase obligations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Future minimum payments under purchase obligations with suppliers as of March 25, 2022 totaled $53,717, which are all expected to be procured in fiscal year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subsidiaries, utilizes self-insured employee health programs for employees in the United States. The Company records estimated liabilities for its self-insured health programs based on information provided by the third-party plan administrators, historical claims experience and expected costs of claims incurred but not reported. The Company monitors its estimated liabilities on a quarterly basis. As facts change, it may become necessary to make adjustments that could be material to the Company’s consolidated financial position and results of operations. The accrued liability related to self-insurance was $417 and $1,518 as of March 25, 2022 and March 26, 2021, respectively, and was included in accrued expenses and other current liabilities in the Company’s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the Company will disclose the nature of the contingency, and if estimable, will provide the likely amount of such loss or range of loss. Furthermore, the Company does not believe there are any matters that could have a material adverse effect on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agreed to indemnify and hold harmless certain customers for potential allegations of infringement of intellectual property rights and patents arising from the use of its products. To date, the Company has not incurred any costs in connection with such indemnification arrangements; therefore, there was no accrual of such amounts at March 25, 2022 or March 26,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establishes accrued liabilities for environmental matters when it is probable that a liability has been incurred, and the amount of the liability can be reasonably estimated. If the contingency is resolved for an amount greater or less than the accrual, or the Company’s share of the contingency increases or decreases or other assumptions relevant to the development of the estimate were to change, the Company would recognize an additional expense or benefit in the consolidated statements of operations during the period such determination was made. No significant environmental accruals were established at March 25, 2022 or March 26,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Income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completion of the Company’s IPO on November 2, 2020 and immediately following the pricing of the IPO, all outstanding shares of Class A common stock and Class L common stock were automatically converted into an aggregate of 166,500,000 shares of common stock (the “Common Stock Conversion”). Additional detailed discussion is included in Note 19, “Common Stock and Stock-Based Compensation.”</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the Company’s IPO, Class A shares were entitled to a priority dividend of 8%. After Class A shareholders received an annualized return on capital of 8%, distributions of the remaining value were split between Class A and Class L shareholders based on the achievement of certain return targets. In determining income attributable to the Class A stockholders for computing basic and diluted earnings per share for the fiscal year ended March 27, 2020, the Company did not allocate income to the shares of Class L common stock in accordance with ASC 260, because such classes of shares would not have shared in the distribution had all of the income for the periods been distributed. Accordingly, earnings per share calculations were provided only for the Class A shares with a weighted average of 10,000,000 shares for the fiscal year ended March 27, 2020.</w:t>
      </w:r>
    </w:p>
    <w:p>
      <w:pPr>
        <w:spacing w:after="0" w:line="7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basic and diluted net income attributable to Allegro MicroSystems, Inc. per share. The number of shares of common stock reflected in the calculation is the total shares of common stock (vested and unvested) held on the IPO date, after the Common Stock Conversion.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60" w:type="dxa"/>
            <w:vAlign w:val="bottom"/>
          </w:tcPr>
          <w:p>
            <w:pPr>
              <w:spacing w:after="0"/>
              <w:rPr>
                <w:sz w:val="11"/>
                <w:szCs w:val="11"/>
                <w:color w:val="auto"/>
              </w:rPr>
            </w:pPr>
          </w:p>
        </w:tc>
        <w:tc>
          <w:tcPr>
            <w:tcW w:w="1200" w:type="dxa"/>
            <w:vAlign w:val="bottom"/>
          </w:tcPr>
          <w:p>
            <w:pPr>
              <w:jc w:val="right"/>
              <w:ind w:right="333"/>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8"/>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Allegro MicroSystems,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36,971</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37,105</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189,748,427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83,448,055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2,062,778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92,968,590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191,811,205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176,416,645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attributable to Allegro MicroSystems, Inc. per share</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55"/>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attributable to common stockholders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income attributable to Allegro MicroSystems, Inc.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gridSpan w:val="2"/>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5"/>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attributable to common stockholders per share</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computed net income per share for the fiscal years ended March 25, 2022, March 26, 2021 and March 27, 2020 does not assume conversion of securities that would have an antidilutive effect on income per share. There were 3,622 contingently issuable shares under the employee stock purchase plan excluded for the fiscal year ended March 25, 2022, as such securities would have an antidilutive effect on net income per share. There were 273 RSUs excluded for fiscal year ended March 26, 2021 as conversion of such securities would have an antidilutive effect on net income per share. There were no such convertible securities to consider for the fiscal year ended March 27, 2020.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represents issued and issuable weighted average share information for the respective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6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31"/>
        </w:trPr>
        <w:tc>
          <w:tcPr>
            <w:tcW w:w="6680" w:type="dxa"/>
            <w:vAlign w:val="bottom"/>
          </w:tcPr>
          <w:p>
            <w:pPr>
              <w:spacing w:after="0"/>
              <w:rPr>
                <w:sz w:val="11"/>
                <w:szCs w:val="11"/>
                <w:color w:val="auto"/>
              </w:rPr>
            </w:pPr>
          </w:p>
        </w:tc>
        <w:tc>
          <w:tcPr>
            <w:tcW w:w="1540" w:type="dxa"/>
            <w:vAlign w:val="bottom"/>
            <w:gridSpan w:val="2"/>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5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460" w:type="dxa"/>
            <w:vAlign w:val="bottom"/>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5"/>
        </w:trPr>
        <w:tc>
          <w:tcPr>
            <w:tcW w:w="66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1,066,406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996,372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218,678</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related to Common Stock Conversion</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92,438,187</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92,968,590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Common Stock and Stock-Based Compensation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November 2, 2020, the Company closed its IPO of 28,750,000 shares of its common stock at an offering price of $14.00 per share, of which 25,000,000 shares were sold by the Company and 3,750,000 shares were sold by selling stockholders, resulting in net proceeds to the Company of approximately $321,425, after deducting $20,125 of underwriting discounts and $8,450 of estimated offering costs. The Company’s common stock is now listed on the Nasdaq Global Select Market under the ticker symbol “ALGM.”</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the IPO, the Company had two classes of common stock, Class A common stock and Class L common stock. The Company’s Board of Directors authorized 12,500,000 shares of Class A common stock at par value of $0.01, out of which the Company issued 6,720,000 to Sanken in exchange for its previous common shares. The previous single class of common stock was retired in full. The Company sold 2,880,000 of newly issued shares of Class A common stock, representing a 28.8% ownership interest, to OEP SKNA, L.P. (the “OEP Investor”) for cash consideration of $291,000. The stock issuance proceeds were recorded net of $9,260 of related transaction costs. The Company’s Board of Directors authorized 1,000,000 shares of Class L common stock at a par value of $0.01.</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Both Class A and Class L common stock were entitled to dividends, when, and if declared by the Board of Directors. Holders of shares of Class A common stock were entitled to a priority dividend of 8%. After holders of shares of Class A common stock receive an annualized return on capital of 8%, distributions of the remaining value were split between holders of shares of Class A common stock and Class L common stock based on the achievement of certain return targets.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Concurrent with the issuance of the Term Loan Facility on September 30, 2020 (as defined in Note 14, “Debt and Other Borrowings”), the Company paid a cash dividend in the aggregate amount of $400,000 to holders of the Company’s Class A common stock.</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Each outstanding share of Class A common stock entitled the holder to one vote on each matter submitted to a vote of the stockholders of the Company, including the election of the Board of Directors. Holders of Class L common stock were not entitled to vote.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voluntary or involuntary liquidation, dissolution or winding-up of the Company, any amounts available for distribution by the Company were to be paid to the holders of Class A common stock and Class L common stock, as if such distribution were a dividend paid, factoring in the priorities as described above.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Upon the earliest of (i) an IPO; (ii) change of control; (iii) the date OEP and its affiliates cease to own any shares of capital stock of the Company; or</w:t>
      </w:r>
    </w:p>
    <w:p>
      <w:pPr>
        <w:spacing w:after="0" w:line="27" w:lineRule="exact"/>
        <w:rPr>
          <w:sz w:val="20"/>
          <w:szCs w:val="20"/>
          <w:color w:val="auto"/>
        </w:rPr>
      </w:pPr>
    </w:p>
    <w:p>
      <w:pPr>
        <w:ind w:right="20" w:firstLine="8"/>
        <w:spacing w:after="0" w:line="260" w:lineRule="auto"/>
        <w:tabs>
          <w:tab w:leader="none" w:pos="3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Board of Directors, any merger transaction involving the Company or its subsidiaries, each outstanding share of Class L common stock would convert into Class A common stock.</w:t>
      </w:r>
    </w:p>
    <w:p>
      <w:pPr>
        <w:spacing w:after="0" w:line="7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Also, in connection with the OEP transaction, the Company granted 400,000 unvested Class A shares and 597,400 of unvested Class L shares to certain Company employees. The Class A shares vest to the grantees over a service period of 60 months. However, they remain subject to the Company’s repurchase right at par value in the event that either (i) a change in control has not occurred or (ii) the Company has not consummated an IPO by the seventh anniversary of the OEP transaction. As of March 27, 2020, the Company was not able to determine whether such a change in control or IPO was probable, and therefore no amount of stock-based compensation was recognized for the unvested shares of Class A common stock at that time. As a result of the Company’s IPO closing on November 2, 2020, the unvested shares of Class A common stock immediately become vested and the Company recognized $40,440 of one-time stock-based compensation (400,000 shares to management at $101.10 per share) at that time.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Class L unvested shares vested on a straight-line basis over a service period of four years. Class L unvested shares had no other vesting conditions. If an IPO occurred, 25% of the unvested awards would accelerate vesting if 25% or more of the awards are unvested at the time of the IPO. If a change in control occurs, 100% of the then unvested awards would accelerate vesting. Accordingly, based on the Company’s IPO closing on November 2, 2020, the Company accelerated the vesting of the 25% unvested awards at that time.</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Prior to the IPO, the Company issued 17,203 shares of Class L common stock with a weighted average price per share of $33.83 during fiscal 2021 and issued 30,300 shares of Class L common stock with a weighted average price per share of $26.93 during fiscal 2020.</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2, 2020, the Company repurchased an aggregate of 1,997 shares of its Class L common stock from certain of its directors and one of its non-executive employees for an aggregate purchase price of $408 in connection with, (i) in the case of such directors, the settlement of certain outstanding promissory notes issued by the Company to such directors, and (ii) in the case of such non-executive employee, to satisfy certain withholding tax obligations triggered by the vesting of such shares in accordance with the terms of the applicable award agreement.</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Immediately following the pricing of the IPO on November 2, 2020, all outstanding shares of Class A common stock and Class L common stock were automatically converted into an aggregate of 166,500,000 shares of common stock. Outstanding shares of Class A and Class L common stock were converted to common stock in the Common Stock Conversion at conversion rates of approximately 15.822 and 13.010 shares of common stock to each share of Class A and Class L common stock, respectively. As part of the Common Stock Conversion, 2,066,468 and 1,766 shares of common stock were returned to the Company for tax payments made on behalf of holders of Class A common stock and Class L common stock, respectively, to withhold to cover tax transactions. Outstanding loan amounts related to Class L common stock in the aggregate amount of $753 were extinguished on October 2, 2020.</w:t>
      </w:r>
    </w:p>
    <w:p>
      <w:pPr>
        <w:spacing w:after="0" w:line="7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respective number of shares of common stock and unvested restricted common stock issued in the Common Stock Conversion. The number of shares of common stock and unvested restricted common stock issuable are based upon the vesting provisions of the outstanding shares and reflect the shares vested and unvested at the date of conversion.</w:t>
      </w:r>
    </w:p>
    <w:tbl>
      <w:tblPr>
        <w:tblLayout w:type="fixed"/>
        <w:tblInd w:w="0" w:type="dxa"/>
        <w:tblCellMar>
          <w:top w:w="0" w:type="dxa"/>
          <w:left w:w="0" w:type="dxa"/>
          <w:bottom w:w="0" w:type="dxa"/>
          <w:right w:w="0" w:type="dxa"/>
        </w:tblCellMar>
      </w:tblPr>
      <w:tr>
        <w:trPr>
          <w:trHeight w:val="150"/>
        </w:trPr>
        <w:tc>
          <w:tcPr>
            <w:tcW w:w="6000" w:type="dxa"/>
            <w:vAlign w:val="bottom"/>
          </w:tcPr>
          <w:p>
            <w:pPr>
              <w:spacing w:after="0"/>
              <w:rPr>
                <w:sz w:val="13"/>
                <w:szCs w:val="13"/>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6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rPr>
              <w:t>Shares of Unvested</w:t>
            </w:r>
          </w:p>
        </w:tc>
        <w:tc>
          <w:tcPr>
            <w:tcW w:w="16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28"/>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156,155,403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156,155,403</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L common stock</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7,816,614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459,749</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8,276,363</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163,972,017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459,749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164,431,766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Prior to the IPO, there were 638,298 shares of Class L common stock outstanding at a weighted average price per share of $11.99. As noted in the above table, as part of the Common Stock Conversion, the Class L common stock was converted to 7,816,614 shares of common stock and 459,749 of unvested restricted common stock at weighted average prices per share of $14.00.</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its IPO, the Company offered certain employees (excluding its named executive officers) who were eligible to receive cash bonuses under the Company’s LTCIP and TRIP the opportunity to elect to receive RSUs under its 2020 Omnibus Incentive Compensation Plan in lieu of cash payouts under the LTCIP and/or TRIP, through the RSU Conversion Program. Refer to Note 12, “Management Long-Term Cash Incentive Plan” for more details.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for the fiscal years ended March 25, 2022 and March 26,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40" w:type="dxa"/>
            <w:vAlign w:val="bottom"/>
          </w:tcPr>
          <w:p>
            <w:pPr>
              <w:spacing w:after="0"/>
              <w:rPr>
                <w:sz w:val="13"/>
                <w:szCs w:val="13"/>
                <w:color w:val="auto"/>
              </w:rPr>
            </w:pPr>
          </w:p>
        </w:tc>
        <w:tc>
          <w:tcPr>
            <w:tcW w:w="14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340" w:type="dxa"/>
            <w:vAlign w:val="bottom"/>
          </w:tcPr>
          <w:p>
            <w:pPr>
              <w:spacing w:after="0"/>
              <w:rPr>
                <w:sz w:val="12"/>
                <w:szCs w:val="12"/>
                <w:color w:val="auto"/>
              </w:rPr>
            </w:pPr>
          </w:p>
        </w:tc>
        <w:tc>
          <w:tcPr>
            <w:tcW w:w="1460" w:type="dxa"/>
            <w:vAlign w:val="bottom"/>
          </w:tcPr>
          <w:p>
            <w:pPr>
              <w:jc w:val="center"/>
              <w:ind w:right="299"/>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27, 2020</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left="139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26, 2021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center"/>
              <w:ind w:left="1379"/>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1,344,717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25,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center"/>
              <w:ind w:left="1379"/>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weighted-average grant fair value per share for RSUs granted during the fiscal year ended March 25, 2022 was $26.00, and the stock-based compensation expense related to non-vested awards not yet recorded at March 25, 2022 was $22,790, which is expected to be recognized over a weighted-average of 1.27 years. During the fiscal year ended March 25, 2022, 622,508 shares vested.</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also awards PSUs to its senior executive officers based on achievement of medium-term plans (“MTP”) approved in meetings of its Board of Directors for establishing target performances. Each award reflects a target number of shares (“Target Shares”) that may be issued to the award recipient. In fiscal year 2021, these awards are earned upon the completion of a three-year performance period ending March 31, 2023. Whether units are earned at the end of the performance period will be determined based on the achievement of certain performance objectives over the performance period. The performance objectives include achieving certain revenue improvement and cumulative EBITDA levels for the performance period, and also include a performance objective relating to relative total shareholder return (“TSR”). Depending on the results achieved during the three-year performance period, the actual number of shares that a grant recipient may receive at the end of the period ranges from 0% to 200% of the Target Shares granted.</w:t>
      </w:r>
    </w:p>
    <w:p>
      <w:pPr>
        <w:spacing w:after="0" w:line="81"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weighted-average fair value of the PSUs was determined using the Monte Carlo simulation model incorporating the following weighted-average assumptions:</w:t>
      </w: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9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29"/>
        </w:trPr>
        <w:tc>
          <w:tcPr>
            <w:tcW w:w="9440" w:type="dxa"/>
            <w:vAlign w:val="bottom"/>
          </w:tcPr>
          <w:p>
            <w:pPr>
              <w:spacing w:after="0"/>
              <w:rPr>
                <w:sz w:val="11"/>
                <w:szCs w:val="11"/>
                <w:color w:val="auto"/>
              </w:rPr>
            </w:pPr>
          </w:p>
        </w:tc>
        <w:tc>
          <w:tcPr>
            <w:tcW w:w="1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6"/>
        </w:trPr>
        <w:tc>
          <w:tcPr>
            <w:tcW w:w="944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term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 years</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49.9%</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0.17%</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PSU activity for the fiscal years ended March 25, 2022 and March 26,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40" w:type="dxa"/>
            <w:vAlign w:val="bottom"/>
          </w:tcPr>
          <w:p>
            <w:pPr>
              <w:spacing w:after="0"/>
              <w:rPr>
                <w:sz w:val="13"/>
                <w:szCs w:val="13"/>
                <w:color w:val="auto"/>
              </w:rPr>
            </w:pPr>
          </w:p>
        </w:tc>
        <w:tc>
          <w:tcPr>
            <w:tcW w:w="14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340" w:type="dxa"/>
            <w:vAlign w:val="bottom"/>
          </w:tcPr>
          <w:p>
            <w:pPr>
              <w:spacing w:after="0"/>
              <w:rPr>
                <w:sz w:val="12"/>
                <w:szCs w:val="12"/>
                <w:color w:val="auto"/>
              </w:rPr>
            </w:pPr>
          </w:p>
        </w:tc>
        <w:tc>
          <w:tcPr>
            <w:tcW w:w="1460" w:type="dxa"/>
            <w:vAlign w:val="bottom"/>
          </w:tcPr>
          <w:p>
            <w:pPr>
              <w:jc w:val="center"/>
              <w:ind w:right="299"/>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27, 2020</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left="139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26, 2021</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left="1379"/>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25,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center"/>
              <w:ind w:left="1379"/>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PSUs are included at 100% - 200% of target goals. The intrinsic value of the unvested PSUs during the fiscal year ended March 25, 2022 was $27,869. The total compensation cost related to unvested awards not yet recorded at March 25, 2022 was $12,893, which is expected to be recognized over a weighted average of 1.51 years. No shares were vested during fiscal year ended March 25,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unvested restricted common stock activity for the fiscal years ended March 25, 2022 and March 26,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40" w:type="dxa"/>
            <w:vAlign w:val="bottom"/>
          </w:tcPr>
          <w:p>
            <w:pPr>
              <w:spacing w:after="0"/>
              <w:rPr>
                <w:sz w:val="13"/>
                <w:szCs w:val="13"/>
                <w:color w:val="auto"/>
              </w:rPr>
            </w:pPr>
          </w:p>
        </w:tc>
        <w:tc>
          <w:tcPr>
            <w:tcW w:w="146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34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27, 2020</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left="139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conversion</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26, 2021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77"/>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March 25, 2022</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center"/>
              <w:ind w:left="1377"/>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IPO, the Company had filed a registration statement on Form S-8 registering 1,545,891 shares of the Company’s common stock available for future issuance under an employee stock purchase plan (“ESPP”), which number consists of (a) 832,400 shares of common stock initially available for issuance under the ESPP, and (b) an additional 713,491 shares of common stock that may become issuable under the ESPP pursuant to its terms.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ESPP, which is maintained by the Company, allows employees to purchase the Company’s common stock at 85% of the lesser of the stock price at the beginning or end of the offering period. Each offering period is six months in length. The Company’s first offering period started on January 1, 2021 and continued until June 30,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the ESPP shares was determined using the Black-Scholes model incorporating the following weighted-average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82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31"/>
        </w:trPr>
        <w:tc>
          <w:tcPr>
            <w:tcW w:w="8220" w:type="dxa"/>
            <w:vAlign w:val="bottom"/>
          </w:tcPr>
          <w:p>
            <w:pPr>
              <w:spacing w:after="0"/>
              <w:rPr>
                <w:sz w:val="11"/>
                <w:szCs w:val="11"/>
                <w:color w:val="auto"/>
              </w:rPr>
            </w:pPr>
          </w:p>
        </w:tc>
        <w:tc>
          <w:tcPr>
            <w:tcW w:w="15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4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8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term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 years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 years</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55.02%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$7.77</w:t>
            </w:r>
          </w:p>
        </w:tc>
      </w:tr>
    </w:tbl>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25, 2022, the total unrecognized compensation cost related to the ESPP was $272 and this amount is expected to be recognized over 0.27 years.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the fiscal year ended March 25, 2022, the Company recognized stock-based compensation charges of $19,918, $11,997, $424, $1,099 and $110 for its RSUs, PSUs, restricted common stock, ESPP and phantom stock, respectively. Upon completion of its IPO, the Company recognized one-time stock-based compensation charges of $40,440 in connection with the vesting of all outstanding shares of Class A common stock, $1,610 in connection with the automatic acceleration of 25% of the standard vesting term of shares of Class L common stock and $1,028 with the RSU Conversion Program (see above and Note 12, “Management Long-Term Cash Incentive Plan”). In addition, the Company recognized stock-based compensation charges of $1,169 for its Class L common stock for the fiscal year ended March 26, 2021 and stock-based compensation charges of $5,729, $1,269, $174 and $247 for its RSUs, PSUs, restricted common stock and ESPP, respectively, for the fiscal year ended March 26, 2021. All stock-based compensation charges in fiscal 2020 related to expensing of the Company’s Class L common stock. The Company recorded stock-based compensation expense in the following expense categories of its 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9"/>
        </w:trPr>
        <w:tc>
          <w:tcPr>
            <w:tcW w:w="6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20" w:type="dxa"/>
            <w:vAlign w:val="bottom"/>
          </w:tcPr>
          <w:p>
            <w:pPr>
              <w:spacing w:after="0"/>
              <w:rPr>
                <w:sz w:val="11"/>
                <w:szCs w:val="11"/>
                <w:color w:val="auto"/>
              </w:rPr>
            </w:pPr>
          </w:p>
        </w:tc>
        <w:tc>
          <w:tcPr>
            <w:tcW w:w="1360" w:type="dxa"/>
            <w:vAlign w:val="bottom"/>
          </w:tcPr>
          <w:p>
            <w:pPr>
              <w:jc w:val="right"/>
              <w:ind w:right="436"/>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6"/>
        </w:trPr>
        <w:tc>
          <w:tcPr>
            <w:tcW w:w="60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23"/>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stock-based compensation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Stock Grants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January 1, 2022, the Company issued an award of 5,733 restricted cash units to an employee of a professional employer organization that provides services to the Company. Each restricted cash unit represents the right of the grantee to receive cash payment, upon time-based vesting, equal to the market price of the Company’s common stock. The restricted cash units do not possess the rights of common stockholders of the Company, including voting and dividend rights, and cannot be exercised or traded for the Company’s common stock. Additionally, the carrying value of the restricted cash units fluctuates with the market price of the Company’s common stock and represents the expected cash value of the units at a point in time. Due to the cash settlement feature, the restricted cash units are classified as liabilities in accrued expenses and other current liabilities and other long-term liabilities in the consolidated balance sheets for the current and long-term portions of the obligations, respectively. As of March 25, 2022, the restricted cash units will vest over a remaining period of 2.15 years. As of March 25, 2022, no restricted cash units had fully vested.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income before income taxes include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1"/>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20" w:type="dxa"/>
            <w:vAlign w:val="bottom"/>
          </w:tcPr>
          <w:p>
            <w:pPr>
              <w:spacing w:after="0"/>
              <w:rPr>
                <w:sz w:val="11"/>
                <w:szCs w:val="11"/>
                <w:color w:val="auto"/>
              </w:rPr>
            </w:pPr>
          </w:p>
        </w:tc>
        <w:tc>
          <w:tcPr>
            <w:tcW w:w="1360" w:type="dxa"/>
            <w:vAlign w:val="bottom"/>
          </w:tcPr>
          <w:p>
            <w:pPr>
              <w:jc w:val="center"/>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5"/>
        </w:trPr>
        <w:tc>
          <w:tcPr>
            <w:tcW w:w="6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attributable to:</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operations</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34,425</w:t>
            </w: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operations</w:t>
            </w: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23"/>
        </w:trPr>
        <w:tc>
          <w:tcPr>
            <w:tcW w:w="6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53,278</w:t>
            </w:r>
          </w:p>
        </w:tc>
      </w:tr>
      <w:tr>
        <w:trPr>
          <w:trHeight w:val="21"/>
        </w:trPr>
        <w:tc>
          <w:tcPr>
            <w:tcW w:w="6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2"/>
        </w:trPr>
        <w:tc>
          <w:tcPr>
            <w:tcW w:w="6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(benefit) for income taxes are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gridSpan w:val="2"/>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20" w:type="dxa"/>
            <w:vAlign w:val="bottom"/>
          </w:tcPr>
          <w:p>
            <w:pPr>
              <w:spacing w:after="0"/>
              <w:rPr>
                <w:sz w:val="11"/>
                <w:szCs w:val="11"/>
                <w:color w:val="auto"/>
              </w:rPr>
            </w:pPr>
          </w:p>
        </w:tc>
        <w:tc>
          <w:tcPr>
            <w:tcW w:w="1360" w:type="dxa"/>
            <w:vAlign w:val="bottom"/>
          </w:tcPr>
          <w:p>
            <w:pPr>
              <w:jc w:val="center"/>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6"/>
        </w:trPr>
        <w:tc>
          <w:tcPr>
            <w:tcW w:w="60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15,146</w:t>
            </w: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29"/>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r>
      <w:tr>
        <w:trPr>
          <w:trHeight w:val="223"/>
        </w:trPr>
        <w:tc>
          <w:tcPr>
            <w:tcW w:w="6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3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3"/>
        </w:trPr>
        <w:tc>
          <w:tcPr>
            <w:tcW w:w="6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48"/>
        </w:trPr>
        <w:tc>
          <w:tcPr>
            <w:tcW w:w="60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Total income tax provision</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difference between the tax provision at the statutory federal tax rate and the provision for income taxes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1"/>
        </w:trPr>
        <w:tc>
          <w:tcPr>
            <w:tcW w:w="6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20" w:type="dxa"/>
            <w:vAlign w:val="bottom"/>
          </w:tcPr>
          <w:p>
            <w:pPr>
              <w:spacing w:after="0"/>
              <w:rPr>
                <w:sz w:val="11"/>
                <w:szCs w:val="11"/>
                <w:color w:val="auto"/>
              </w:rPr>
            </w:pPr>
          </w:p>
        </w:tc>
        <w:tc>
          <w:tcPr>
            <w:tcW w:w="1360" w:type="dxa"/>
            <w:vAlign w:val="bottom"/>
          </w:tcPr>
          <w:p>
            <w:pPr>
              <w:jc w:val="right"/>
              <w:ind w:right="432"/>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5"/>
        </w:trPr>
        <w:tc>
          <w:tcPr>
            <w:tcW w:w="6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U.S. statutory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w:t>
            </w: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162(m) limitation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CARES carryback claim and amended returns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PSL Divestiture</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FDII</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BEAT</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GILTI</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remeasurement</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Subpart F income, net of credits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uncertain tax positions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IRS audit settlement</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contingent purchase price reduction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provision-to-return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6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income tax provision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16,173</w:t>
            </w: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increase in income tax expense in fiscal year 2022 as compared to fiscal year 2021 relates primary to tax impacts of the fiscal year 2021 IPO transaction. The fiscal year 2021 IPO transaction resulted in excess tax over financial reporting deductions related to a $40,440 stock-based compensation charge (and the related incremental tax deductions), a $16,000 one-time dividend treated as compensation expense for tax purposes, and the tax loss on the divestiture of PSL. The tax impacts of these transactions and other discrete transactions caused an overall U.S. NOL for fiscal year 2021 that will be carried back five years. Additional fluctuations in our effective income tax rate relate primarily to differences in our U.S. and foreign taxable income, estimated FDII benefits, GILTI income, research credits, non-deductible stock-based compensation charges, and discrete tax items.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Except for AMTC prior to its sale, the Company has the ability and intent to permanently reinvest its foreign earnings based on expected future U.S. cash flows and specific and measurable plans to use its existing foreign cash to fund its working capital needs, invest in short-term and long-term capital projects, and to make investments and acquisitions. Since AMTC’s operations have ceased, the Company may receive future liquidating distributions; however, such distributions are estimated to result in no material incremental U.S. or local tax. Therefore, no deferred tax liability has been established with respect to outside basis difference in its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25,</w:t>
            </w:r>
          </w:p>
        </w:tc>
        <w:tc>
          <w:tcPr>
            <w:tcW w:w="320" w:type="dxa"/>
            <w:vAlign w:val="bottom"/>
          </w:tcPr>
          <w:p>
            <w:pPr>
              <w:spacing w:after="0"/>
              <w:rPr>
                <w:sz w:val="13"/>
                <w:szCs w:val="13"/>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95"/>
        </w:trPr>
        <w:tc>
          <w:tcPr>
            <w:tcW w:w="7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Bonuses, commissions and other compensation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and sales related</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r>
      <w:tr>
        <w:trPr>
          <w:trHeight w:val="23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liability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2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38,231</w:t>
            </w:r>
          </w:p>
        </w:tc>
      </w:tr>
      <w:tr>
        <w:trPr>
          <w:trHeight w:val="229"/>
        </w:trPr>
        <w:tc>
          <w:tcPr>
            <w:tcW w:w="7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Valuation allowance for deferred income tax assets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23"/>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2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2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248"/>
        </w:trPr>
        <w:tc>
          <w:tcPr>
            <w:tcW w:w="78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25, 2022, the Company has $2,106 in NOLs related to our Thailand operations. Additionally, the Company has $3,490 and $2,964 in research credits related to its French subsidiary and state filings, respectively.</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during the periods in which these temporary differences become deductible. The Company established a valuation allowance for its Thailand NOLs of $2,106 and state research credits of $2,964 because such assets will not to be utilized by the Company prior to expiration.</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completing carryback claim filings allowable under the CARES Act to utilize NOLs and carryover credits generated during fiscal year 2021. The filings will carryback $8,364 in Federal NOLs, $2,631 in U.S. research credits, and $305 in foreign tax credits to prior taxable periods. These amounts, along with an estimated rate benefit of $4,463 have all been classified as a long-term tax receivable as of March 25, 2022.</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March 25, 2022, the Company had $2,459 of gross unrecognized tax benefits, of which $2,433 would impact the effective tax rate, if recognized. As of March 26, 2021, the Company had $2,554 of gross unrecognized tax benefits, of which $2,542 would impact the effective tax rate, if recognized. As of March 27, 2020, the Company had $2,559 of gross unrecognized tax benefits, of which $2,501 would impact the effective tax rate, if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1"/>
        </w:trPr>
        <w:tc>
          <w:tcPr>
            <w:tcW w:w="606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25,</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20" w:type="dxa"/>
            <w:vAlign w:val="bottom"/>
          </w:tcPr>
          <w:p>
            <w:pPr>
              <w:spacing w:after="0"/>
              <w:rPr>
                <w:sz w:val="11"/>
                <w:szCs w:val="11"/>
                <w:color w:val="auto"/>
              </w:rPr>
            </w:pPr>
          </w:p>
        </w:tc>
        <w:tc>
          <w:tcPr>
            <w:tcW w:w="136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r>
      <w:tr>
        <w:trPr>
          <w:trHeight w:val="195"/>
        </w:trPr>
        <w:tc>
          <w:tcPr>
            <w:tcW w:w="60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11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decreases-tax positions in prior period settlement</w:t>
            </w:r>
          </w:p>
        </w:tc>
        <w:tc>
          <w:tcPr>
            <w:tcW w:w="1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r>
      <w:tr>
        <w:trPr>
          <w:trHeight w:val="22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classifies uncertain tax positions as a current liability, or as a reduction of the amount of a net operating loss carryforward or amount refundable, to the extent that the Company anticipates payment or receipt of cash for income taxes within one year. Likewise, the amount is classified as a long-term liability if the Company anticipates payment or receipt of cash for income taxes during a period beyond one year.</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that all tax positions are adequately provided for; amounts asserted by tax authorities could be greater or less than the accrued position. Accordingly, the Company’s provisions for federal, state and foreign tax related matters to be recorded in the future might change as revised estimates are made, or the underlying matters are settled or otherwise resolved.</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interest expense and penalties, if any, as components of the income tax provision in the consolidated statements of operations. The Company recorded net increases of $58, $73 and $841 in interest, penalties and releases during fiscal years 2022, 2021 and 2020, respectively. As of March 25, 2022 and March 26, 2021, the amount of accrued interest and penalties totaled approximately $324 and $232, respectively.</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Examinations by Tax Authorities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subsidiaries, is subject to examination by taxing authorities in the United States, the Philippines, United Kingdom, Thailand, and the states in which the Company does business. The statute of limitations remains open for U.S. federal tax returns for 2017 and the following years. Audit activities related to the U.S. federal tax returns for 2016 and 2017 concluded during fiscal year 2020 resulting in a settlement related to transfer pricing for fiscal years 2016, 2017 and 2018 in the amount of $9,482 including interest. In non-U.S. jurisdictions, the years open to audit represent the years still open under the respective statute of limitations. With respect to the major jurisdictions outside the U.S., the subsidiaries are no longer subject to income tax audits for years before 2014.</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Contribution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settlement noted above, Sanken agreed to make a one-time capital contribution in the amount of $9,500 to neutralize the cash impact to the Company. All ownership parties have agreed that this contribution would not result in an incremental ownership percentage change or increase in shares by Sanken.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Public Offering of the Company’s Common Stock by Certain Stockholders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 2021, the Company filed a Registration Statement on Form S-1 for the public offering of shares owned by certain selling stockholders, including Sanken, OEP and certain of the Company’s officers and directors. The selling stockholders sold 19,332,852 shares of the Company’s common stock, including 1,832,852 shares of common stock sold by OEP in connection with the underwriters’ exercise of their over-allotment option. The Company did not sell any shares of its common stock and did not receive any of the proceeds from the offering. However, the Company incurred expenses, costs and fees in connection with the offering, including registration, filing and listing fees, printing fees and legal and accounting expenses, in the amount of $1,790 for the fiscal year ended March 26, 2021, which are included in selling, general and administrative expense in the accompanying consolidated statements of operations and comprehensive income.</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Transactions Involving Sanken</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sells products to, and purchases in-process products from Sanken. In addition, prior to March 28, 2020, the Company also sold products for Sanken.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sales of the Company’s products to Sanken totaled $148,813, $104,661 and $184,557 during the fiscal years ended March 25, 2022, March 26, 2021 and March 27, 2020, respectively. Trade accounts receivables, net of allowances from Sanken totaled $27,256 and $21,595 as of March 25, 2022 and March 26, 2021, respectively. Other accounts receivable from Sanken totaled $104 and $198 as of March 25, 2022 and March 26, 2021, respectively.</w:t>
      </w:r>
    </w:p>
    <w:p>
      <w:pPr>
        <w:spacing w:after="0" w:line="6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fiscal year 2020, the Company acted as a distributor of Sanken’s products. Net sales of Sanken’s products by the Company to third parties totaled $35,421 during the fiscal year ended March 27, 2020. On March 28, 2020, the Company formally terminated its distribution agreement with Sanken to distribute Sanken’s products.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Purchases of various products from Sanken totaled $31,917 for the fiscal year ended March 27, 2020. Accounts payable to Sanken totaled $4,494 as of March 27, 2020.</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Termination of Sanken Distribution Agreement</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May 2022, the Company issued a letter of intent with Sanken to develop a plan to transition the supply chain and sales activity in Japan from Sanken to the Company. During the planning process, both parties will define the transition timeline and method for customer communication, supply chain transfer and sales coverage. Parties will also define a method to continue engagement with Sanken on the support of select customers.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Joint Development Agreement (“Development Agreement”)</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through its former wholly owned subsidiary, PSL, entered into a Development Agreement with Sanken whereby the Company and Sanken jointly own a specific wafer technology and share the reimbursement of development costs incurred by the Company. Sanken reimbursed $1,440 in fiscal year ended March 27, 2020. Sanken reimbursed no amounts in the fiscal years ended March 25, 2022 and March 26, 2021.</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Short-term Bridge Loan Receivable to Sanken</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March 2019, the Company entered into a short-term bridge loan to Sanken in the amount of $30,000. The loan bore interest of 2.52% and was repaid in April 2019. Interest income related to the loan to Sanken was $55 in the fiscal year ended March 27, 2020.</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Notes Payable and Line-of credit from Sanken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through PSL, its former wholly owned subsidiary, had related party debt owed to Sanken that includes three notes payable in the aggregate amount of $17,700 and two lines-of-credit agreements in the aggregate amount of $25,000 at March 27, 2020. The interest rates on the related party debt were reset at the beginning of each calendar quarter to LIBOR on the last trading day of the previous month, plus a 1.0% spread. Related party interest expense consisting of amounts due to Sanken for intercompany notes payable, lines-of-credit and miscellaneous charges for the fiscal year ended March 27, 2020 amounted to $1,444, and related party interest paid for the same period amounted to $1,538.</w:t>
      </w:r>
    </w:p>
    <w:p>
      <w:pPr>
        <w:spacing w:after="0" w:line="75" w:lineRule="exact"/>
        <w:rPr>
          <w:sz w:val="20"/>
          <w:szCs w:val="20"/>
          <w:color w:val="auto"/>
        </w:rPr>
      </w:pPr>
    </w:p>
    <w:p>
      <w:pPr>
        <w:ind w:left="500" w:right="20"/>
        <w:spacing w:after="0" w:line="375" w:lineRule="auto"/>
        <w:rPr>
          <w:sz w:val="20"/>
          <w:szCs w:val="20"/>
          <w:color w:val="auto"/>
        </w:rPr>
      </w:pPr>
      <w:r>
        <w:rPr>
          <w:rFonts w:ascii="Times New Roman" w:cs="Times New Roman" w:eastAsia="Times New Roman" w:hAnsi="Times New Roman"/>
          <w:sz w:val="18"/>
          <w:szCs w:val="18"/>
          <w:color w:val="auto"/>
        </w:rPr>
        <w:t xml:space="preserve">In connection with the PSL Divestiture, the total $42,700 balance was contributed in-kind for the fair value of the 70% interest that Sanken acquired. </w:t>
      </w:r>
      <w:r>
        <w:rPr>
          <w:rFonts w:ascii="Times New Roman" w:cs="Times New Roman" w:eastAsia="Times New Roman" w:hAnsi="Times New Roman"/>
          <w:sz w:val="18"/>
          <w:szCs w:val="18"/>
          <w:i w:val="1"/>
          <w:iCs w:val="1"/>
          <w:color w:val="auto"/>
        </w:rPr>
        <w:t>Transactions involving PSL</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the PSL Divestiture, the Company had both intercompany accounts payable of $1,198 and accounts receivable of $3,368 that were previously eliminated in consolidation. The previous intercompany receivable balance of $3,368 was moved into trade and other accounts receivable due from related party as of March 28, 2020. In addition, as a result of PSL taking over the Sanken distribution business, as of March 26, 2021, the Company reflected a related accounts receivable balance of $767. This amount includes reductions of $767 and $2,601 from payments made by PSL during the fiscal years ended March 25, 2022 and March 26, 2021, respectively. No accounts receivable balance was recorded as of March 25, 2022.</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May 2009, the Company entered into a technology development agreement (the “IC Technology Development Agreement”) with Polar Semiconductor, Inc. (“PSI”) (subsequently changed to Polar Semiconductor, LLC), and Sanken, pursuant to which the parties agreed upon the general terms under which they may, from time to time, undertake certain activities (the “IC Process Development Activities”) to develop new technologies to be used by PSI to manufacture products for the Company and Sanken, as well as the ownership and use of such technologies following their development. The IC Technology Development Agreement provides that the expenses for all IC Process Development Activities will be shared equally by the Company and Sanken on an annual basis (subject to any exceptions upon which the parties may agree from time to time), with such expenses being paid to PSL by Sanken in the form of an up-front annual fee, with PSL being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responsible for any expenses that exceed the amount of such fee. The IC Technology Development Agreement will continue in effect until such time as the Company, PSL and Sanken mutually agree to its termination or adopt a successor agreement, or in the event that the companies fail to agree upon the annual fee for that fiscal year within three months after the commencement of such fiscal year. During the fiscal year ended March 25, 2022, the Company (through PSL) received no fees from Sanken and paid no fees to PSL pursuant to the IC Technology Development Agreement. During each of the fiscal years ended March 26, 2021 and March 27, 2020, the Company (through PSL) received fees of $1,200 from Sanken pursuant to the IC Technology Development Agreement, and during the same periods the Company paid fees of $1,200 to PSL pursuant to the IC Technology Development Agreement.</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April 2015, PSL and Sanken entered into a discrete technology development agreement (as amended, the “Discrete Technology Development Agreement”), pursuant to which the parties agreed upon the general terms under which they, from time to time, undertook certain activities (the “Discrete Development Activities”) to develop new technologies to be used by PSL to manufacture products for Sanken, as well as the ownership and use of such technologies following their development. In June 2018, the Company, PSL and Sanken entered into an amendment to the Discrete Technology Development Agreement pursuant to which the parties agreed to the assignment of all rights and obligations of PSL under such agreement to the Company and to certain amendments to the terms of such agreement. The Discrete Technology Development Agreement provided that the expenses for all Discrete Development Activities to be shared equally by the Company and Sanken on an annual basis (subject to any exceptions upon which the parties agreed to from time to time). As of March 26, 2021, the Company had accrued $614 included in amounts due to related party under this agreement, which was paid in the first quarter of fiscal year 2022. The Discrete Technology Development Agreement terminated on March 31, 2021 in accordance with its terms.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continues to purchase in-process products from PSL.</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Purchases of various products from PSL totaled $55,297 and $42,196 for the fiscal years ended March 25, 2022 and March 26, 2021, respectively. This amount includes none and $5,930 of price support payments made for the fiscal years ended March 25, 2022 and March 26, 2021, respectively. In accordance with the PSL Divestiture, the Company had intercompany accounts payable of $1,198 that was previously eliminated in consolidation. The previous intercompany payable balance of $1,198 was moved into amounts due to related party as of March 28, 2020. Accounts payable to PSL included in amounts due to related party totaled $5,222 and $1,739 as of March 25, 2022 and March 26, 2021, respectively. These amounts include reductions of $5,222 and $1,198 from payments made to PSL during the fiscal years ended March 25, 2022 and March 26, 2021, respectively.</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Notes Receivable from PSL</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28, 2020, in connection with the PSL Divestiture, the Company contributed the forgiveness of the fair value of $15,000 out of the $66,377 total debt owed by PSL to the Company, which was previously eliminated in consolidation as of March 27, 2020. As a result of the PSL Divestiture, on March 28, 2020, the $51,377 note receivable from PSL was classified on the Company’s balance sheet as related party note receivable. The related party note receivable held by the Company had a maturity date of March 28, 2027 and bore interest at a rate of 2.70%, which was a market rate determined by IRS guidance at the time of the divestiture. The entire receivable of $51,377 plus accrued interest of $762 was repaid on October 14, 2020.</w:t>
      </w:r>
    </w:p>
    <w:p>
      <w:pPr>
        <w:spacing w:after="0" w:line="75"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On December 2, 2021, AML entered into a loan agreement with PSL wherein PSL provided an initial promissory note to AML for a principal amount of $7,500 (the “Initial PSL Loan”). The Initial PSL Loan will be repaid in equal installments, comprising of principal and interest accrued at 1.26% per annum, over a term of four years with payments due on the first day of each calendar year quarter (April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July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and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In addition, PSL has the option of borrowing up to an additional $7,500 on or around January 1, 2023 under the same terms of the PSL Loan (the “Secondary PSL Loan” and, together with the Initial PSL Loan, the “PSL Promissory Notes”). PSL has informed the Company of its intent to elect its option of the Secondary PSL Loan during fiscal year 2023. The loan funds will be used by PSL to procure a deep ultraviolet scanner and other associated manufacturing tools necessary to increase wafer fabrication capacity in support of the Company’s increasing wafer demand. As of March 25, 2022, the outstanding balance of the PSL Promissory Notes was $7,500. On April 1, 2022, PSL made a quarterly payment to AML of $500, which included $31 of interest income.</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the PSL Divestiture, the Company, PSL and Sanken entered into the Transition Services Agreement (“TSA”), pursuant to which the Company agreed, among other things, to provide certain human resources, legal and distribution support services to PSL following the consummation of the PSL Divestiture. The TSA provides that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and its wholly owned subsidiaries AML and Allegro MicroSystems Europe Ltd. will provide such services in a manner generally consistent with the manner in which they were provided during the 12 months prior to the date of the TSA, and will not be obligated to perform any service in a manner that is materially more burdensome than the analogous services provided for or within its own organization or group during such 12-month period.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services contemplated by the TSA include human resources, legal and distribution support services. The applicable service period for human resources and legal services is 12 months, and fees payable for such services are $50 per year, invoiced on a quarterly basis. The applicable service period for distribution support services is six months with respect to services provided in North America and South America, and nine months with respect to services provided in Europe. All distribution support services are to be provided on a cost plus 10% basis. The Company received $25 under the TSA during each of the fiscal years ended March 25, 2022 and March 26, 2021.</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TSA has an initial term of 12 months and may be extended for additional 12-month terms on an annual basis if the parties so agree prior to the expiration of the then-current term. Unless the TSA otherwise provides, PSL may terminate a specific service prior to the end of the term by providing at least 60 days’ prior written notice. The North America and South America portion of this agreement was terminated as of March 26, 2021.</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Transactions involving Sanken Electric Europe Ltd. (“SEEL”)</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fiscal year ended March 26, 2021 and after the PSL Divestiture, Sanken, through PSL formed SEEL to cover its distribution business in Europe. The Company in connection with the TSA agreement with Sanken and PSL paid certain costs on behalf of them, and, as such, had related party accounts receivable from SEEL of none and $1,272 as of March 25, 2022 and March 26, 2021, respectively.</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Sublease Agreement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2014, the Company, through one of its subsidiaries, entered into a sublease agreement with Sanken pursuant to which it subleases certain office building space in Japan from Sanken. The sublease automatically renews on an annual basis unless either party provides notice to the other party otherwise and can be terminated by either party upon providing six months’ notice. The Company made aggregate payments of approximately $200 to Sanken under the sublease agreement during each of the fiscal years 2022, 2021 and 2020.</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September 2017 and prior to Reza Kazerounian becoming a member of the Company’s board of directors, the Company entered into a board executive advisor agreement, as amended in June 2018 (the “Consulting Agreement”), with Mr. Kazerounian, pursuant to which the Company engaged Mr. Kazerounian to serve as executive advisor to the board of directors and the office of Chief Executive Officer. The Consulting Agreement provides for a fee payable to Mr. Kazerounian on a monthly basis in exchange for his services (which fee was reduced from $30 per month to $19 per month in connection with Mr. Kazerounian’s appointment to the board of directors in June 2018), as well as a grant of 12,000 shares of the Company’s Class L common stock and a signing bonus of $54 in connection with the execution of the Consulting Agreement. The Consulting Agreement provides that if Mr. Kazerounian’s employment is terminated by the board of directors, he will be entitled to a severance payment in the amount of $180 as well as a six-month vesting acceleration of his shares of Class L common stock. The board of directors and Mr. Kazerounian each have the right to terminate the Consulting Agreement at any time. During the fiscal years ended March 25, 2022, March 26, 2021 and March 27, 2020, the Company paid aggregate fees of $260, $318 and $494, respectively, to Mr. Kazerounian pursuant to the Consulting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Chief Executive Officer Transition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2022, the Company announced via press release and a Current Report on Form 8-K that its President and Chief Executive Officer, Ravi Vig, provided notice of his retirement from the Company and its Board of Directors on May 6, 2022. Mr. Vig’s retirement will become effective on June 13, 2022.</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7, 2022, the Board of Directors of the Company appointed Vineet Nargolwala to serve as President and Chief Executive Officer of the Company effective June 13, 2022. In addition, the Company’s Board of Directors elected Mr. Nargolwala as a Class I director of the Board to serve until the Company’s 2024 annual meeting of stockholders and until his successor is elected or appointed and qualified or until his earlier death, resignation, disqualification or removal. Mr. Vig will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ALLEGRO MICROSYSTEMS,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work closely with Mr. Nargolwala and will consult with the Company up to six months after his retirement date to ensure a smooth and orderly transition of responsibilities.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Mr. Nargolwala is a technology executive with over 25 years of global executive leadership experience. Prior to joining Allegro, Mr. Nargolwala previously served as Executive Vice President of Sensing Solutions at Sensata Technologies (NYSE: ST), a leading industrial technology company that develops sensors and sensor-based solutions for the automotive, heavy vehicle and off-road, industrial, and aerospace industries, from March 2020 to May 2022. Mr. Nargolwala joined Sensata as Vice President, Sensors Americas in February 2013 and was later promoted to Senior Vice President, Performance Sensing, North America, Japan and Korea in April 2016. In February 2019, he was appointed Senior Vice President, General Manager, Global Safety &amp; Mobility, and in September 2019, he was appointed Senior Vice President, Sensing Solutions. Prior to Sensata, he was with Honeywell International Inc. for over nine years in business strategy and P&amp;L leadership roles of increasing responsibility. Prior to Honeywell, Mr. Nargolwala was at Nortel Networks in product management and engineering roles. Mr. Nargolwala holds a Bachelor’s degree in Electrical Engineering from Maharaja Sayajirao University in Baroda, India, a Master’s degree in Electrical Engineering from the University of Texas and a Master of Business Administration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0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Annual Non-Management 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is made to each member of the Board who is not an employee of the Company, OEP SKNA, L.P. or Sanken Electric Co., Ltd or their respective subsidiaries.</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73"/>
              </w:rPr>
              <w:t>1.</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Annual Cash Compensation</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35"/>
        </w:trPr>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Cash Retainer (Other than Chairman of the Board)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Cash Retainer (Chairman of the Board)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Cash Retainer for Chair of Audit Committee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Cash Retainer for Chair of Compensation Committee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Cash Retainer for Chair of Nominating and Corporate Governance Committee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Cash Retainer for member of Audit Committee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Cash Retainer for member of Compensation Committee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Additional Cash Retainer for member of Nominating and Corporate Governance Committee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
        </w:trPr>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5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73"/>
              </w:rPr>
              <w:t>2.</w:t>
            </w:r>
          </w:p>
        </w:tc>
        <w:tc>
          <w:tcPr>
            <w:tcW w:w="8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serving on the Board as of the date of the Annual Meeting will be granted an award of Restricted Stock Units with a value of $185,000.</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elected or appointed to serve on the Board on a date other than the Annual meeting will be granted a prorated award in the first year of service on the Board.</w:t>
      </w:r>
    </w:p>
    <w:p>
      <w:pPr>
        <w:spacing w:after="0" w:line="50"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reimbursed for reasonable out-of-pocket expenses incurred in attending meetings.</w:t>
      </w:r>
    </w:p>
    <w:p>
      <w:pPr>
        <w:sectPr>
          <w:pgSz w:w="11900" w:h="16838" w:orient="portrait"/>
          <w:cols w:equalWidth="0" w:num="1">
            <w:col w:w="11240"/>
          </w:cols>
          <w:pgMar w:left="320" w:top="1413"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2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59"/>
        </w:trPr>
        <w:tc>
          <w:tcPr>
            <w:tcW w:w="804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Subsidiaries of Allegro MicroSystems, Inc.</w:t>
            </w: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State of Other Jurisdiction of</w:t>
            </w:r>
          </w:p>
        </w:tc>
        <w:tc>
          <w:tcPr>
            <w:tcW w:w="0" w:type="dxa"/>
            <w:vAlign w:val="bottom"/>
          </w:tcPr>
          <w:p>
            <w:pPr>
              <w:spacing w:after="0"/>
              <w:rPr>
                <w:sz w:val="1"/>
                <w:szCs w:val="1"/>
                <w:color w:val="auto"/>
              </w:rPr>
            </w:pPr>
          </w:p>
        </w:tc>
      </w:tr>
      <w:tr>
        <w:trPr>
          <w:trHeight w:val="195"/>
        </w:trPr>
        <w:tc>
          <w:tcPr>
            <w:tcW w:w="8040" w:type="dxa"/>
            <w:vAlign w:val="bottom"/>
            <w:vMerge w:val="continue"/>
          </w:tcPr>
          <w:p>
            <w:pPr>
              <w:spacing w:after="0"/>
              <w:rPr>
                <w:sz w:val="16"/>
                <w:szCs w:val="16"/>
                <w:color w:val="auto"/>
              </w:rPr>
            </w:pP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0" w:type="dxa"/>
            <w:vAlign w:val="bottom"/>
          </w:tcPr>
          <w:p>
            <w:pPr>
              <w:spacing w:after="0"/>
              <w:rPr>
                <w:sz w:val="1"/>
                <w:szCs w:val="1"/>
                <w:color w:val="auto"/>
              </w:rPr>
            </w:pPr>
          </w:p>
        </w:tc>
      </w:tr>
      <w:tr>
        <w:trPr>
          <w:trHeight w:val="22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Allegro MicroSystems, LLC</w:t>
            </w:r>
          </w:p>
        </w:tc>
        <w:tc>
          <w:tcPr>
            <w:tcW w:w="32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Argentina, S.A.</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Argentina S.A. Sucursal Uruguay</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Business Development, Inc.</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Europe Limited</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France SAS</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Germany GmbH</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(Shanghai) Micro Electronics Commercial and Trading Co., Ltd.</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Philippines, Inc.</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Thailand Corp.</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Allegro MicroSystems Philippines Realty Inc.</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LadarSystems, LLC</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Wyoming</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CrivaSense Technologies SAS</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Silicon Structures LLC</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Voxtel, LLC</w:t>
            </w:r>
          </w:p>
        </w:tc>
        <w:tc>
          <w:tcPr>
            <w:tcW w:w="3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reports dated May 18, 2022, with respect to the consolidated financial statements and internal control over financial reporting included in the Annual Report of Allegro MicroSystems, Inc. on Form 10-K for the year ended March 25, 2022. We consent to the incorporation by reference of said reports in the Registration Statements of Allegro MicroSystems, Inc. on Forms S-3 (File No. 333-260647) and S-8 (File No. 333-249771).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2022</w:t>
      </w:r>
    </w:p>
    <w:p>
      <w:pPr>
        <w:sectPr>
          <w:pgSz w:w="11900" w:h="16838" w:orient="portrait"/>
          <w:cols w:equalWidth="0" w:num="1">
            <w:col w:w="11240"/>
          </w:cols>
          <w:pgMar w:left="320" w:top="141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Vig, certify that:</w:t>
      </w:r>
    </w:p>
    <w:p>
      <w:pPr>
        <w:spacing w:after="0" w:line="252"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25, 2022 of Allegro MicroSystems,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47"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500" w:hanging="330"/>
        <w:spacing w:after="0" w:line="255" w:lineRule="auto"/>
        <w:tabs>
          <w:tab w:leader="none" w:pos="63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Times New Roman" w:cs="Times New Roman" w:eastAsia="Times New Roman" w:hAnsi="Times New Roman"/>
          <w:sz w:val="18"/>
          <w:szCs w:val="18"/>
          <w:color w:val="auto"/>
        </w:rPr>
      </w:pPr>
    </w:p>
    <w:p>
      <w:pPr>
        <w:jc w:val="both"/>
        <w:ind w:left="500" w:hanging="330"/>
        <w:spacing w:after="0" w:line="258" w:lineRule="auto"/>
        <w:tabs>
          <w:tab w:leader="none" w:pos="71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Times New Roman" w:cs="Times New Roman" w:eastAsia="Times New Roman" w:hAnsi="Times New Roman"/>
          <w:sz w:val="18"/>
          <w:szCs w:val="18"/>
          <w:color w:val="auto"/>
        </w:rPr>
      </w:pPr>
    </w:p>
    <w:p>
      <w:pPr>
        <w:ind w:left="500" w:hanging="330"/>
        <w:spacing w:after="0" w:line="282" w:lineRule="auto"/>
        <w:tabs>
          <w:tab w:leader="none" w:pos="55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7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61" w:lineRule="auto"/>
        <w:tabs>
          <w:tab w:leader="none" w:pos="3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500" w:hanging="330"/>
        <w:spacing w:after="0" w:line="260" w:lineRule="auto"/>
        <w:tabs>
          <w:tab w:leader="none" w:pos="61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18"/>
          <w:szCs w:val="18"/>
          <w:color w:val="auto"/>
        </w:rPr>
      </w:pPr>
    </w:p>
    <w:p>
      <w:pPr>
        <w:ind w:left="500" w:hanging="330"/>
        <w:spacing w:after="0" w:line="282" w:lineRule="auto"/>
        <w:tabs>
          <w:tab w:leader="none" w:pos="61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4100" w:val="left"/>
          <w:tab w:leader="none" w:pos="806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Ravi Vig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Ravi Vig</w:t>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P. D’Antilio, certify that:</w:t>
      </w:r>
    </w:p>
    <w:p>
      <w:pPr>
        <w:spacing w:after="0" w:line="252"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25, 2022 of Allegro MicroSystems,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w:t>
      </w:r>
    </w:p>
    <w:p>
      <w:pPr>
        <w:ind w:left="340"/>
        <w:spacing w:after="0"/>
        <w:rPr>
          <w:sz w:val="20"/>
          <w:szCs w:val="20"/>
          <w:color w:val="auto"/>
        </w:rPr>
      </w:pPr>
      <w:r>
        <w:rPr>
          <w:rFonts w:ascii="Times New Roman" w:cs="Times New Roman" w:eastAsia="Times New Roman" w:hAnsi="Times New Roman"/>
          <w:sz w:val="18"/>
          <w:szCs w:val="18"/>
          <w:color w:val="auto"/>
        </w:rPr>
        <w:t>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ind w:left="340" w:right="20" w:hanging="332"/>
        <w:spacing w:after="0" w:line="247"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500" w:hanging="330"/>
        <w:spacing w:after="0" w:line="255" w:lineRule="auto"/>
        <w:tabs>
          <w:tab w:leader="none" w:pos="63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71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500" w:hanging="330"/>
        <w:spacing w:after="0" w:line="282" w:lineRule="auto"/>
        <w:tabs>
          <w:tab w:leader="none" w:pos="55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57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61" w:lineRule="auto"/>
        <w:tabs>
          <w:tab w:leader="none" w:pos="3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500" w:hanging="330"/>
        <w:spacing w:after="0" w:line="260" w:lineRule="auto"/>
        <w:tabs>
          <w:tab w:leader="none" w:pos="61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18"/>
          <w:szCs w:val="18"/>
          <w:color w:val="auto"/>
        </w:rPr>
      </w:pPr>
    </w:p>
    <w:p>
      <w:pPr>
        <w:ind w:left="500" w:hanging="330"/>
        <w:spacing w:after="0" w:line="282" w:lineRule="auto"/>
        <w:tabs>
          <w:tab w:leader="none" w:pos="6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00" w:val="left"/>
          <w:tab w:leader="none" w:pos="770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4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1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Allegro MicroSystems, Inc. (the “Company”) for the fiscal year ended March 25, 2022 as filed with the Securities and Exchange Commission on the date hereof (the “Report”), I certify pursuant to 18 U.S.C. §1350, as adopted pursuant to §906 of the Sarbanes-Oxley Act of 2002, that, to the best of my knowledge:</w:t>
      </w:r>
    </w:p>
    <w:p>
      <w:pPr>
        <w:spacing w:after="0" w:line="196"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4100" w:val="left"/>
          <w:tab w:leader="none" w:pos="806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Ravi Vig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Ravi Vig</w:t>
      </w:r>
    </w:p>
    <w:p>
      <w:pPr>
        <w:spacing w:after="0" w:line="1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Allegro MicroSystems, Inc. (the “Company”) for the fiscal year ended March 25, 2022 as filed with the Securities and Exchange Commission on the date hereof (the “Report”), I certify pursuant to 18 U.S.C. §1350, as adopted pursuant to §906 of the Sarbanes-Oxley Act of 2002, that, to the best of my knowledge:</w:t>
      </w:r>
    </w:p>
    <w:p>
      <w:pPr>
        <w:spacing w:after="0" w:line="196"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4100" w:val="left"/>
          <w:tab w:leader="none" w:pos="7660" w:val="left"/>
        </w:tabs>
        <w:rPr>
          <w:sz w:val="20"/>
          <w:szCs w:val="20"/>
          <w:color w:val="auto"/>
        </w:rPr>
      </w:pPr>
      <w:r>
        <w:rPr>
          <w:rFonts w:ascii="Times New Roman" w:cs="Times New Roman" w:eastAsia="Times New Roman" w:hAnsi="Times New Roman"/>
          <w:sz w:val="18"/>
          <w:szCs w:val="18"/>
          <w:color w:val="auto"/>
        </w:rPr>
        <w:t>Date: May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118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Derek P. D’Antilio</w:t>
      </w:r>
    </w:p>
    <w:p>
      <w:pPr>
        <w:spacing w:after="0" w:line="1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lvl w:ilvl="1">
      <w:lvlJc w:val="left"/>
      <w:lvlText w:val="•"/>
      <w:numFmt w:val="bullet"/>
      <w:start w:val="1"/>
    </w:lvl>
  </w:abstractNum>
  <w:abstractNum w:abstractNumId="13">
    <w:nsid w:val="153EA438"/>
    <w:multiLevelType w:val="hybridMultilevel"/>
    <w:lvl w:ilvl="0">
      <w:lvlJc w:val="left"/>
      <w:lvlText w:val="•"/>
      <w:numFmt w:val="bullet"/>
      <w:start w:val="1"/>
    </w:lvl>
    <w:lvl w:ilvl="1">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bullet"/>
      <w:start w:val="1"/>
    </w:lvl>
  </w:abstractNum>
  <w:abstractNum w:abstractNumId="53">
    <w:nsid w:val="10233C99"/>
    <w:multiLevelType w:val="hybridMultilevel"/>
    <w:lvl w:ilvl="0">
      <w:lvlJc w:val="left"/>
      <w:lvlText w:val="2"/>
      <w:numFmt w:val="bullet"/>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14"/>
    </w:lvl>
  </w:abstractNum>
  <w:abstractNum w:abstractNumId="61">
    <w:nsid w:val="2F305DEF"/>
    <w:multiLevelType w:val="hybridMultilevel"/>
    <w:lvl w:ilvl="0">
      <w:lvlJc w:val="left"/>
      <w:lvlText w:val="(%1)"/>
      <w:numFmt w:val="lowerRoman"/>
      <w:start w:val="4"/>
    </w:lvl>
  </w:abstractNum>
  <w:abstractNum w:abstractNumId="62">
    <w:nsid w:val="25A70BF7"/>
    <w:multiLevelType w:val="hybridMultilevel"/>
    <w:lvl w:ilvl="0">
      <w:lvlJc w:val="left"/>
      <w:lvlText w:val="%1."/>
      <w:numFmt w:val="decimal"/>
      <w:start w:val="3"/>
    </w:lvl>
  </w:abstractNum>
  <w:abstractNum w:abstractNumId="63">
    <w:nsid w:val="1DBABF00"/>
    <w:multiLevelType w:val="hybridMultilevel"/>
    <w:lvl w:ilvl="0">
      <w:lvlJc w:val="left"/>
      <w:lvlText w:val="%1."/>
      <w:numFmt w:val="decimal"/>
      <w:start w:val="1"/>
    </w:lvl>
    <w:lvl w:ilvl="1">
      <w:lvlJc w:val="left"/>
      <w:lvlText w:val="(%2)"/>
      <w:numFmt w:val="lowerLetter"/>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3"/>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9" Type="http://schemas.openxmlformats.org/officeDocument/2006/relationships/image" Target="media/image83.png"/><Relationship Id="rId110" Type="http://schemas.openxmlformats.org/officeDocument/2006/relationships/image" Target="media/image84.png"/><Relationship Id="rId126" Type="http://schemas.openxmlformats.org/officeDocument/2006/relationships/image" Target="media/image85.png"/><Relationship Id="rId138" Type="http://schemas.openxmlformats.org/officeDocument/2006/relationships/image" Target="media/image86.pn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90" Type="http://schemas.openxmlformats.org/officeDocument/2006/relationships/hyperlink" Target="https://www.sec.gov/Archives/edgar/data/866291/000119312520268455/d38154dex21.htm" TargetMode="External"/><Relationship Id="rId91" Type="http://schemas.openxmlformats.org/officeDocument/2006/relationships/hyperlink" Target="https://www.sec.gov/Archives/edgar/data/866291/000119312520283961/d23499dex31.htm" TargetMode="External"/><Relationship Id="rId92" Type="http://schemas.openxmlformats.org/officeDocument/2006/relationships/hyperlink" Target="https://www.sec.gov/Archives/edgar/data/866291/000119312520283961/d23499dex32.htm" TargetMode="External"/><Relationship Id="rId93" Type="http://schemas.openxmlformats.org/officeDocument/2006/relationships/hyperlink" Target="https://www.sec.gov/Archives/edgar/data/866291/000119312520273413/d38154dex41.htm" TargetMode="External"/><Relationship Id="rId94" Type="http://schemas.openxmlformats.org/officeDocument/2006/relationships/hyperlink" Target="https://www.sec.gov/Archives/edgar/data/866291/000119312520268455/d38154dex42.htm" TargetMode="External"/><Relationship Id="rId95" Type="http://schemas.openxmlformats.org/officeDocument/2006/relationships/hyperlink" Target="https://www.sec.gov/Archives/edgar/data/866291/000086629121000028/exhibit101-addendumtostock.htm" TargetMode="External"/><Relationship Id="rId96" Type="http://schemas.openxmlformats.org/officeDocument/2006/relationships/hyperlink" Target="https://www.sec.gov/Archives/edgar/data/866291/000119312520283961/d23499dex101.htm" TargetMode="External"/><Relationship Id="rId97" Type="http://schemas.openxmlformats.org/officeDocument/2006/relationships/hyperlink" Target="https://www.sec.gov/Archives/edgar/data/866291/000086629121000020/algmq4fy21ex44.htm" TargetMode="External"/><Relationship Id="rId98" Type="http://schemas.openxmlformats.org/officeDocument/2006/relationships/hyperlink" Target="https://www.sec.gov/Archives/edgar/data/866291/000086629121000048/exhibit43.htm" TargetMode="External"/><Relationship Id="rId100" Type="http://schemas.openxmlformats.org/officeDocument/2006/relationships/hyperlink" Target="https://www.sec.gov/Archives/edgar/data/866291/000119312520268455/d38154dex105.htm" TargetMode="External"/><Relationship Id="rId101" Type="http://schemas.openxmlformats.org/officeDocument/2006/relationships/hyperlink" Target="https://www.sec.gov/Archives/edgar/data/866291/000119312520268455/d38154dex1015.htm" TargetMode="External"/><Relationship Id="rId102" Type="http://schemas.openxmlformats.org/officeDocument/2006/relationships/hyperlink" Target="https://www.sec.gov/Archives/edgar/data/866291/000119312520268455/d38154dex1017.htm" TargetMode="External"/><Relationship Id="rId103" Type="http://schemas.openxmlformats.org/officeDocument/2006/relationships/hyperlink" Target="https://www.sec.gov/Archives/edgar/data/866291/000119312520268455/d38154dex1018.htm" TargetMode="External"/><Relationship Id="rId104" Type="http://schemas.openxmlformats.org/officeDocument/2006/relationships/hyperlink" Target="https://www.sec.gov/Archives/edgar/data/866291/000119312520264848/d38154dex1019.htm" TargetMode="External"/><Relationship Id="rId105" Type="http://schemas.openxmlformats.org/officeDocument/2006/relationships/hyperlink" Target="https://www.sec.gov/Archives/edgar/data/866291/000119312520264848/d38154dex1020.htm" TargetMode="External"/><Relationship Id="rId106" Type="http://schemas.openxmlformats.org/officeDocument/2006/relationships/hyperlink" Target="https://www.sec.gov/Archives/edgar/data/866291/000119312520264848/d38154dex1021.htm" TargetMode="External"/><Relationship Id="rId107" Type="http://schemas.openxmlformats.org/officeDocument/2006/relationships/hyperlink" Target="https://www.sec.gov/Archives/edgar/data/866291/000119312520264848/d38154dex1022.htm" TargetMode="External"/><Relationship Id="rId108" Type="http://schemas.openxmlformats.org/officeDocument/2006/relationships/hyperlink" Target="https://www.sec.gov/Archives/edgar/data/866291/000119312520264848/d38154dex1023.htm" TargetMode="External"/><Relationship Id="rId109" Type="http://schemas.openxmlformats.org/officeDocument/2006/relationships/hyperlink" Target="https://www.sec.gov/Archives/edgar/data/866291/000119312520264848/d38154dex1024.htm" TargetMode="External"/><Relationship Id="rId111" Type="http://schemas.openxmlformats.org/officeDocument/2006/relationships/hyperlink" Target="https://www.sec.gov/Archives/edgar/data/866291/000119312520264848/d38154dex1025.htm" TargetMode="External"/><Relationship Id="rId112" Type="http://schemas.openxmlformats.org/officeDocument/2006/relationships/hyperlink" Target="https://www.sec.gov/Archives/edgar/data/866291/000119312520264848/d38154dex1026.htm" TargetMode="External"/><Relationship Id="rId113" Type="http://schemas.openxmlformats.org/officeDocument/2006/relationships/hyperlink" Target="https://www.sec.gov/Archives/edgar/data/866291/000119312520268455/d38154dex1030.htm" TargetMode="External"/><Relationship Id="rId114" Type="http://schemas.openxmlformats.org/officeDocument/2006/relationships/hyperlink" Target="https://www.sec.gov/Archives/edgar/data/866291/000119312520282732/d35634dex991.htm" TargetMode="External"/><Relationship Id="rId115" Type="http://schemas.openxmlformats.org/officeDocument/2006/relationships/hyperlink" Target="https://www.sec.gov/Archives/edgar/data/866291/000086629121000020/algmq4fy21ex1031.htm" TargetMode="External"/><Relationship Id="rId116" Type="http://schemas.openxmlformats.org/officeDocument/2006/relationships/hyperlink" Target="https://www.sec.gov/Archives/edgar/data/866291/000119312520273413/d38154dex1034.htm" TargetMode="External"/><Relationship Id="rId117" Type="http://schemas.openxmlformats.org/officeDocument/2006/relationships/hyperlink" Target="https://www.sec.gov/Archives/edgar/data/866291/000086629121000020/algmq4fy21ex1033.htm" TargetMode="External"/><Relationship Id="rId118" Type="http://schemas.openxmlformats.org/officeDocument/2006/relationships/hyperlink" Target="https://www.sec.gov/Archives/edgar/data/866291/000119312520282732/d35634dex995.htm" TargetMode="External"/><Relationship Id="rId119" Type="http://schemas.openxmlformats.org/officeDocument/2006/relationships/hyperlink" Target="https://www.sec.gov/Archives/edgar/data/866291/000119312520268455/d38154dex1038.htm" TargetMode="External"/><Relationship Id="rId120" Type="http://schemas.openxmlformats.org/officeDocument/2006/relationships/hyperlink" Target="https://www.sec.gov/Archives/edgar/data/866291/000119312520268455/d38154dex1039.htm" TargetMode="External"/><Relationship Id="rId121" Type="http://schemas.openxmlformats.org/officeDocument/2006/relationships/hyperlink" Target="https://www.sec.gov/Archives/edgar/data/866291/000119312520268455/d38154dex1040.htm" TargetMode="External"/><Relationship Id="rId122" Type="http://schemas.openxmlformats.org/officeDocument/2006/relationships/hyperlink" Target="https://www.sec.gov/Archives/edgar/data/866291/000119312520268455/d38154dex1041.htm" TargetMode="External"/><Relationship Id="rId123" Type="http://schemas.openxmlformats.org/officeDocument/2006/relationships/hyperlink" Target="https://www.sec.gov/Archives/edgar/data/866291/000086629122000008/algm-20211224x10ex104.htm" TargetMode="External"/><Relationship Id="rId124" Type="http://schemas.openxmlformats.org/officeDocument/2006/relationships/hyperlink" Target="https://www.sec.gov/Archives/edgar/data/866291/000086629122000008/algm-20211224x10ex102.htm" TargetMode="External"/><Relationship Id="rId125" Type="http://schemas.openxmlformats.org/officeDocument/2006/relationships/hyperlink" Target="https://www.sec.gov/Archives/edgar/data/866291/000086629122000008/algm-20211224x10ex103.htm" TargetMode="External"/><Relationship Id="rId127" Type="http://schemas.openxmlformats.org/officeDocument/2006/relationships/hyperlink" Target="https://www.sec.gov/Archives/edgar/data/866291/000086629122000008/algm-20211224x10ex105.htm" TargetMode="External"/><Relationship Id="rId128" Type="http://schemas.openxmlformats.org/officeDocument/2006/relationships/hyperlink" Target="https://www.sec.gov/Archives/edgar/data/866291/000086629122000008/algm-20211224x10ex106.htm" TargetMode="External"/><Relationship Id="rId129" Type="http://schemas.openxmlformats.org/officeDocument/2006/relationships/hyperlink" Target="https://www.sec.gov/Archives/edgar/data/866291/000119312522145107/d348018dex103.htm" TargetMode="External"/><Relationship Id="rId130" Type="http://schemas.openxmlformats.org/officeDocument/2006/relationships/hyperlink" Target="https://www.sec.gov/Archives/edgar/data/866291/000119312522145107/d348018dex101.htm" TargetMode="External"/><Relationship Id="rId131" Type="http://schemas.openxmlformats.org/officeDocument/2006/relationships/hyperlink" Target="https://www.sec.gov/Archives/edgar/data/866291/000119312522145107/d348018dex102.htm" TargetMode="External"/><Relationship Id="rId132" Type="http://schemas.openxmlformats.org/officeDocument/2006/relationships/hyperlink" Target="https://www.sec.gov/Archives/edgar/data/866291/000119312520273413/d38154dex1043.htm" TargetMode="External"/><Relationship Id="rId133" Type="http://schemas.openxmlformats.org/officeDocument/2006/relationships/hyperlink" Target="https://www.sec.gov/Archives/edgar/data/866291/000119312520268455/d38154dex1044.htm" TargetMode="External"/><Relationship Id="rId134" Type="http://schemas.openxmlformats.org/officeDocument/2006/relationships/hyperlink" Target="https://www.sec.gov/Archives/edgar/data/866291/000119312520268455/d38154dex1045.htm" TargetMode="External"/><Relationship Id="rId135" Type="http://schemas.openxmlformats.org/officeDocument/2006/relationships/hyperlink" Target="https://www.sec.gov/Archives/edgar/data/866291/000119312520268455/d38154dex1046.htm" TargetMode="External"/><Relationship Id="rId136" Type="http://schemas.openxmlformats.org/officeDocument/2006/relationships/hyperlink" Target="https://www.sec.gov/Archives/edgar/data/866291/000119312520268455/d38154dex1047.htm" TargetMode="External"/><Relationship Id="rId137" Type="http://schemas.openxmlformats.org/officeDocument/2006/relationships/hyperlink" Target="https://www.sec.gov/Archives/edgar/data/866291/000086629122000008/algm-20211224x1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2022-05-18T16:33:38Z</dcterms:created>
  <dcterms:modified xsi:type="dcterms:W3CDTF">2022-05-18T16:33:38Z</dcterms:modified>
</cp:coreProperties>
</file>