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6"/>
          <w:szCs w:val="16"/>
          <w:b w:val="1"/>
          <w:bCs w:val="1"/>
          <w:color w:val="auto"/>
        </w:rPr>
        <w:t>October 27, 2022</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ALLEGRO MICROSYSTEMS, INC.</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3" w:lineRule="exact"/>
        <w:rPr>
          <w:sz w:val="24"/>
          <w:szCs w:val="24"/>
          <w:color w:val="auto"/>
        </w:rPr>
      </w:pPr>
    </w:p>
    <w:tbl>
      <w:tblPr>
        <w:tblLayout w:type="fixed"/>
        <w:tblInd w:w="820" w:type="dxa"/>
        <w:tblCellMar>
          <w:top w:w="0" w:type="dxa"/>
          <w:left w:w="0" w:type="dxa"/>
          <w:bottom w:w="0" w:type="dxa"/>
          <w:right w:w="0" w:type="dxa"/>
        </w:tblCellMar>
      </w:tblPr>
      <w:tr>
        <w:trPr>
          <w:trHeight w:val="26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3"/>
                <w:szCs w:val="23"/>
                <w:color w:val="auto"/>
              </w:rPr>
            </w:pPr>
          </w:p>
        </w:tc>
        <w:tc>
          <w:tcPr>
            <w:tcW w:w="1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001-39675</w:t>
            </w:r>
          </w:p>
        </w:tc>
        <w:tc>
          <w:tcPr>
            <w:tcW w:w="100" w:type="dxa"/>
            <w:vAlign w:val="bottom"/>
          </w:tcPr>
          <w:p>
            <w:pPr>
              <w:spacing w:after="0"/>
              <w:rPr>
                <w:sz w:val="23"/>
                <w:szCs w:val="23"/>
                <w:color w:val="auto"/>
              </w:rPr>
            </w:pPr>
          </w:p>
        </w:tc>
        <w:tc>
          <w:tcPr>
            <w:tcW w:w="3720" w:type="dxa"/>
            <w:vAlign w:val="bottom"/>
            <w:tcBorders>
              <w:bottom w:val="single" w:sz="8" w:color="auto"/>
            </w:tcBorders>
          </w:tcPr>
          <w:p>
            <w:pPr>
              <w:jc w:val="right"/>
              <w:ind w:right="1341"/>
              <w:spacing w:after="0"/>
              <w:rPr>
                <w:sz w:val="20"/>
                <w:szCs w:val="20"/>
                <w:color w:val="auto"/>
              </w:rPr>
            </w:pPr>
            <w:r>
              <w:rPr>
                <w:rFonts w:ascii="Times New Roman" w:cs="Times New Roman" w:eastAsia="Times New Roman" w:hAnsi="Times New Roman"/>
                <w:sz w:val="18"/>
                <w:szCs w:val="18"/>
                <w:b w:val="1"/>
                <w:bCs w:val="1"/>
                <w:color w:val="auto"/>
              </w:rPr>
              <w:t>46-2405937</w:t>
            </w:r>
          </w:p>
        </w:tc>
        <w:tc>
          <w:tcPr>
            <w:tcW w:w="0" w:type="dxa"/>
            <w:vAlign w:val="bottom"/>
          </w:tcPr>
          <w:p>
            <w:pPr>
              <w:spacing w:after="0"/>
              <w:rPr>
                <w:sz w:val="1"/>
                <w:szCs w:val="1"/>
                <w:color w:val="auto"/>
              </w:rPr>
            </w:pPr>
          </w:p>
        </w:tc>
      </w:tr>
      <w:tr>
        <w:trPr>
          <w:trHeight w:val="158"/>
        </w:trPr>
        <w:tc>
          <w:tcPr>
            <w:tcW w:w="37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 w:type="dxa"/>
            <w:vAlign w:val="bottom"/>
          </w:tcPr>
          <w:p>
            <w:pPr>
              <w:spacing w:after="0"/>
              <w:rPr>
                <w:sz w:val="13"/>
                <w:szCs w:val="13"/>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r>
              <w:rPr>
                <w:rFonts w:ascii="Arial" w:cs="Arial" w:eastAsia="Arial" w:hAnsi="Arial"/>
                <w:sz w:val="14"/>
                <w:szCs w:val="14"/>
                <w:b w:val="1"/>
                <w:bCs w:val="1"/>
                <w:color w:val="auto"/>
              </w:rPr>
              <w:t>Commission File Number</w:t>
            </w:r>
            <w:r>
              <w:rPr>
                <w:rFonts w:ascii="Times New Roman" w:cs="Times New Roman" w:eastAsia="Times New Roman" w:hAnsi="Times New Roman"/>
                <w:sz w:val="14"/>
                <w:szCs w:val="14"/>
                <w:b w:val="1"/>
                <w:bCs w:val="1"/>
                <w:color w:val="auto"/>
              </w:rPr>
              <w:t>)</w:t>
            </w:r>
          </w:p>
        </w:tc>
        <w:tc>
          <w:tcPr>
            <w:tcW w:w="3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8"/>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7"/>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955 Perimeter Road</w:t>
            </w: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Manchester, New Hampshire</w:t>
            </w: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bottom w:val="single" w:sz="8" w:color="auto"/>
            </w:tcBorders>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03103</w:t>
            </w:r>
          </w:p>
        </w:tc>
        <w:tc>
          <w:tcPr>
            <w:tcW w:w="0" w:type="dxa"/>
            <w:vAlign w:val="bottom"/>
          </w:tcPr>
          <w:p>
            <w:pPr>
              <w:spacing w:after="0"/>
              <w:rPr>
                <w:sz w:val="1"/>
                <w:szCs w:val="1"/>
                <w:color w:val="auto"/>
              </w:rPr>
            </w:pP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(603) 626-2300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ind w:right="-79"/>
        <w:spacing w:after="0" w:line="235" w:lineRule="auto"/>
        <w:rPr>
          <w:sz w:val="20"/>
          <w:szCs w:val="20"/>
          <w:color w:val="auto"/>
        </w:rPr>
      </w:pPr>
      <w:r>
        <w:rPr>
          <w:rFonts w:ascii="Times New Roman" w:cs="Times New Roman" w:eastAsia="Times New Roman" w:hAnsi="Times New Roman"/>
          <w:sz w:val="18"/>
          <w:szCs w:val="18"/>
          <w:b w:val="1"/>
          <w:bCs w:val="1"/>
          <w:color w:val="auto"/>
        </w:rPr>
        <w:t>N/A</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98" w:lineRule="exact"/>
        <w:rPr>
          <w:sz w:val="24"/>
          <w:szCs w:val="24"/>
          <w:color w:val="auto"/>
        </w:rPr>
      </w:pPr>
    </w:p>
    <w:p>
      <w:pPr>
        <w:ind w:left="1140" w:hanging="1098"/>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1140" w:hanging="1098"/>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1140" w:hanging="1098"/>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1140" w:hanging="1098"/>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16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42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1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Trading Symbol</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04"/>
        </w:trPr>
        <w:tc>
          <w:tcPr>
            <w:tcW w:w="420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1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ALGM</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21"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52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95250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121285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8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October 27, 2022, Allegro MicroSystems, Inc. (the "Company") issued a press release announcing its financial results for the quarter ended September 23, 2022. The full text of the press release issued is furnished as Exhibit 99.1 to this Current Report on Form 8-K and is incorporated herein by reference.</w:t>
      </w:r>
    </w:p>
    <w:p>
      <w:pPr>
        <w:spacing w:after="0" w:line="2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3"/>
        </w:trPr>
        <w:tc>
          <w:tcPr>
            <w:tcW w:w="30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Exhibit 99.1</w:t>
            </w:r>
          </w:p>
        </w:tc>
        <w:tc>
          <w:tcPr>
            <w:tcW w:w="40" w:type="dxa"/>
            <w:vAlign w:val="bottom"/>
          </w:tcPr>
          <w:p>
            <w:pPr>
              <w:spacing w:after="0"/>
              <w:rPr>
                <w:sz w:val="17"/>
                <w:szCs w:val="17"/>
                <w:color w:val="auto"/>
              </w:rPr>
            </w:pPr>
          </w:p>
        </w:tc>
        <w:tc>
          <w:tcPr>
            <w:tcW w:w="528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issued by Allegro MicroSystems, Inc. on October 27, 2022</w:t>
            </w:r>
          </w:p>
        </w:tc>
        <w:tc>
          <w:tcPr>
            <w:tcW w:w="2920" w:type="dxa"/>
            <w:vAlign w:val="bottom"/>
          </w:tcPr>
          <w:p>
            <w:pPr>
              <w:spacing w:after="0"/>
              <w:rPr>
                <w:sz w:val="17"/>
                <w:szCs w:val="17"/>
                <w:color w:val="auto"/>
              </w:rPr>
            </w:pPr>
          </w:p>
        </w:tc>
      </w:tr>
      <w:tr>
        <w:trPr>
          <w:trHeight w:val="27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104</w:t>
            </w:r>
          </w:p>
        </w:tc>
        <w:tc>
          <w:tcPr>
            <w:tcW w:w="4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on Form 8-K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5" w:lineRule="exact"/>
        <w:rPr>
          <w:sz w:val="20"/>
          <w:szCs w:val="20"/>
          <w:color w:val="auto"/>
        </w:rPr>
      </w:pPr>
    </w:p>
    <w:p>
      <w:pPr>
        <w:ind w:left="40"/>
        <w:spacing w:after="0"/>
        <w:tabs>
          <w:tab w:leader="none" w:pos="1080" w:val="left"/>
          <w:tab w:leader="none" w:pos="3780" w:val="left"/>
          <w:tab w:leader="none" w:pos="52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27,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38735</wp:posOffset>
            </wp:positionV>
            <wp:extent cx="3771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Derek P. D’Antilio</w:t>
      </w:r>
    </w:p>
    <w:p>
      <w:pPr>
        <w:spacing w:after="0" w:line="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Allegro MicroSystems Reports Second Quarter 2023 Results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Achieves Record Quarter with Sales Increasing 23% and Earnings Expanding 52% Year-over-Year</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2"/>
          <w:szCs w:val="22"/>
          <w:b w:val="1"/>
          <w:bCs w:val="1"/>
          <w:i w:val="1"/>
          <w:iCs w:val="1"/>
          <w:color w:val="auto"/>
        </w:rPr>
        <w:t xml:space="preserve">Manchester, NH, October 27, 2022 – </w:t>
      </w:r>
      <w:r>
        <w:rPr>
          <w:rFonts w:ascii="Times New Roman" w:cs="Times New Roman" w:eastAsia="Times New Roman" w:hAnsi="Times New Roman"/>
          <w:sz w:val="17"/>
          <w:szCs w:val="17"/>
          <w:color w:val="auto"/>
        </w:rPr>
        <w:t>Allegro MicroSystems, Inc. (“Allegro” or the “Company”) (Nasdaq:ALGM), a global leader in power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7"/>
          <w:szCs w:val="17"/>
          <w:color w:val="auto"/>
        </w:rPr>
        <w:t>sensing semiconductor solutions for motion control and energy efficient systems, today announced financial results for its second quarter 2023 that ended September 23,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Highlights:</w:t>
      </w:r>
    </w:p>
    <w:p>
      <w:pPr>
        <w:spacing w:after="0" w:line="11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were a record $237.7 million, increasing 23%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net sales were a record $157.4 million, increasing 25%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net sales were a record $48.2 million, increasing 33%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55.5% and non-GAAP gross margin was 56.2%.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25.1% and on a non-GAAP basis was 27.9%.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earnings per share was $0.26 and non-GAAP diluted EPS was $0.31.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on acquisition of Heyday Integrated Circuits, a leader in highly integrated gate drivers for high efficiency power applications.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“Allegro achieved another record quarter, reflecting our team’s strong execution and continued robust demand for our magnetic sensor and power IC products despite cross-currents in the broader macroeconomic environment,” said Vineet Nargolwala, President and CEO of Allegro MicroSystems. “In addition to record quarters in both our automotive and industrial end markets, our strategic focus area of E-Mobility (xEV and ADAS) expanded to an all-time high of 41% of automotive sales. We also demonstrated significant operating leverage in our model that contributed to strong bottom-line growth. The markets and applications we serve are underpinned by strong secular trends that we believe will continue to expand and drive growth for Allegro in both the near-term and over the next decade. In addition to our strategic alignment with these fast-growing markets, I believe we are uniquely positioned to address an even larger opportunity to enable our customers’ transition to a more autonomous and sustainable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Summary</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Automotive net sales increased 5% sequentially and 25% year-over-year and represented 66% of net sales in the quarter. Growth in automotive sales was driven by strong demand in E-Mobility, including IC solutions for xEV Inverter and On-Board-Charging applications, which expanded to a record 41% of automotive net sales.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Industrial net sales increased 20% sequentially and 33% year-over-year to 20% of net sales in the quarter. Record industrial net sales in the quarter was primarily driven by continued momentum for the Company’s solutions in strategic end markets, including Industry 4.0, Clean Energy, EV Charging and Data Center.</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Second quarter net sales into Other markets, which includes computing, consumer and smart home, increased sequentially and year-over-year to $32.1 million, or 14% of total net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third quarter ending December 23, 2022, the Company expects total net sales to be in the range of $240 million to $250 million. Non-GAAP gross margin is expected to be approximately 56.0%, non-GAAP operating expenses are anticipated to be approximately 28% of net sales, and non-GAAP earnings per diluted share are expected to be in the range of $0.31 to $0.33.</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Allegro has not provided a reconciliation of its third fiscal quarter outlook for non-GAAP gross margin, non-GAAP operating expenses and non-GAAP earnings per diluted share because estimates of all of the reconciling items cannot be provided without unreasonable efforts. It is difficult to reasonably provide a forward-looking estimate between such forward-looking non-GAAP measures and the comparable forward-looking GAAP measures. Certain factors that are materially significant to Allegro’s ability to estimate these items are out of its control and/or cannot be reasonably predicted.</w:t>
      </w:r>
    </w:p>
    <w:p>
      <w:pPr>
        <w:sectPr>
          <w:pgSz w:w="11900" w:h="16838" w:orient="portrait"/>
          <w:cols w:equalWidth="0" w:num="1">
            <w:col w:w="11240"/>
          </w:cols>
          <w:pgMar w:left="320" w:top="122" w:right="339" w:bottom="1440" w:gutter="0" w:footer="0" w:header="0"/>
        </w:sectPr>
      </w:pPr>
    </w:p>
    <w:bookmarkStart w:id="3" w:name="page4"/>
    <w:bookmarkEnd w:id="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Webcast</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webcast will be held on Thursday, October 27, 2022 at 8:30 a.m. Eastern time. Vineet Nargolwala, President and Chief Executive Officer, and Derek D’Antilio, Chief Financial Officer, will discuss Allegro’s financial results.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webcast will be available on the Investor Relations section of the Company’s website at </w:t>
      </w:r>
      <w:r>
        <w:rPr>
          <w:rFonts w:ascii="Times New Roman" w:cs="Times New Roman" w:eastAsia="Times New Roman" w:hAnsi="Times New Roman"/>
          <w:sz w:val="18"/>
          <w:szCs w:val="18"/>
          <w:color w:val="0563C1"/>
        </w:rPr>
        <w:t>investors.allegromicro.com</w:t>
      </w:r>
      <w:r>
        <w:rPr>
          <w:rFonts w:ascii="Times New Roman" w:cs="Times New Roman" w:eastAsia="Times New Roman" w:hAnsi="Times New Roman"/>
          <w:sz w:val="18"/>
          <w:szCs w:val="18"/>
          <w:color w:val="auto"/>
        </w:rPr>
        <w:t>. A recording of the webcast will be posted in the same location shortly after the call concludes and will be available for at least 30 days.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Allegro MicroSystems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Allegro MicroSystems is a leading global designer, developer, fabless manufacturer and marketer of sensor integrated circuits (“ICs”) and application-specific analog power ICs enabling emerging technologies in the automotive and industrial markets. Allegro’s diverse product portfolio provides efficient and reliable solutions for the electrification of vehicles, automotive ADAS safety features, automation for Industry 4.0 and power saving technologies for data centers and green energy applications.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expected financial performance for our third fiscal quarter ending December 23, 2022. In some cases, you can identify forward-looking statements by terms such as “anticipate,” “believe,” “could,” “expect,” “should,” “plan,” “intend,” “estimate,” “target,” “mission,” “may,” “will,” “would,” “project,” “predict,” “contemplate,” “potential,” or the negative thereof and similar words and expressions.</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various important factors, including, but not limited to: downturns or volatility in general economic conditions, including as a result of the COVID-19 pandemic, particularly in the automotive market; our ability to compete effectively, expand our market share and increase our net sales and profitability; our reliance on a limited number of third-party wafer fabrication facilities and suppliers of other materials; our failure to adjust purchase commitments, supply chain volume and inventory management based on changing market conditions or customer demand; shifts in our product mix or customer mix, which could negatively impact our gross margin; the cyclical nature of the analog semiconductor industry; our ability to compensate for decreases in average selling prices of our products and increases in input costs; increases in inflation rates or sustained periods of inflation in the markets in which we operate; any disruptions at our primary third-party wafer fabrication facilities; our ability to manage any sustained yield problems or other delays at our third-party wafer fabrication facilities or in the final assembly and test of our products; our ability to fully realize the benefits of past and potential future initiatives designed to improve our competitiveness, growth and profitability; our ability to accurately predict our quarterly net sales and operating results; our dependence on manufacturing operations in the Philippines; our reliance on distributors to generate sales; COVID-19 induced lock-downs and suppression on our supply chain and customer demand; our ability to develop new product features or new products in a timely and cost-effective manner; our ability to manage growth; any slowdown in the growth of our end markets; the loss of one or more significant customers; our ability to meet customers’ quality requirements; uncertainties related to the design win process and our ability to recover design and development expenses and to generate timely or sufficient net sales or margins; changes in government trade policies, including the imposition of tariffs and export restrictions; our exposures to warranty claims, product liability claims and product recalls; our dependence on international customers and operations; the availability of rebates, tax credits and other financial incentives on end-user demands for certain products; risks related to governmental regulation and other legal obligations, including privacy, data protection, information security, consumer protection, environmental and occupational health and safety, anti-corruption and anti-bribery, and trade controls; the volatility of currency exchange rates; our indebtedness may limit our flexibility to operate our business; our ability to retain key and highly skilled personnel; our ability to protect our proprietary technology and inventions through patents or trade secrets; our ability to commercialize our products without infringing third-party intellectual property rights; disruptions or breaches of our information technology systems or those of our third-party service providers; our principal stockholders have substantial control over us; the inapplicability of the “corporate opportunity” doctrine to any director or stockholder who is not employed by us; the dilutive impact on the price of our shares upon future</w:t>
      </w:r>
    </w:p>
    <w:p>
      <w:pPr>
        <w:sectPr>
          <w:pgSz w:w="11900" w:h="16838" w:orient="portrait"/>
          <w:cols w:equalWidth="0" w:num="1">
            <w:col w:w="11240"/>
          </w:cols>
          <w:pgMar w:left="320" w:top="1440" w:right="339" w:bottom="1440" w:gutter="0" w:footer="0" w:header="0"/>
        </w:sectPr>
      </w:pPr>
    </w:p>
    <w:bookmarkStart w:id="4" w:name="page5"/>
    <w:bookmarkEnd w:id="4"/>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issuance by us or future sales by our stockholders; our lack of intent to declare or pay dividends for the foreseeable future; anti-takeover provisions in our organizational documents and under the General Corporation Law of the State of Delaware; the exclusive forum provision in our Certificate of Incorporation for disputes with stockholders; our inability to design, implement or maintain effective internal control over financial reporting; changes in tax rates or the adoption of new tax legislation; and other important factors discussed under the caption “Risk Factors” in our Annual Report on Form 10-K filed with the Securities and Exchange Commission (“SEC”) on May 18, 2022, as amended by Amendment No. 1 on Form 10-K/A filed with the SEC on August 29, 2022, as any such factors may be updated from time to time in our other filings with the SEC, which are accessible on the SEC’s website at </w:t>
      </w:r>
      <w:r>
        <w:rPr>
          <w:rFonts w:ascii="Times New Roman" w:cs="Times New Roman" w:eastAsia="Times New Roman" w:hAnsi="Times New Roman"/>
          <w:sz w:val="18"/>
          <w:szCs w:val="18"/>
          <w:i w:val="1"/>
          <w:iCs w:val="1"/>
          <w:color w:val="026DCE"/>
        </w:rPr>
        <w:t xml:space="preserve">www.sec.gov </w:t>
      </w:r>
      <w:r>
        <w:rPr>
          <w:rFonts w:ascii="Times New Roman" w:cs="Times New Roman" w:eastAsia="Times New Roman" w:hAnsi="Times New Roman"/>
          <w:sz w:val="18"/>
          <w:szCs w:val="18"/>
          <w:color w:val="000000"/>
        </w:rPr>
        <w:t>and the Investors Relations page of our website at</w:t>
      </w:r>
      <w:r>
        <w:rPr>
          <w:rFonts w:ascii="Times New Roman" w:cs="Times New Roman" w:eastAsia="Times New Roman" w:hAnsi="Times New Roman"/>
          <w:sz w:val="18"/>
          <w:szCs w:val="18"/>
          <w:i w:val="1"/>
          <w:iCs w:val="1"/>
          <w:color w:val="026DCE"/>
        </w:rPr>
        <w:t xml:space="preserve"> investors.allegromicro.com</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60" w:type="dxa"/>
            <w:vAlign w:val="bottom"/>
          </w:tcPr>
          <w:p>
            <w:pPr>
              <w:spacing w:after="0"/>
              <w:rPr>
                <w:sz w:val="16"/>
                <w:szCs w:val="16"/>
                <w:color w:val="auto"/>
              </w:rPr>
            </w:pPr>
          </w:p>
        </w:tc>
        <w:tc>
          <w:tcPr>
            <w:tcW w:w="26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5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309,134</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to related party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72,618</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381,752</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185,060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59,144</w:t>
            </w: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Allegro MicroSystems, Inc. per share: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191,284,631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189,673,788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190,959,616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189,629,535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6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192,639,576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191,676,422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192,654,097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191,416,250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 of Total Net Sales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net sales by market within the Company’s unaudited consolidated statements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220" w:type="dxa"/>
            <w:vAlign w:val="bottom"/>
          </w:tcPr>
          <w:p>
            <w:pPr>
              <w:spacing w:after="0"/>
              <w:rPr>
                <w:sz w:val="16"/>
                <w:szCs w:val="16"/>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180" w:type="dxa"/>
            <w:vAlign w:val="bottom"/>
          </w:tcPr>
          <w:p>
            <w:pPr>
              <w:spacing w:after="0"/>
              <w:rPr>
                <w:sz w:val="16"/>
                <w:szCs w:val="16"/>
                <w:color w:val="auto"/>
              </w:rPr>
            </w:pP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47,493</w:t>
            </w: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3"/>
        </w:trPr>
        <w:tc>
          <w:tcPr>
            <w:tcW w:w="1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455,419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73,667</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 of Stock-Based Compensation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unaudited consolidated statements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6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23,</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23,</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21"/>
        </w:trPr>
        <w:tc>
          <w:tcPr>
            <w:tcW w:w="56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38"/>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436"/>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38"/>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36"/>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 of Acquisition Related Intangible Amortization Costs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intangible amortization expense related to its acquisitions of Heyday and Voxtel in the following expense categories of its unaudited consolidated statements of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60" w:type="dxa"/>
            <w:vAlign w:val="bottom"/>
          </w:tcPr>
          <w:p>
            <w:pPr>
              <w:spacing w:after="0"/>
              <w:rPr>
                <w:sz w:val="16"/>
                <w:szCs w:val="16"/>
                <w:color w:val="auto"/>
              </w:rPr>
            </w:pPr>
          </w:p>
        </w:tc>
        <w:tc>
          <w:tcPr>
            <w:tcW w:w="260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23,</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23,</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22"/>
        </w:trPr>
        <w:tc>
          <w:tcPr>
            <w:tcW w:w="56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ind w:left="360"/>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437"/>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39"/>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37"/>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25,</w:t>
            </w:r>
          </w:p>
        </w:tc>
      </w:tr>
      <w:tr>
        <w:trPr>
          <w:trHeight w:val="195"/>
        </w:trPr>
        <w:tc>
          <w:tcPr>
            <w:tcW w:w="8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0"/>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293,588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282,383</w:t>
            </w:r>
          </w:p>
        </w:tc>
      </w:tr>
      <w:tr>
        <w:trPr>
          <w:trHeight w:val="229"/>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r>
      <w:tr>
        <w:trPr>
          <w:trHeight w:val="176"/>
        </w:trPr>
        <w:tc>
          <w:tcPr>
            <w:tcW w:w="866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provision for expected credit losses of $189 and $105 at September 23, 2022 and</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March 25, 2022, respectively</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87,359</w:t>
            </w:r>
          </w:p>
        </w:tc>
      </w:tr>
      <w:tr>
        <w:trPr>
          <w:trHeight w:val="270"/>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and other accounts receivable due from related party</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w:t>
            </w:r>
          </w:p>
        </w:tc>
      </w:tr>
      <w:tr>
        <w:trPr>
          <w:trHeight w:val="257"/>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29"/>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86,160</w:t>
            </w:r>
          </w:p>
        </w:tc>
      </w:tr>
      <w:tr>
        <w:trPr>
          <w:trHeight w:val="230"/>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w:t>
            </w:r>
          </w:p>
        </w:tc>
      </w:tr>
      <w:tr>
        <w:trPr>
          <w:trHeight w:val="229"/>
        </w:trPr>
        <w:tc>
          <w:tcPr>
            <w:tcW w:w="8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related party note receivable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3"/>
        </w:trPr>
        <w:tc>
          <w:tcPr>
            <w:tcW w:w="8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511,692</w:t>
            </w:r>
          </w:p>
        </w:tc>
      </w:tr>
      <w:tr>
        <w:trPr>
          <w:trHeight w:val="229"/>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210,028</w:t>
            </w:r>
          </w:p>
        </w:tc>
      </w:tr>
      <w:tr>
        <w:trPr>
          <w:trHeight w:val="229"/>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w:t>
            </w:r>
          </w:p>
        </w:tc>
      </w:tr>
      <w:tr>
        <w:trPr>
          <w:trHeight w:val="230"/>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17,967</w:t>
            </w:r>
          </w:p>
        </w:tc>
      </w:tr>
      <w:tr>
        <w:trPr>
          <w:trHeight w:val="229"/>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20,009</w:t>
            </w:r>
          </w:p>
        </w:tc>
      </w:tr>
      <w:tr>
        <w:trPr>
          <w:trHeight w:val="230"/>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r>
      <w:tr>
        <w:trPr>
          <w:trHeight w:val="230"/>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29"/>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investment in related party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w:t>
            </w:r>
          </w:p>
        </w:tc>
      </w:tr>
      <w:tr>
        <w:trPr>
          <w:trHeight w:val="230"/>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47,609</w:t>
            </w:r>
          </w:p>
        </w:tc>
      </w:tr>
      <w:tr>
        <w:trPr>
          <w:trHeight w:val="223"/>
        </w:trPr>
        <w:tc>
          <w:tcPr>
            <w:tcW w:w="8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979,802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892,620</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8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Non-Controlling Interest and Stockholders' Equity</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29,836</w:t>
            </w:r>
          </w:p>
        </w:tc>
      </w:tr>
      <w:tr>
        <w:trPr>
          <w:trHeight w:val="230"/>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30"/>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65,459</w:t>
            </w:r>
          </w:p>
        </w:tc>
      </w:tr>
      <w:tr>
        <w:trPr>
          <w:trHeight w:val="230"/>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229"/>
        </w:trPr>
        <w:tc>
          <w:tcPr>
            <w:tcW w:w="8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104,223</w:t>
            </w:r>
          </w:p>
        </w:tc>
      </w:tr>
      <w:tr>
        <w:trPr>
          <w:trHeight w:val="230"/>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 due under Senior Secured Credit Facilities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r>
      <w:tr>
        <w:trPr>
          <w:trHeight w:val="230"/>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r>
      <w:tr>
        <w:trPr>
          <w:trHeight w:val="223"/>
        </w:trPr>
        <w:tc>
          <w:tcPr>
            <w:tcW w:w="8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157,257</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5"/>
        </w:trPr>
        <w:tc>
          <w:tcPr>
            <w:tcW w:w="866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20,000,000 shares authorized, no shares issued or outstanding at September 23,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 and March 25, 2022</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66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1,000,000,000 shares authorized, 191,308,141 shares issued and outstanding at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September 23, 2022; 1,000,000,000 shares authorized, 190,473,595 issued and outstanding at March 25, 2022</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9"/>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627,792</w:t>
            </w:r>
          </w:p>
        </w:tc>
      </w:tr>
      <w:tr>
        <w:trPr>
          <w:trHeight w:val="230"/>
        </w:trPr>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122,958</w:t>
            </w:r>
          </w:p>
        </w:tc>
      </w:tr>
      <w:tr>
        <w:trPr>
          <w:trHeight w:val="229"/>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r>
      <w:tr>
        <w:trPr>
          <w:trHeight w:val="223"/>
        </w:trPr>
        <w:tc>
          <w:tcPr>
            <w:tcW w:w="8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Equity attributable to Allegro MicroSystems, Inc.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734,207</w:t>
            </w:r>
          </w:p>
        </w:tc>
      </w:tr>
      <w:tr>
        <w:trPr>
          <w:trHeight w:val="230"/>
        </w:trPr>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23"/>
        </w:trPr>
        <w:tc>
          <w:tcPr>
            <w:tcW w:w="86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735,363</w:t>
            </w:r>
          </w:p>
        </w:tc>
      </w:tr>
      <w:tr>
        <w:trPr>
          <w:trHeight w:val="248"/>
        </w:trPr>
        <w:tc>
          <w:tcPr>
            <w:tcW w:w="86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non-controlling interest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892,620</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440" w:right="359" w:bottom="1440" w:gutter="0" w:footer="0" w:header="0"/>
        </w:sectPr>
      </w:pPr>
    </w:p>
    <w:bookmarkStart w:id="7" w:name="page8"/>
    <w:bookmarkEnd w:id="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200" w:type="dxa"/>
            <w:vAlign w:val="bottom"/>
          </w:tcPr>
          <w:p>
            <w:pPr>
              <w:spacing w:after="0"/>
              <w:rPr>
                <w:sz w:val="11"/>
                <w:szCs w:val="11"/>
                <w:color w:val="auto"/>
              </w:rPr>
            </w:pPr>
          </w:p>
        </w:tc>
        <w:tc>
          <w:tcPr>
            <w:tcW w:w="126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0" w:type="dxa"/>
            <w:vAlign w:val="bottom"/>
          </w:tcPr>
          <w:p>
            <w:pPr>
              <w:spacing w:after="0"/>
              <w:rPr>
                <w:sz w:val="1"/>
                <w:szCs w:val="1"/>
                <w:color w:val="auto"/>
              </w:rPr>
            </w:pPr>
          </w:p>
        </w:tc>
      </w:tr>
      <w:tr>
        <w:trPr>
          <w:trHeight w:val="19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w:t>
            </w:r>
          </w:p>
        </w:tc>
        <w:tc>
          <w:tcPr>
            <w:tcW w:w="0" w:type="dxa"/>
            <w:vAlign w:val="bottom"/>
          </w:tcPr>
          <w:p>
            <w:pPr>
              <w:spacing w:after="0"/>
              <w:rPr>
                <w:sz w:val="1"/>
                <w:szCs w:val="1"/>
                <w:color w:val="auto"/>
              </w:rPr>
            </w:pPr>
          </w:p>
        </w:tc>
      </w:tr>
      <w:tr>
        <w:trPr>
          <w:trHeight w:val="21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Provisions for inventory and receivables reserves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Unrealized loss (gain) on marketable securities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0" w:type="dxa"/>
            <w:vAlign w:val="bottom"/>
          </w:tcPr>
          <w:p>
            <w:pPr>
              <w:spacing w:after="0"/>
              <w:rPr>
                <w:sz w:val="1"/>
                <w:szCs w:val="1"/>
                <w:color w:val="auto"/>
              </w:rPr>
            </w:pPr>
          </w:p>
        </w:tc>
      </w:tr>
      <w:tr>
        <w:trPr>
          <w:trHeight w:val="213"/>
        </w:trPr>
        <w:tc>
          <w:tcPr>
            <w:tcW w:w="82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receivable - other</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0" w:type="dxa"/>
            <w:vAlign w:val="bottom"/>
          </w:tcPr>
          <w:p>
            <w:pPr>
              <w:spacing w:after="0"/>
              <w:rPr>
                <w:sz w:val="1"/>
                <w:szCs w:val="1"/>
                <w:color w:val="auto"/>
              </w:rPr>
            </w:pPr>
          </w:p>
        </w:tc>
      </w:tr>
      <w:tr>
        <w:trPr>
          <w:trHeight w:val="213"/>
        </w:trPr>
        <w:tc>
          <w:tcPr>
            <w:tcW w:w="82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Trade accounts payable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0" w:type="dxa"/>
            <w:vAlign w:val="bottom"/>
          </w:tcPr>
          <w:p>
            <w:pPr>
              <w:spacing w:after="0"/>
              <w:rPr>
                <w:sz w:val="1"/>
                <w:szCs w:val="1"/>
                <w:color w:val="auto"/>
              </w:rPr>
            </w:pPr>
          </w:p>
        </w:tc>
      </w:tr>
      <w:tr>
        <w:trPr>
          <w:trHeight w:val="213"/>
        </w:trPr>
        <w:tc>
          <w:tcPr>
            <w:tcW w:w="82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Due to/from related parties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Accrued expenses and other current and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(17,192)</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69,876</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(55,649)</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(23,297)</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made to related party</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Receipts on related party notes receivable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07"/>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51,809</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303,282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255,684</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197,214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Restricted cash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248,579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Restricted cash at end of period</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255,684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Property, plant and equipment purchases included in trade 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lease liabilities arising from obtaining right-of-use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1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regularly review other measures, defined as non-GAAP financial measures by the SEC, to evaluate our business, measure our performance, identify trends, prepare financial forecasts and make strategic decisions. The key measures we consider are non-GAAP Gross Profit, non-GAAP Gross Margin, non-GAAP Operating Expenses, non-GAAP Operating Income, non-GAAP Operating Margin, non-GAAP Profit before Tax, non-GAAP Provision for Income Tax, non-GAAP Net Income, non-GAAP Net Income per Share, EBITDA, Adjusted EBITDA and Adjusted EBITDA margin (collectively, the “Non-GAAP Financial Measures”). These Non-GAAP Financial Measures provide supplemental information regarding our operating performance on a non-GAAP basis that excludes certain gains, losses and charges of a non-cash nature or that occur relatively infrequently and/or that management considers to be unrelated to our core operations, and in the case of non-GAAP Provision for Income Tax, management believes that this non-GAAP measure of income taxes provides it with the ability to evaluate the non-GAAP Provision for Income Taxes across different reporting periods on a consistent basis, independent of special items and discrete items, which may vary in size and frequency. By presenting these Non-GAAP Financial Measures, we provide a basis for comparison of our business operations between periods by excluding items that we do not believe are indicative of our core operating performance, and we believe that investors’ understanding of our performance is enhanced by our presenting these Non-GAAP Financial Measures, as they provide a reasonable basis for comparing our ongoing results of operations. Management believes that tracking and presenting these Non-GAAP Financial Measures provides management and the investment community with valuable insight into matters such as: our ongoing core operations, our ability to generate cash to service our debt and fund our operations; and the underlying business trends that are affecting our performance. These Non-GAAP Financial Measures are used by both management and our board of directors, together with the comparable GAAP information, in evaluating our current performance and planning our future business activities. In particular, management finds it useful to exclude non-cash charges in order to better correlate our operating activities with our ability to generate cash from operations and to exclude certain cash charges as a means of more accurately predicting our liquidity requirements. We believe that these Non-GAAP Financial Measures, when used in conjunction with our GAAP financial information, also allow investors to better evaluate our financial performance in comparison to other periods and to other companies in our industry.</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Non-GAAP Financial Measures have significant limitations as analytical tools. Some of these limitations are that:</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exclude certain costs which are important in analyzing our GAAP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the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measures do not reflect any cash requirements for such replacements;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thereby further limiting their usefulness as comparative measures.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supplemental measures of our performance that are neither required by, nor presented in accordance with, GAAP. These Non-GAAP Financial Measures should not be considered as substitutes for GAAP financial measures such as gross profit, gross margin, net income or any other performance measures derived in accordance with GAAP. Also, in the future we may incur expenses or charges such as those being adjusted in the calculation of these Non-GAAP Financial Measures. Our presentation of these Non-GAAP Financial Measures should not be construed as an inference that future results will be unaffected by unusual or nonrecurring items.</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calculate non-GAAP Gross Profit and non-GAAP Gross Margin excluding the items below from cost of goods sold in applicable periods, and we calculate non-GAAP Gross Margin as non-GAAP Gross Profit divided by total net sales.</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Voxtel inventory impairment—Represents costs related to the discontinuation of one of our product lines manufactured by Voxtel.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compensation—Represents non-cash expenses arising from the grant of stock-based awards. A significant portion of the cost included in fiscal year 2023 related to retirement of the former CEO.</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AMTC Facility consolidation one-time costs—Represents one-time costs incurred in connection with closing of the AMTC Facility and transitioning of test and assembly functions to the AMPI Facility announced in fiscal year 2020, consisting of: moving equipment between facilities, contract terminations and other non-recurring charges. The closure and transition of the AMTC Facility was substantially completed as of the end of March 2021, and we sold the AMTC Facility in August 2021.</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acquisition-related intangible assets—Represents non-cash expenses associated with the amortization of intangible assets in connection with the acquisition of Voxtel, which closed in August 2020 and Heyday Integrated Circuits (“Heyday”), which closed in September 2022.</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related expenses—Represents expenses attributable to the COVID-19 pandemic primarily related to increased purchases of masks, gloves and other protective materials, and overtime premium compensation paid for maintaining 24-hour service at the AMPI Facility through fiscal year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non-GAAP Operating Income and non-GAAP Operating Margin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non-GAAP Operating Expenses and non-GAAP Operating Income excluding the same items excluded above to the extent they are classified as operating expenses, and also excluding the items below in applicable periods. We calculate non-GAAP Operating Margin as non-GAAP Operating Income divided by total net sales.</w:t>
      </w:r>
    </w:p>
    <w:p>
      <w:pPr>
        <w:spacing w:after="0" w:line="68"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fees—Represents transaction-related legal and consulting fees incurred primarily in connection with (i) one-time transaction-related legal, consulting and registration fees related to a secondary offering on behalf of certain stockholders in fiscal 2022, (ii) one-time transaction-related legal and consulting fees in fiscal 2023 and 2022 not related to (i), and (iii) the acquisition of Heyday.</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Severance—Represents severance costs associated with (i) the closing of the AMTC Facility and the transitioning of test and assembly functions to the AMPI Facility announced and initiated in fiscal year 2020, (ii) costs related to the discontinuation of one of our product lines manufactured by Voxtel in fiscal year 2022, and (iii) nonrecurring separation costs related to the departures of executive officers in fiscal years 2023 and 2022.</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contingent consideration—Represents the change in fair value of contingent consideration payable in connection with the acquisition of Voxtel.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and Adjusted EBITDA Margin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EBITDA as net income minus interest income (expense), tax provision (benefit), and depreciation and amortization expenses. We calculate Adjusted EBITDA as EBITDA excluding the same items excluded above and also excluding the items below in applicable periods. We calculate Adjusted EBITDA Margin as Adjusted EBITDA divided by total net sales.</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loss (gain) on sale of equipment—Represents non-core miscellaneous losses and gains on the sale of equipment.</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(gain) loss—Represents losses and gains resulting from the remeasurement and settlement of intercompany debt and operational transactions, as well as transactions with external customers or vendors denominated in currencies other than the functional currency of the legal entity in which the transaction is recorded.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income in earnings of equity investment—Represents our equity method investment in Polar Semiconductor, LLC (“PSL”).</w:t>
      </w:r>
    </w:p>
    <w:p>
      <w:pPr>
        <w:sectPr>
          <w:pgSz w:w="11900" w:h="16838" w:orient="portrait"/>
          <w:cols w:equalWidth="0" w:num="1">
            <w:col w:w="11240"/>
          </w:cols>
          <w:pgMar w:left="320" w:top="1413" w:right="339" w:bottom="1440" w:gutter="0" w:footer="0" w:header="0"/>
        </w:sectPr>
      </w:pPr>
    </w:p>
    <w:bookmarkStart w:id="10" w:name="page11"/>
    <w:bookmarkEnd w:id="10"/>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 loss on investments—Represents mark-to-market adjustments on equity investments with readily determinable fair values.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Profit before Tax, Non-GAAP Net Income, and Non-GAAP Basic and Diluted Earnings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non-GAAP Profit before Tax as Income before Income Taxes excluding the same items excluded above and also excluding the item below in applicable periods. We calculate non-GAAP Net Income as Net Income excluding the same items excluded above and also excluding the item below in applicable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Provision for Income Tax</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calculating non-GAAP Provision for Income Tax, we have added back the following to GAAP Income Tax Provision:</w:t>
      </w:r>
    </w:p>
    <w:p>
      <w:pPr>
        <w:spacing w:after="0" w:line="117"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adjustments to GAAP results—Represents the estimated income tax effect of the adjustments to non-GAAP Profit Before Tax described above and elimination of discrete tax adjustments.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95"/>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Gross Profit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6"/>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132,022</w:t>
            </w:r>
          </w:p>
        </w:tc>
        <w:tc>
          <w:tcPr>
            <w:tcW w:w="5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118,374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102,532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250,396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196,692</w:t>
            </w:r>
          </w:p>
        </w:tc>
      </w:tr>
      <w:tr>
        <w:trPr>
          <w:trHeight w:val="257"/>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3,106</w:t>
            </w:r>
          </w:p>
        </w:tc>
      </w:tr>
      <w:tr>
        <w:trPr>
          <w:trHeight w:val="229"/>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546</w:t>
            </w:r>
          </w:p>
        </w:tc>
      </w:tr>
      <w:tr>
        <w:trPr>
          <w:trHeight w:val="230"/>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659</w:t>
            </w:r>
          </w:p>
        </w:tc>
      </w:tr>
      <w:tr>
        <w:trPr>
          <w:trHeight w:val="22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1,105</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1,589</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2,607</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5,705</w:t>
            </w:r>
          </w:p>
        </w:tc>
      </w:tr>
      <w:tr>
        <w:trPr>
          <w:trHeight w:val="257"/>
        </w:trPr>
        <w:tc>
          <w:tcPr>
            <w:tcW w:w="4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119,479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104,121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253,003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202,397</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53.0%</w:t>
            </w:r>
          </w:p>
        </w:tc>
      </w:tr>
    </w:tbl>
    <w:p>
      <w:pPr>
        <w:sectPr>
          <w:pgSz w:w="11900" w:h="16838" w:orient="portrait"/>
          <w:cols w:equalWidth="0" w:num="1">
            <w:col w:w="11240"/>
          </w:cols>
          <w:pgMar w:left="320" w:top="1417" w:right="339" w:bottom="1440" w:gutter="0" w:footer="0" w:header="0"/>
        </w:sectPr>
      </w:pPr>
    </w:p>
    <w:bookmarkStart w:id="11" w:name="page12"/>
    <w:bookmarkEnd w:id="11"/>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6"/>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Operating Expenses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125,896</w:t>
            </w: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 Expenses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59,144</w:t>
            </w:r>
          </w:p>
        </w:tc>
      </w:tr>
      <w:tr>
        <w:trPr>
          <w:trHeight w:val="223"/>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COVID-19 related expenses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Transaction fees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57,333</w:t>
            </w:r>
          </w:p>
        </w:tc>
      </w:tr>
      <w:tr>
        <w:trPr>
          <w:trHeight w:val="237"/>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GAAP Selling, General and Administrative Expenses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109,097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66,152</w:t>
            </w:r>
          </w:p>
        </w:tc>
      </w:tr>
      <w:tr>
        <w:trPr>
          <w:trHeight w:val="223"/>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COVID-19 related expenses</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fees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Severance</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Selling, General and Administrative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56,521</w:t>
            </w:r>
          </w:p>
        </w:tc>
      </w:tr>
      <w:tr>
        <w:trPr>
          <w:trHeight w:val="237"/>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56"/>
        </w:trPr>
        <w:tc>
          <w:tcPr>
            <w:tcW w:w="47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3"/>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12,042</w:t>
            </w:r>
          </w:p>
        </w:tc>
      </w:tr>
      <w:tr>
        <w:trPr>
          <w:trHeight w:val="257"/>
        </w:trPr>
        <w:tc>
          <w:tcPr>
            <w:tcW w:w="47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3"/>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64,430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131,657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113,854</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95"/>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Operating Income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6"/>
        </w:trPr>
        <w:tc>
          <w:tcPr>
            <w:tcW w:w="4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59,838</w:t>
            </w:r>
          </w:p>
        </w:tc>
        <w:tc>
          <w:tcPr>
            <w:tcW w:w="5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14,737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38,554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74,575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70,796</w:t>
            </w:r>
          </w:p>
        </w:tc>
      </w:tr>
      <w:tr>
        <w:trPr>
          <w:trHeight w:val="257"/>
        </w:trPr>
        <w:tc>
          <w:tcPr>
            <w:tcW w:w="4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3,106</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34,136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42,340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11,027</w:t>
            </w: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1,605</w:t>
            </w:r>
          </w:p>
        </w:tc>
      </w:tr>
      <w:tr>
        <w:trPr>
          <w:trHeight w:val="230"/>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6,459</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40,312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8,095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46,771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17,747</w:t>
            </w:r>
          </w:p>
        </w:tc>
      </w:tr>
      <w:tr>
        <w:trPr>
          <w:trHeight w:val="257"/>
        </w:trPr>
        <w:tc>
          <w:tcPr>
            <w:tcW w:w="4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3"/>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66,297</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55,049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46,649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121,346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88,543</w:t>
            </w:r>
          </w:p>
        </w:tc>
      </w:tr>
      <w:tr>
        <w:trPr>
          <w:trHeight w:val="232"/>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Margin (% of net sales)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23.2%</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95"/>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6"/>
        </w:trPr>
        <w:tc>
          <w:tcPr>
            <w:tcW w:w="4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50,648</w:t>
            </w:r>
          </w:p>
        </w:tc>
        <w:tc>
          <w:tcPr>
            <w:tcW w:w="5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10,283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33,223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60,931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60,930</w:t>
            </w:r>
          </w:p>
        </w:tc>
      </w:tr>
      <w:tr>
        <w:trPr>
          <w:trHeight w:val="257"/>
        </w:trPr>
        <w:tc>
          <w:tcPr>
            <w:tcW w:w="4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1,654</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10,406</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24,511</w:t>
            </w:r>
          </w:p>
        </w:tc>
      </w:tr>
      <w:tr>
        <w:trPr>
          <w:trHeight w:val="223"/>
        </w:trPr>
        <w:tc>
          <w:tcPr>
            <w:tcW w:w="4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71,357</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24,286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52,855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95,643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97,342</w:t>
            </w:r>
          </w:p>
        </w:tc>
      </w:tr>
      <w:tr>
        <w:trPr>
          <w:trHeight w:val="236"/>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Non-core loss (gain) on sale of equipment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3,106</w:t>
            </w: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11,027</w:t>
            </w: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1,605</w:t>
            </w: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4,186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4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78,403</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66,726</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58,959</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145,129</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112,736</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 (% of net sales)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29.5%</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9"/>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95"/>
        </w:trPr>
        <w:tc>
          <w:tcPr>
            <w:tcW w:w="4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Profit before Tax</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6"/>
        </w:trPr>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Income before Tax Provision</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12,248</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71,336</w:t>
            </w:r>
          </w:p>
        </w:tc>
      </w:tr>
      <w:tr>
        <w:trPr>
          <w:trHeight w:val="257"/>
        </w:trPr>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Non-core loss (gain) on sale of equipment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w:t>
            </w: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7,447</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15,985</w:t>
            </w:r>
          </w:p>
        </w:tc>
      </w:tr>
      <w:tr>
        <w:trPr>
          <w:trHeight w:val="257"/>
        </w:trPr>
        <w:tc>
          <w:tcPr>
            <w:tcW w:w="4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3"/>
        </w:trPr>
        <w:tc>
          <w:tcPr>
            <w:tcW w:w="46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Profit before Tax</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66,533</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54,983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87,321</w:t>
            </w:r>
          </w:p>
        </w:tc>
      </w:tr>
      <w:tr>
        <w:trPr>
          <w:trHeight w:val="645"/>
        </w:trPr>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9"/>
          </w:tcPr>
          <w:p>
            <w:pPr>
              <w:jc w:val="center"/>
              <w:ind w:left="834"/>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29"/>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June 24,</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96"/>
        </w:trPr>
        <w:tc>
          <w:tcPr>
            <w:tcW w:w="4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6"/>
        </w:trPr>
        <w:tc>
          <w:tcPr>
            <w:tcW w:w="4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Provision for Income Taxes</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6"/>
        </w:trPr>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GAAP Income Tax Provision</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8,438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1,965</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6,143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10,403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10,406</w:t>
            </w:r>
          </w:p>
        </w:tc>
      </w:tr>
      <w:tr>
        <w:trPr>
          <w:trHeight w:val="230"/>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GAAP effective tax rate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w:t>
            </w:r>
          </w:p>
        </w:tc>
      </w:tr>
      <w:tr>
        <w:trPr>
          <w:trHeight w:val="257"/>
        </w:trPr>
        <w:tc>
          <w:tcPr>
            <w:tcW w:w="4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effect of adjustments to GAAP results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4,237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3,037</w:t>
            </w:r>
          </w:p>
        </w:tc>
      </w:tr>
      <w:tr>
        <w:trPr>
          <w:trHeight w:val="257"/>
        </w:trPr>
        <w:tc>
          <w:tcPr>
            <w:tcW w:w="462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Provision for Income Taxes</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6,775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7,865</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7,089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14,640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13,443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Non-GAAP effective tax rate</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Six-Month Period Ended</w:t>
            </w:r>
          </w:p>
        </w:tc>
      </w:tr>
      <w:tr>
        <w:trPr>
          <w:trHeight w:val="23"/>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23,</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24,</w:t>
            </w:r>
          </w:p>
        </w:tc>
      </w:tr>
      <w:tr>
        <w:trPr>
          <w:trHeight w:val="195"/>
        </w:trPr>
        <w:tc>
          <w:tcPr>
            <w:tcW w:w="4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Net Income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6"/>
        </w:trPr>
        <w:tc>
          <w:tcPr>
            <w:tcW w:w="4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33,223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60,930</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Basic Earnings per Share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GAAP 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7"/>
        </w:trPr>
        <w:tc>
          <w:tcPr>
            <w:tcW w:w="4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r>
      <w:tr>
        <w:trPr>
          <w:trHeight w:val="229"/>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Non-core loss (gain) on sale of equipment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r>
      <w:tr>
        <w:trPr>
          <w:trHeight w:val="229"/>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effect of adjustments to GAAP results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57"/>
        </w:trPr>
        <w:tc>
          <w:tcPr>
            <w:tcW w:w="46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73,878</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191,284,631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190,638,135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189,673,788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190,959,616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189,629,535</w:t>
            </w: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192,639,576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192,406,276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191,676,422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192,654,097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191,416,250</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Basic Earnings per Share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 D’Antilio</w:t>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(603) 626-2300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ddantilio@allegromicro.com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2022-10-27T07:00:22Z</dcterms:created>
  <dcterms:modified xsi:type="dcterms:W3CDTF">2022-10-27T07:00:22Z</dcterms:modified>
</cp:coreProperties>
</file>