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700405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6" w:lineRule="auto"/>
        <w:rPr>
          <w:sz w:val="20"/>
          <w:szCs w:val="20"/>
          <w:color w:val="auto"/>
        </w:rPr>
      </w:pPr>
      <w:r>
        <w:rPr>
          <w:rFonts w:ascii="Times New Roman" w:cs="Times New Roman" w:eastAsia="Times New Roman" w:hAnsi="Times New Roman"/>
          <w:sz w:val="14"/>
          <w:szCs w:val="14"/>
          <w:b w:val="1"/>
          <w:bCs w:val="1"/>
          <w:color w:val="auto"/>
        </w:rPr>
        <w:t>(Mark One)</w:t>
      </w:r>
    </w:p>
    <w:p>
      <w:pPr>
        <w:ind w:left="4220" w:right="2920" w:hanging="4200"/>
        <w:spacing w:after="0" w:line="348" w:lineRule="auto"/>
        <w:tabs>
          <w:tab w:leader="none" w:pos="47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March 27, 2026</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97" w:lineRule="exact"/>
        <w:rPr>
          <w:sz w:val="24"/>
          <w:szCs w:val="24"/>
          <w:color w:val="auto"/>
        </w:rPr>
      </w:pPr>
    </w:p>
    <w:p>
      <w:pPr>
        <w:ind w:left="3240" w:right="2580" w:hanging="3220"/>
        <w:spacing w:after="0" w:line="351" w:lineRule="auto"/>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_______________ to _______________</w:t>
      </w:r>
    </w:p>
    <w:p>
      <w:pPr>
        <w:spacing w:after="0" w:line="1" w:lineRule="exact"/>
        <w:rPr>
          <w:rFonts w:ascii="MS PGothic" w:cs="MS PGothic" w:eastAsia="MS PGothic" w:hAnsi="MS PGothic"/>
          <w:sz w:val="16"/>
          <w:szCs w:val="16"/>
          <w:color w:val="auto"/>
          <w:highlight w:val="black"/>
        </w:rPr>
      </w:pPr>
    </w:p>
    <w:p>
      <w:pPr>
        <w:ind w:left="45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Commission File Number: 001-39675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74930</wp:posOffset>
            </wp:positionV>
            <wp:extent cx="1426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ALLEGRO MICROSYSTEMS,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54610</wp:posOffset>
            </wp:positionV>
            <wp:extent cx="1426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Borders>
              <w:bottom w:val="single" w:sz="8" w:color="auto"/>
            </w:tcBorders>
          </w:tcPr>
          <w:p>
            <w:pPr>
              <w:jc w:val="center"/>
              <w:ind w:left="1507"/>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tcPr>
          <w:p>
            <w:pPr>
              <w:jc w:val="right"/>
              <w:ind w:right="2327"/>
              <w:spacing w:after="0"/>
              <w:rPr>
                <w:sz w:val="20"/>
                <w:szCs w:val="20"/>
                <w:color w:val="auto"/>
              </w:rPr>
            </w:pPr>
            <w:r>
              <w:rPr>
                <w:rFonts w:ascii="Times New Roman" w:cs="Times New Roman" w:eastAsia="Times New Roman" w:hAnsi="Times New Roman"/>
                <w:sz w:val="14"/>
                <w:szCs w:val="14"/>
                <w:b w:val="1"/>
                <w:bCs w:val="1"/>
                <w:color w:val="auto"/>
              </w:rPr>
              <w:t>46-2405937</w:t>
            </w:r>
          </w:p>
        </w:tc>
        <w:tc>
          <w:tcPr>
            <w:tcW w:w="0" w:type="dxa"/>
            <w:vAlign w:val="bottom"/>
          </w:tcPr>
          <w:p>
            <w:pPr>
              <w:spacing w:after="0"/>
              <w:rPr>
                <w:sz w:val="1"/>
                <w:szCs w:val="1"/>
                <w:color w:val="auto"/>
              </w:rPr>
            </w:pPr>
          </w:p>
        </w:tc>
      </w:tr>
      <w:tr>
        <w:trPr>
          <w:trHeight w:val="174"/>
        </w:trPr>
        <w:tc>
          <w:tcPr>
            <w:tcW w:w="55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900" w:type="dxa"/>
            <w:vAlign w:val="bottom"/>
          </w:tcPr>
          <w:p>
            <w:pPr>
              <w:jc w:val="center"/>
              <w:ind w:right="1527"/>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163"/>
        </w:trPr>
        <w:tc>
          <w:tcPr>
            <w:tcW w:w="3960" w:type="dxa"/>
            <w:vAlign w:val="bottom"/>
          </w:tcPr>
          <w:p>
            <w:pPr>
              <w:jc w:val="center"/>
              <w:ind w:left="1507"/>
              <w:spacing w:after="0"/>
              <w:rPr>
                <w:sz w:val="20"/>
                <w:szCs w:val="20"/>
                <w:color w:val="auto"/>
              </w:rPr>
            </w:pPr>
            <w:r>
              <w:rPr>
                <w:rFonts w:ascii="Times New Roman" w:cs="Times New Roman" w:eastAsia="Times New Roman" w:hAnsi="Times New Roman"/>
                <w:sz w:val="14"/>
                <w:szCs w:val="14"/>
                <w:b w:val="1"/>
                <w:bCs w:val="1"/>
                <w:color w:val="auto"/>
              </w:rPr>
              <w:t>955 Perimeter Road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900" w:type="dxa"/>
            <w:vAlign w:val="bottom"/>
            <w:vMerge w:val="restart"/>
          </w:tcPr>
          <w:p>
            <w:pPr>
              <w:jc w:val="right"/>
              <w:ind w:right="2487"/>
              <w:spacing w:after="0"/>
              <w:rPr>
                <w:sz w:val="20"/>
                <w:szCs w:val="20"/>
                <w:color w:val="auto"/>
              </w:rPr>
            </w:pPr>
            <w:r>
              <w:rPr>
                <w:rFonts w:ascii="Times New Roman" w:cs="Times New Roman" w:eastAsia="Times New Roman" w:hAnsi="Times New Roman"/>
                <w:sz w:val="14"/>
                <w:szCs w:val="14"/>
                <w:b w:val="1"/>
                <w:bCs w:val="1"/>
                <w:color w:val="auto"/>
              </w:rPr>
              <w:t>03103</w:t>
            </w:r>
          </w:p>
        </w:tc>
        <w:tc>
          <w:tcPr>
            <w:tcW w:w="0" w:type="dxa"/>
            <w:vAlign w:val="bottom"/>
          </w:tcPr>
          <w:p>
            <w:pPr>
              <w:spacing w:after="0"/>
              <w:rPr>
                <w:sz w:val="1"/>
                <w:szCs w:val="1"/>
                <w:color w:val="auto"/>
              </w:rPr>
            </w:pPr>
          </w:p>
        </w:tc>
      </w:tr>
      <w:tr>
        <w:trPr>
          <w:trHeight w:val="172"/>
        </w:trPr>
        <w:tc>
          <w:tcPr>
            <w:tcW w:w="3960" w:type="dxa"/>
            <w:vAlign w:val="bottom"/>
            <w:tcBorders>
              <w:bottom w:val="single" w:sz="8" w:color="auto"/>
            </w:tcBorders>
          </w:tcPr>
          <w:p>
            <w:pPr>
              <w:jc w:val="center"/>
              <w:ind w:left="1507"/>
              <w:spacing w:after="0"/>
              <w:rPr>
                <w:sz w:val="20"/>
                <w:szCs w:val="20"/>
                <w:color w:val="auto"/>
              </w:rPr>
            </w:pPr>
            <w:r>
              <w:rPr>
                <w:rFonts w:ascii="Times New Roman" w:cs="Times New Roman" w:eastAsia="Times New Roman" w:hAnsi="Times New Roman"/>
                <w:sz w:val="14"/>
                <w:szCs w:val="14"/>
                <w:b w:val="1"/>
                <w:bCs w:val="1"/>
                <w:color w:val="auto"/>
              </w:rPr>
              <w:t>Manchester, New Hampshire</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60" w:type="dxa"/>
            <w:vAlign w:val="bottom"/>
          </w:tcPr>
          <w:p>
            <w:pPr>
              <w:jc w:val="center"/>
              <w:ind w:left="148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900" w:type="dxa"/>
            <w:vAlign w:val="bottom"/>
          </w:tcPr>
          <w:p>
            <w:pPr>
              <w:jc w:val="center"/>
              <w:ind w:right="1527"/>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780" w:type="dxa"/>
            <w:vAlign w:val="bottom"/>
            <w:gridSpan w:val="6"/>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(603) 626-2300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960" w:type="dxa"/>
            <w:vAlign w:val="bottom"/>
          </w:tcPr>
          <w:p>
            <w:pPr>
              <w:spacing w:after="0"/>
              <w:rPr>
                <w:sz w:val="16"/>
                <w:szCs w:val="16"/>
                <w:color w:val="auto"/>
              </w:rPr>
            </w:pPr>
          </w:p>
        </w:tc>
        <w:tc>
          <w:tcPr>
            <w:tcW w:w="3380" w:type="dxa"/>
            <w:vAlign w:val="bottom"/>
            <w:gridSpan w:val="9"/>
          </w:tcPr>
          <w:p>
            <w:pPr>
              <w:jc w:val="center"/>
              <w:ind w:right="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9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gridSpan w:val="3"/>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960" w:type="dxa"/>
            <w:vAlign w:val="bottom"/>
          </w:tcPr>
          <w:p>
            <w:pPr>
              <w:spacing w:after="0"/>
              <w:rPr>
                <w:sz w:val="20"/>
                <w:szCs w:val="20"/>
                <w:color w:val="auto"/>
              </w:rPr>
            </w:pPr>
          </w:p>
        </w:tc>
        <w:tc>
          <w:tcPr>
            <w:tcW w:w="3380" w:type="dxa"/>
            <w:vAlign w:val="bottom"/>
            <w:gridSpan w:val="9"/>
          </w:tcPr>
          <w:p>
            <w:pPr>
              <w:jc w:val="center"/>
              <w:ind w:right="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960" w:type="dxa"/>
            <w:vAlign w:val="bottom"/>
            <w:vMerge w:val="restart"/>
          </w:tcPr>
          <w:p>
            <w:pPr>
              <w:jc w:val="center"/>
              <w:ind w:left="367"/>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20" w:type="dxa"/>
            <w:vAlign w:val="bottom"/>
            <w:gridSpan w:val="6"/>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00" w:type="dxa"/>
            <w:vAlign w:val="bottom"/>
            <w:vMerge w:val="restart"/>
          </w:tcPr>
          <w:p>
            <w:pPr>
              <w:jc w:val="center"/>
              <w:ind w:right="40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2"/>
        </w:trPr>
        <w:tc>
          <w:tcPr>
            <w:tcW w:w="39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gridSpan w:val="6"/>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960" w:type="dxa"/>
            <w:vAlign w:val="bottom"/>
            <w:tcBorders>
              <w:top w:val="single" w:sz="8" w:color="auto"/>
            </w:tcBorders>
          </w:tcPr>
          <w:p>
            <w:pPr>
              <w:jc w:val="center"/>
              <w:ind w:left="367"/>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ALGM</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900" w:type="dxa"/>
            <w:vAlign w:val="bottom"/>
            <w:tcBorders>
              <w:top w:val="single" w:sz="8" w:color="auto"/>
            </w:tcBorders>
          </w:tcPr>
          <w:p>
            <w:pPr>
              <w:jc w:val="center"/>
              <w:ind w:right="407"/>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ectPr>
          <w:pgSz w:w="11900" w:h="16838" w:orient="portrait"/>
          <w:cols w:equalWidth="0" w:num="1">
            <w:col w:w="11240"/>
          </w:cols>
          <w:pgMar w:left="320" w:top="1107" w:right="339" w:bottom="1440" w:gutter="0" w:footer="0" w:header="0"/>
        </w:sectPr>
      </w:pPr>
    </w:p>
    <w:p>
      <w:pPr>
        <w:spacing w:after="0" w:line="7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04" w:lineRule="exact"/>
        <w:rPr>
          <w:sz w:val="24"/>
          <w:szCs w:val="24"/>
          <w:color w:val="auto"/>
        </w:rPr>
      </w:pPr>
    </w:p>
    <w:p>
      <w:pPr>
        <w:sectPr>
          <w:pgSz w:w="11900" w:h="16838" w:orient="portrait"/>
          <w:cols w:equalWidth="0" w:num="2">
            <w:col w:w="7120" w:space="180"/>
            <w:col w:w="3940"/>
          </w:cols>
          <w:pgMar w:left="320" w:top="1107" w:right="339" w:bottom="1440" w:gutter="0" w:footer="0" w:header="0"/>
          <w:type w:val="continuous"/>
        </w:sect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20" w:lineRule="exact"/>
        <w:rPr>
          <w:sz w:val="24"/>
          <w:szCs w:val="24"/>
          <w:color w:val="auto"/>
        </w:rPr>
      </w:pPr>
    </w:p>
    <w:p>
      <w:pPr>
        <w:sectPr>
          <w:pgSz w:w="11900" w:h="16838" w:orient="portrait"/>
          <w:cols w:equalWidth="0" w:num="2">
            <w:col w:w="7240" w:space="200"/>
            <w:col w:w="3800"/>
          </w:cols>
          <w:pgMar w:left="320" w:top="1107" w:right="339" w:bottom="1440"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5"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0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760"/>
              <w:spacing w:after="0"/>
              <w:rPr>
                <w:sz w:val="20"/>
                <w:szCs w:val="20"/>
                <w:color w:val="auto"/>
              </w:rPr>
            </w:pPr>
            <w:r>
              <w:rPr>
                <w:rFonts w:ascii="Times New Roman" w:cs="Times New Roman" w:eastAsia="Times New Roman" w:hAnsi="Times New Roman"/>
                <w:sz w:val="14"/>
                <w:szCs w:val="14"/>
                <w:color w:val="auto"/>
              </w:rPr>
              <w:t>Accelerated filer</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4"/>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0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7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8"/>
        </w:trPr>
        <w:tc>
          <w:tcPr>
            <w:tcW w:w="18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060" w:type="dxa"/>
            <w:vAlign w:val="bottom"/>
          </w:tcPr>
          <w:p>
            <w:pPr>
              <w:ind w:left="2760"/>
              <w:spacing w:after="0"/>
              <w:rPr>
                <w:sz w:val="20"/>
                <w:szCs w:val="20"/>
                <w:color w:val="auto"/>
              </w:rPr>
            </w:pPr>
            <w:r>
              <w:rPr>
                <w:rFonts w:ascii="Times New Roman" w:cs="Times New Roman" w:eastAsia="Times New Roman" w:hAnsi="Times New Roman"/>
                <w:sz w:val="14"/>
                <w:szCs w:val="14"/>
                <w:color w:val="auto"/>
              </w:rPr>
              <w:t>Emerging growth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61" w:lineRule="exact"/>
        <w:tabs>
          <w:tab w:leader="none" w:pos="64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98"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As of September 26, 2025, the last business day of the registrant’s most recently completed second fiscal quarter, the aggregate market value of the voting and non-voting common equity held by non-affiliates was $3,703,521,114 based on the closing sale price as reported on The NASDAQ Stock Market LLC on such date.</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18, 2026, the registrant had 186,222,406 shares of common stock, $0.01 par value per share, outstanding.</w:t>
      </w:r>
    </w:p>
    <w:p>
      <w:pPr>
        <w:spacing w:after="0" w:line="5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 w:lineRule="exact"/>
        <w:rPr>
          <w:sz w:val="24"/>
          <w:szCs w:val="24"/>
          <w:color w:val="auto"/>
        </w:rPr>
      </w:pPr>
    </w:p>
    <w:p>
      <w:pPr>
        <w:spacing w:after="0" w:line="235" w:lineRule="auto"/>
        <w:rPr>
          <w:sz w:val="20"/>
          <w:szCs w:val="20"/>
          <w:color w:val="auto"/>
        </w:rPr>
      </w:pPr>
      <w:r>
        <w:rPr>
          <w:rFonts w:ascii="Times New Roman" w:cs="Times New Roman" w:eastAsia="Times New Roman" w:hAnsi="Times New Roman"/>
          <w:sz w:val="14"/>
          <w:szCs w:val="14"/>
          <w:color w:val="auto"/>
        </w:rPr>
        <w:t>Portions of the registrant’s proxy statement for its 2026 Annual Meeting of Stockholders to be filed pursuant to Regulation 14A within 120 days of the end of the registrant’s fiscal year ended March 27, 2026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751205</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135255</wp:posOffset>
            </wp:positionV>
            <wp:extent cx="71335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1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60" w:type="dxa"/>
            <w:vAlign w:val="bottom"/>
            <w:gridSpan w:val="10"/>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4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8"/>
        </w:trPr>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240" w:type="dxa"/>
            <w:vAlign w:val="bottom"/>
          </w:tcPr>
          <w:p>
            <w:pPr>
              <w:spacing w:after="0"/>
              <w:rPr>
                <w:sz w:val="16"/>
                <w:szCs w:val="16"/>
                <w:color w:val="auto"/>
              </w:rPr>
            </w:pPr>
          </w:p>
        </w:tc>
        <w:tc>
          <w:tcPr>
            <w:tcW w:w="8660" w:type="dxa"/>
            <w:vAlign w:val="bottom"/>
            <w:gridSpan w:val="27"/>
          </w:tcPr>
          <w:p>
            <w:pPr>
              <w:spacing w:after="0" w:line="192" w:lineRule="exact"/>
              <w:rPr>
                <w:sz w:val="20"/>
                <w:szCs w:val="20"/>
                <w:color w:val="auto"/>
              </w:rPr>
            </w:pPr>
            <w:r>
              <w:rPr>
                <w:rFonts w:ascii="Times New Roman" w:cs="Times New Roman" w:eastAsia="Times New Roman" w:hAnsi="Times New Roman"/>
                <w:sz w:val="18"/>
                <w:szCs w:val="18"/>
                <w:color w:val="0000FF"/>
              </w:rPr>
              <w:t>Forward Looking Statements</w:t>
            </w:r>
          </w:p>
        </w:tc>
        <w:tc>
          <w:tcPr>
            <w:tcW w:w="13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2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1.</w:t>
            </w:r>
          </w:p>
        </w:tc>
        <w:tc>
          <w:tcPr>
            <w:tcW w:w="8660" w:type="dxa"/>
            <w:vAlign w:val="bottom"/>
            <w:gridSpan w:val="27"/>
          </w:tcPr>
          <w:p>
            <w:pPr>
              <w:spacing w:after="0" w:line="192" w:lineRule="exact"/>
              <w:rPr>
                <w:sz w:val="20"/>
                <w:szCs w:val="20"/>
                <w:color w:val="auto"/>
              </w:rPr>
            </w:pPr>
            <w:r>
              <w:rPr>
                <w:rFonts w:ascii="Times New Roman" w:cs="Times New Roman" w:eastAsia="Times New Roman" w:hAnsi="Times New Roman"/>
                <w:sz w:val="18"/>
                <w:szCs w:val="18"/>
                <w:color w:val="0000FF"/>
              </w:rPr>
              <w:t>Business</w:t>
            </w:r>
          </w:p>
        </w:tc>
        <w:tc>
          <w:tcPr>
            <w:tcW w:w="13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1A.</w:t>
            </w: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Risk Factors</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1B.</w:t>
            </w: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1C.</w:t>
            </w: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Cybersecurity</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2.</w:t>
            </w: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Properties</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3.</w:t>
            </w: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4.</w:t>
            </w: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Mine Safety Disclosures</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2"/>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2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5.</w:t>
            </w:r>
          </w:p>
        </w:tc>
        <w:tc>
          <w:tcPr>
            <w:tcW w:w="8660" w:type="dxa"/>
            <w:vAlign w:val="bottom"/>
            <w:gridSpan w:val="27"/>
          </w:tcPr>
          <w:p>
            <w:pPr>
              <w:spacing w:after="0" w:line="192"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3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6.</w:t>
            </w: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Reserved</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7.</w:t>
            </w: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7A.</w:t>
            </w: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8.</w:t>
            </w: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9.</w:t>
            </w: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9A.</w:t>
            </w: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Controls and Procedures</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9B.</w:t>
            </w: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Other Information</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9C.</w:t>
            </w: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2"/>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7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74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2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10.</w:t>
            </w:r>
          </w:p>
        </w:tc>
        <w:tc>
          <w:tcPr>
            <w:tcW w:w="8660" w:type="dxa"/>
            <w:vAlign w:val="bottom"/>
            <w:gridSpan w:val="27"/>
          </w:tcPr>
          <w:p>
            <w:pPr>
              <w:spacing w:after="0" w:line="192"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3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11.</w:t>
            </w: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Executive Compensation</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12.</w:t>
            </w: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13.</w:t>
            </w: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14.</w:t>
            </w: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2"/>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7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2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15.</w:t>
            </w:r>
          </w:p>
        </w:tc>
        <w:tc>
          <w:tcPr>
            <w:tcW w:w="8660" w:type="dxa"/>
            <w:vAlign w:val="bottom"/>
            <w:gridSpan w:val="27"/>
          </w:tcPr>
          <w:p>
            <w:pPr>
              <w:spacing w:after="0" w:line="192"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13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16.</w:t>
            </w: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Form 10-K Summary</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Pr>
          <w:p>
            <w:pPr>
              <w:spacing w:after="0"/>
              <w:rPr>
                <w:sz w:val="16"/>
                <w:szCs w:val="16"/>
                <w:color w:val="auto"/>
              </w:rPr>
            </w:pP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Signatures</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Pr>
          <w:p>
            <w:pPr>
              <w:spacing w:after="0"/>
              <w:rPr>
                <w:sz w:val="16"/>
                <w:szCs w:val="16"/>
                <w:color w:val="auto"/>
              </w:rPr>
            </w:pP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Index to Consolidated Financial Statements</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FF"/>
            </w:tcBorders>
            <w:gridSpan w:val="11"/>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tcPr>
          <w:p>
            <w:pPr>
              <w:spacing w:after="0"/>
              <w:rPr>
                <w:sz w:val="18"/>
                <w:szCs w:val="18"/>
                <w:color w:val="auto"/>
              </w:rPr>
            </w:pPr>
          </w:p>
        </w:tc>
        <w:tc>
          <w:tcPr>
            <w:tcW w:w="86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2080" w:type="dxa"/>
            <w:vAlign w:val="bottom"/>
            <w:tcBorders>
              <w:right w:val="single" w:sz="8" w:color="0000EE"/>
            </w:tcBorders>
            <w:gridSpan w:val="11"/>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240" w:type="dxa"/>
            <w:vAlign w:val="bottom"/>
          </w:tcPr>
          <w:p>
            <w:pPr>
              <w:spacing w:after="0"/>
              <w:rPr>
                <w:sz w:val="19"/>
                <w:szCs w:val="19"/>
                <w:color w:val="auto"/>
              </w:rPr>
            </w:pPr>
          </w:p>
        </w:tc>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EE"/>
            </w:tcBorders>
            <w:gridSpan w:val="11"/>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240" w:type="dxa"/>
            <w:vAlign w:val="bottom"/>
          </w:tcPr>
          <w:p>
            <w:pPr>
              <w:spacing w:after="0"/>
              <w:rPr>
                <w:sz w:val="19"/>
                <w:szCs w:val="19"/>
                <w:color w:val="auto"/>
              </w:rPr>
            </w:pPr>
          </w:p>
        </w:tc>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2800" w:type="dxa"/>
            <w:vAlign w:val="bottom"/>
            <w:tcBorders>
              <w:right w:val="single" w:sz="8" w:color="0000EE"/>
            </w:tcBorders>
            <w:gridSpan w:val="1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240" w:type="dxa"/>
            <w:vAlign w:val="bottom"/>
          </w:tcPr>
          <w:p>
            <w:pPr>
              <w:spacing w:after="0"/>
              <w:rPr>
                <w:sz w:val="20"/>
                <w:szCs w:val="20"/>
                <w:color w:val="auto"/>
              </w:rPr>
            </w:pPr>
          </w:p>
        </w:tc>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Income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2840" w:type="dxa"/>
            <w:vAlign w:val="bottom"/>
            <w:tcBorders>
              <w:right w:val="single" w:sz="8" w:color="0000FF"/>
            </w:tcBorders>
            <w:gridSpan w:val="14"/>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240" w:type="dxa"/>
            <w:vAlign w:val="bottom"/>
          </w:tcPr>
          <w:p>
            <w:pPr>
              <w:spacing w:after="0"/>
              <w:rPr>
                <w:sz w:val="19"/>
                <w:szCs w:val="19"/>
                <w:color w:val="auto"/>
              </w:rPr>
            </w:pPr>
          </w:p>
        </w:tc>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2840" w:type="dxa"/>
            <w:vAlign w:val="bottom"/>
            <w:tcBorders>
              <w:right w:val="single" w:sz="8" w:color="0000FF"/>
            </w:tcBorders>
            <w:gridSpan w:val="14"/>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240" w:type="dxa"/>
            <w:vAlign w:val="bottom"/>
          </w:tcPr>
          <w:p>
            <w:pPr>
              <w:spacing w:after="0"/>
              <w:rPr>
                <w:sz w:val="19"/>
                <w:szCs w:val="19"/>
                <w:color w:val="auto"/>
              </w:rPr>
            </w:pPr>
          </w:p>
        </w:tc>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2840" w:type="dxa"/>
            <w:vAlign w:val="bottom"/>
            <w:tcBorders>
              <w:right w:val="single" w:sz="8" w:color="0000EE"/>
            </w:tcBorders>
            <w:gridSpan w:val="1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540" w:type="dxa"/>
            <w:vAlign w:val="bottom"/>
            <w:gridSpan w:val="11"/>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240" w:type="dxa"/>
            <w:vAlign w:val="bottom"/>
          </w:tcPr>
          <w:p>
            <w:pPr>
              <w:spacing w:after="0"/>
              <w:rPr>
                <w:sz w:val="19"/>
                <w:szCs w:val="19"/>
                <w:color w:val="auto"/>
              </w:rPr>
            </w:pPr>
          </w:p>
        </w:tc>
        <w:tc>
          <w:tcPr>
            <w:tcW w:w="8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1204"/>
        </w:trPr>
        <w:tc>
          <w:tcPr>
            <w:tcW w:w="124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5" w:lineRule="exact"/>
        <w:rPr>
          <w:sz w:val="20"/>
          <w:szCs w:val="20"/>
          <w:color w:val="auto"/>
        </w:rPr>
      </w:pPr>
    </w:p>
    <w:p>
      <w:pPr>
        <w:jc w:val="both"/>
        <w:ind w:firstLine="569"/>
        <w:spacing w:after="0" w:line="270" w:lineRule="auto"/>
        <w:rPr>
          <w:sz w:val="20"/>
          <w:szCs w:val="20"/>
          <w:color w:val="auto"/>
        </w:rPr>
      </w:pPr>
      <w:r>
        <w:rPr>
          <w:rFonts w:ascii="Times New Roman" w:cs="Times New Roman" w:eastAsia="Times New Roman" w:hAnsi="Times New Roman"/>
          <w:sz w:val="17"/>
          <w:szCs w:val="17"/>
          <w:color w:val="auto"/>
        </w:rPr>
        <w:t>This Annual Report on Form 10-K (the “Annual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historical facts contained in this Annual Report, including statements regarding our future results of operations and financial position, business strategy, prospective products and the plans and objectives of management for future operations, may be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65"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Statements regarding our future results of operations and financial position, business strategy and plans and objectives of management for future operations, including, among others, statements regarding the liquidity, growth and profitability strategies and factors and trends affecting our business are forward-looking statements. Without limiting the foregoing, in some cases, you can identify forward-looking statements by terms such as “aim,” “may,” “will,” “should,” “expect,” “exploring,” “plan,” “anticipate,” “could,” “intend,” “target,” “project,” “would,” “contemplate,” “believe,” “estimate,” “predict,” “potential,” “seek,”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77"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II, Item 7. “Management’s Discussion and Analysis of Financial Condition and Results of Operations” and Part I, Item 1A. “Risk Factors” in this Annual Report. These risks and uncertainties include, but are not limited to:</w:t>
      </w:r>
    </w:p>
    <w:p>
      <w:pPr>
        <w:spacing w:after="0" w:line="24" w:lineRule="exact"/>
        <w:rPr>
          <w:sz w:val="20"/>
          <w:szCs w:val="20"/>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downturns or volatility in general economic conditions;</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expand our market share and increase our net sales and profitability;</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third-party semiconductor wafer fabrication facilities and suppliers of other materials;</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adjust purchase commitments and inventory management based on changing market conditions or customer demand;</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semiconductor industry, including the analog segment in which we compete;</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downturn or disruption in the automotive market or industry;</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the acquisition of other companies or technologies and products into our business;</w:t>
      </w:r>
    </w:p>
    <w:p>
      <w:pPr>
        <w:spacing w:after="0" w:line="60" w:lineRule="exact"/>
        <w:rPr>
          <w:rFonts w:ascii="Times New Roman" w:cs="Times New Roman" w:eastAsia="Times New Roman" w:hAnsi="Times New Roman"/>
          <w:sz w:val="18"/>
          <w:szCs w:val="18"/>
          <w:color w:val="auto"/>
        </w:rPr>
      </w:pPr>
    </w:p>
    <w:p>
      <w:pPr>
        <w:ind w:left="760" w:right="20" w:hanging="379"/>
        <w:spacing w:after="0" w:line="27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our gross margins may be adversely affected by decreases in average selling prices of our products, increases in input costs, or shifts in product, customer or channel mix;</w:t>
      </w:r>
    </w:p>
    <w:p>
      <w:pPr>
        <w:spacing w:after="0" w:line="1" w:lineRule="exact"/>
        <w:rPr>
          <w:rFonts w:ascii="Times New Roman" w:cs="Times New Roman" w:eastAsia="Times New Roman" w:hAnsi="Times New Roman"/>
          <w:sz w:val="18"/>
          <w:szCs w:val="18"/>
          <w:color w:val="auto"/>
        </w:rPr>
      </w:pPr>
    </w:p>
    <w:p>
      <w:pPr>
        <w:ind w:left="760" w:right="20" w:hanging="379"/>
        <w:spacing w:after="0" w:line="27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any sustained yield problems or other delays at our third-party wafer fabrication facilities or in the final assembly and test of our products;</w:t>
      </w:r>
    </w:p>
    <w:p>
      <w:pPr>
        <w:spacing w:after="0" w:line="1"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predict our quarterly net sales and operating results and meet the expectations of investors;</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manufacturing operations in the Philippines;</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distributors to generate sales;</w:t>
      </w:r>
    </w:p>
    <w:p>
      <w:pPr>
        <w:spacing w:after="0" w:line="60" w:lineRule="exact"/>
        <w:rPr>
          <w:rFonts w:ascii="Times New Roman" w:cs="Times New Roman" w:eastAsia="Times New Roman" w:hAnsi="Times New Roman"/>
          <w:sz w:val="18"/>
          <w:szCs w:val="18"/>
          <w:color w:val="auto"/>
        </w:rPr>
      </w:pPr>
    </w:p>
    <w:p>
      <w:pPr>
        <w:ind w:left="760" w:hanging="379"/>
        <w:spacing w:after="0" w:line="27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beyond our control impacting us, our key suppliers or our manufacturing partners or other third-party suppliers of components, materials or subassemblies, including the Middle East conflicts;</w:t>
      </w:r>
    </w:p>
    <w:p>
      <w:pPr>
        <w:spacing w:after="0" w:line="1"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 features or new products in a timely and cost-effective manner;</w:t>
      </w:r>
    </w:p>
    <w:p>
      <w:pPr>
        <w:spacing w:after="0" w:line="60" w:lineRule="exact"/>
        <w:rPr>
          <w:rFonts w:ascii="Times New Roman" w:cs="Times New Roman" w:eastAsia="Times New Roman" w:hAnsi="Times New Roman"/>
          <w:sz w:val="18"/>
          <w:szCs w:val="18"/>
          <w:color w:val="auto"/>
        </w:rPr>
      </w:pPr>
    </w:p>
    <w:p>
      <w:pPr>
        <w:ind w:left="760" w:hanging="379"/>
        <w:spacing w:after="0" w:line="27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growth in the end markets that use our products, and the impact that slowdowns in such growth—including as a result of volatility in demand for emerging technologies or changes in government incentives—could have on our financial results;</w:t>
      </w:r>
    </w:p>
    <w:p>
      <w:pPr>
        <w:spacing w:after="0" w:line="1"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significant customers;</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enter and expand in new markets, and to generate returns on such investments;</w:t>
      </w:r>
    </w:p>
    <w:p>
      <w:pPr>
        <w:spacing w:after="0" w:line="60" w:lineRule="exact"/>
        <w:rPr>
          <w:rFonts w:ascii="Times New Roman" w:cs="Times New Roman" w:eastAsia="Times New Roman" w:hAnsi="Times New Roman"/>
          <w:sz w:val="18"/>
          <w:szCs w:val="18"/>
          <w:color w:val="auto"/>
        </w:rPr>
      </w:pPr>
    </w:p>
    <w:p>
      <w:pPr>
        <w:ind w:left="760" w:hanging="379"/>
        <w:spacing w:after="0" w:line="27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the design win process and our ability to recover design and development expenses and to generate timely or sufficient net sales or margins;</w:t>
      </w:r>
    </w:p>
    <w:p>
      <w:pPr>
        <w:spacing w:after="0" w:line="1"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trade policies, including the imposition of export restrictions and tariffs;</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exposures to warranty claims, customer quality claims, product liability claims and product recalls;</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international customers and operations;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3" w:name="page4"/>
    <w:bookmarkEnd w:id="3"/>
    <w:p>
      <w:pPr>
        <w:jc w:val="both"/>
        <w:ind w:left="760" w:hanging="379"/>
        <w:spacing w:after="0" w:line="263"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liabilities, costs and obligations related to governmental regulations and other legal obligations, including export/trade control, privacy, data protection, information security, cybersecurity, consumer protection, environmental and occupational health and safety, antitrust, anti-corruption and anti-bribery, product safety, environmental protection, employment matters, and tax;</w:t>
      </w:r>
    </w:p>
    <w:p>
      <w:pPr>
        <w:spacing w:after="0" w:line="14"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currency exchange rates;</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to support our growth strategy;</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may limit our flexibility to operate our business;</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and highly skilled personnel;</w:t>
      </w:r>
    </w:p>
    <w:p>
      <w:pPr>
        <w:spacing w:after="0" w:line="60" w:lineRule="exact"/>
        <w:rPr>
          <w:rFonts w:ascii="Times New Roman" w:cs="Times New Roman" w:eastAsia="Times New Roman" w:hAnsi="Times New Roman"/>
          <w:sz w:val="18"/>
          <w:szCs w:val="18"/>
          <w:color w:val="auto"/>
        </w:rPr>
      </w:pPr>
    </w:p>
    <w:p>
      <w:pPr>
        <w:ind w:left="760" w:hanging="379"/>
        <w:spacing w:after="0" w:line="27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future sales of our common stock by large stockholders, or the perception that such sales could occur, may have on the market price of our common stock;</w:t>
      </w:r>
    </w:p>
    <w:p>
      <w:pPr>
        <w:spacing w:after="0" w:line="1"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restructuring activities on our business and operating results;</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proprietary technology and inventions through patents or trade secrets;</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without infringing third-party intellectual property rights;</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breaches of our information technology systems or confidential information or those of our third-party service providers;</w:t>
      </w:r>
    </w:p>
    <w:p>
      <w:pPr>
        <w:spacing w:after="0" w:line="60" w:lineRule="exact"/>
        <w:rPr>
          <w:rFonts w:ascii="Times New Roman" w:cs="Times New Roman" w:eastAsia="Times New Roman" w:hAnsi="Times New Roman"/>
          <w:sz w:val="18"/>
          <w:szCs w:val="18"/>
          <w:color w:val="auto"/>
        </w:rPr>
      </w:pPr>
    </w:p>
    <w:p>
      <w:pPr>
        <w:ind w:left="760" w:hanging="379"/>
        <w:spacing w:after="0" w:line="27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presented by the use of artificial intelligence, machine learning, and automated decision-making technologies (collectively, “AI Technologies”) by us and others;</w:t>
      </w:r>
    </w:p>
    <w:p>
      <w:pPr>
        <w:spacing w:after="0" w:line="1"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effective internal control over financial reporting;</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or the adoption of new tax legislation;</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impacts of sustained inflation on our business; and</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beyond our control.</w:t>
      </w:r>
    </w:p>
    <w:p>
      <w:pPr>
        <w:spacing w:after="0" w:line="114"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55"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in this Annual Report, whether as a result of any new information, future events or otherwise.</w:t>
      </w:r>
    </w:p>
    <w:p>
      <w:pPr>
        <w:spacing w:after="0" w:line="73"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Additionally, our discussion of various items herein or elsewhere, including our discussion of environmental, social and governance (“ESG”) matters, may include information that is not necessarily “material” under the federal securities laws for SEC reporting purposes. For many ESG matters, this disclosure is informed by various ESG standards and frameworks (including standards for the measurement of underlying data), and the interests of various stakeholders. Much of this information is subject to assumptions, estimates or third-party information that is still evolving and subject to change. For example, we note that methodologies regarding the calculation of greenhouse gas emissions and related ESG data are still evolving. Our disclosures on such matters may change as well, but we cannot guarantee that they will align with the expectations of any particular stakeholder. Similarly, our disclosures based on any standards may change due to revisions in framework requirements, availability of information, changes in our business or applicable government policies, or other factors, some of which may be beyond our control.</w:t>
      </w:r>
    </w:p>
    <w:p>
      <w:pPr>
        <w:spacing w:after="0" w:line="80"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Unless the context otherwise requires, references to “we,” “us,” “our,” the “Company” and “Allegro” refer to the operations of Allegro MicroSystems, Inc. and its consolidated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1"/>
          <w:szCs w:val="21"/>
          <w:b w:val="1"/>
          <w:bCs w:val="1"/>
          <w:color w:val="auto"/>
        </w:rPr>
        <w:t>PART I</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18"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Our mission is to be the leader in global semiconductor technology with sensing and power solutions that drive electrification, automation, AI, and robotics forward.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1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Company is a global leader in the design, development, and marketing of sensor integrated circuits (“ICs”) and application-specific power ICs that enable the sensing, motion control, and power management functions of complex electromechanical or power conversion systems. We primarily serve automotive and industrial markets, including advanced industrial markets such as AI data centers, robotics, and energy infrastructure, where our solutions enable customers to sense, move, and manage power with efficiency, precision, and reliability.</w:t>
      </w:r>
    </w:p>
    <w:p>
      <w:pPr>
        <w:spacing w:after="0" w:line="73"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Our sensor ICs provide critical feedback for motion, position, speed, and electrical current sensing, while our power ICs control motors and manage power conversion and regulation across a wide range of applications. By embedding system-level intelligence directly into our products, we reduce the number of components required in a customer’s design while improving performance, energy efficiency, safety, and reliability. We believe our deep application knowledge, differentiated technology, and strong customer relationships enable us to deliver solutions that are more integrated, intelligent, and efficient than typical ICs.</w:t>
      </w:r>
    </w:p>
    <w:p>
      <w:pPr>
        <w:spacing w:after="0" w:line="77"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Our portfolio includes the broadest range of magnetic sensor ICs in the industry, and we are the world’s leading supplier of magnetic sensor ICs by market share. Our portfolio includes more than 1,500 products, and we ship approximately 2.1 billion units annually to more than 15,000 customers worldwide.</w:t>
      </w:r>
    </w:p>
    <w:p>
      <w:pPr>
        <w:spacing w:after="0" w:line="68"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Secular technology trends, including electrification, automation, AI data center expansion, and increasing energy efficiency, are driving growing demand for precision sensing and power solutions. In automotive markets, these trends are accelerating the adoption of electrified powertrains and safety-critical Advanced Driver Assistance Systems (“ADAS”), such as steering and braking systems. In industrial markets, these trends are driving greater power density, and increasing requirements for automation and thermal efficiency across AI data centers, robotics, and energy infrastructure. We believe these trends favor our differentiated sensing and power technologies and support sustained demand for our solutions.</w:t>
      </w:r>
    </w:p>
    <w:p>
      <w:pPr>
        <w:spacing w:after="0" w:line="77" w:lineRule="exact"/>
        <w:rPr>
          <w:sz w:val="20"/>
          <w:szCs w:val="20"/>
          <w:color w:val="auto"/>
        </w:rPr>
      </w:pPr>
    </w:p>
    <w:p>
      <w:pPr>
        <w:jc w:val="both"/>
        <w:ind w:firstLine="569"/>
        <w:spacing w:after="0" w:line="271" w:lineRule="auto"/>
        <w:rPr>
          <w:sz w:val="20"/>
          <w:szCs w:val="20"/>
          <w:color w:val="auto"/>
        </w:rPr>
      </w:pPr>
      <w:r>
        <w:rPr>
          <w:rFonts w:ascii="Times New Roman" w:cs="Times New Roman" w:eastAsia="Times New Roman" w:hAnsi="Times New Roman"/>
          <w:sz w:val="17"/>
          <w:szCs w:val="17"/>
          <w:color w:val="auto"/>
        </w:rPr>
        <w:t>Our technology leadership is built on decades of innovation across both magnetic sensor and power ICs. We develop highly differentiated solutions by combining proprietary circuit technologies, application-optimized packaging, and deep system-level expertise, supported by unique and proprietary wafer process technologies. Our specialized capabilities include high-temperature operation, high-speed and high-precision signal processing, and compliance with stringent automotive safety and reliability standards. These capabilities are enabled by our 120-volt (“120V”) capable Bipolar-CMOS-DMOS (“BCD”) wafer process technology, which integrates bipolar, complementary metal-oxide semiconductor (“CMOS”), and double-diffused metal-oxide semiconductor (“DMOS”) transistors on a single chip. This BCD wafer technology supports both sensing and power products and scales across multiple end markets.</w:t>
      </w:r>
    </w:p>
    <w:p>
      <w:pPr>
        <w:spacing w:after="0" w:line="66"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This common technology foundation has enabled us to apply a consistent design and innovation blueprint across successive generations of products, establishing a strong competitive position in demanding automotive and industrial applications.</w:t>
      </w:r>
    </w:p>
    <w:p>
      <w:pPr>
        <w:spacing w:after="0" w:line="55"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Within magnetic sensing, we offer the industry’s broadest portfolio of sensor ICs, spanning Hall-effect, giant magnetoresistive (“GMR”), and tunneling magnetoresistive (“TMR”) sensor technologies (together, “xMR”). We pioneered a systems-level approach that integrates value-added packaging elements, such as current-carrying conductors, magnets, and discrete components, along with precision analog circuits, intelligent digital logic, and calibration to develop specialized sensor ICs. This integration enables market-leading sensor ICs optimized for high-growth applications. We are among a limited number of semiconductor companies offering monolithic and high temperature rated TMR-based solutions, which provide higher sensitivity, low power consumption, and compact form factors. TMR is becoming a foundational element of our innovation strategy. An increasing percentage of new product development is focused on using TMR sensors to improve the performance or efficiency of hybrid electric vehicles (“HEV”s) and battery electric vehicles (“BEV”s) (together, “xEV”s), ADAS systems, and advanced robots.</w:t>
      </w:r>
    </w:p>
    <w:p>
      <w:pPr>
        <w:spacing w:after="0" w:line="80"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In power ICs, we offer a comprehensive portfolio of high-performance solutions, including motor drivers, voltage regulators, isolated gate drivers (“IGD”), and power management ICs (“PMIC”s), built on our proprietary BCD process technology. We leverage a systems-level approach that integrates high-voltage power transistors with precision analog circuits, intelligent digital logic and control algorithms, and advanced power packaging, such as integrated capacitors and thermally enhanced leadframes, to develop specialized power solutions. This monolithic integration enables us to deliver market-leading efficiency, superior thermal performance, and high-temperature capability in compact form factors. We are a leader in high-voltage and high-current power ICs that incorporate embedded control algorithms to eliminate customer code development and reduce audible noise. Our power innovation strategy is increasingly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5" w:name="page6"/>
    <w:bookmarkEnd w:id="5"/>
    <w:p>
      <w:pPr>
        <w:jc w:val="both"/>
        <w:spacing w:after="0" w:line="278" w:lineRule="auto"/>
        <w:rPr>
          <w:sz w:val="20"/>
          <w:szCs w:val="20"/>
          <w:color w:val="auto"/>
        </w:rPr>
      </w:pPr>
      <w:r>
        <w:rPr>
          <w:rFonts w:ascii="Times New Roman" w:cs="Times New Roman" w:eastAsia="Times New Roman" w:hAnsi="Times New Roman"/>
          <w:sz w:val="18"/>
          <w:szCs w:val="18"/>
          <w:color w:val="auto"/>
        </w:rPr>
        <w:t>focused on high-growth applications, where our integrated solutions improve power density and reliability in automotive, energy infrastructure, and industrial robotics.</w:t>
      </w:r>
    </w:p>
    <w:p>
      <w:pPr>
        <w:spacing w:after="0" w:line="55"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We maintain our market leadership through deep, long-standing customer relationships, often collaborating early in the design cycle to address demanding performance, quality, and safety requirements. Our customer base includes virtually all major global automotive manufacturers, leading tier-one automotive suppliers, and a growing number of data center, automation, and robotics customers worldwide. We support customers through a global network of design, applications, and customer support centers across North America, South America, Asia, and Europe.</w:t>
      </w:r>
    </w:p>
    <w:p>
      <w:pPr>
        <w:spacing w:after="0" w:line="73"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Our fabless, asset-light manufacturing model supports scalability, flexibility, and access to advanced manufacturing technologies to extend our market leadership. We design proprietary wafer technologies and then transfer and industrialize these technologies with external wafer fabrication partners around the globe. We also utilize a robust and scalable combination of internal and external assembly and test capabilities. To enhance regional agility and supply chain resilience, we are expanding regional supply chain capabilities, including localized manufacturing partnerships in multiple geographies, to support local customer demand and enhance overall supply chain resilience. We also maintain manufacturing relationships with Polar Semiconductor, LLC (“Polar”) in North America and various internal and external assembly and test partners across Asia to provide customers with flexibility in supply chain configurations. We believe this manufacturing strategy positions us to support long product life cycles, meet automotive-grade quality requirements, and scale efficiently across both automotive and industrial markets.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w:t>
      </w:r>
    </w:p>
    <w:p>
      <w:pPr>
        <w:spacing w:after="0" w:line="11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Within the global semiconductor industry, we focus on the magnetic sensor and power IC markets, serving higher growth applications, primarily in automotive and industrial markets, including advanced industrial markets such as AI data centers, robotics, and energy infrastructure.</w:t>
      </w:r>
    </w:p>
    <w:p>
      <w:pPr>
        <w:spacing w:after="0" w:line="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Automotive Focus Applications: xEV Powertrain and ADAS</w:t>
      </w:r>
    </w:p>
    <w:p>
      <w:pPr>
        <w:spacing w:after="0" w:line="116"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We focus on vehicle electrification and automation, including xEV powertrains and the expanding adoption of ADAS. These trends are driving increased semiconductor content per vehicle and higher demand for both sensing and power solutions. The transition to electrified powertrains and 48V electrical architectures is increasing demand for our sensor and power products built on our proprietary 120V BCD process technology. Our 120V BCD-based solutions consolidate power management and protection, reducing component count and improving overall system reliability.</w:t>
      </w:r>
    </w:p>
    <w:p>
      <w:pPr>
        <w:spacing w:after="0" w:line="73"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We are a leading provider of sensing and power solutions for vehicle electrification, building on decades of experience in powertrain efficiency and performance in conventional vehicles. Improving efficiency is critical as original equipment manufacturers (“OEMs”) seek to extend driving range, meet emissions regulations, and address heightened customer focus on environmental impact. As xEVs represent a growing share of global vehicle production, OEMs are redesigning systems to improve energy efficiency, creating opportunities for increased semiconductor content per vehicle. We believe our continued investment in research and development (“R&amp;D”) positions us to drive both content expansion and market share gains in this high-growth focus area.</w:t>
      </w:r>
    </w:p>
    <w:p>
      <w:pPr>
        <w:spacing w:after="0" w:line="77" w:lineRule="exact"/>
        <w:rPr>
          <w:sz w:val="20"/>
          <w:szCs w:val="20"/>
          <w:color w:val="auto"/>
        </w:rPr>
      </w:pPr>
    </w:p>
    <w:p>
      <w:pPr>
        <w:jc w:val="both"/>
        <w:ind w:firstLine="569"/>
        <w:spacing w:after="0" w:line="277" w:lineRule="auto"/>
        <w:rPr>
          <w:sz w:val="20"/>
          <w:szCs w:val="20"/>
          <w:color w:val="auto"/>
        </w:rPr>
      </w:pPr>
      <w:r>
        <w:rPr>
          <w:rFonts w:ascii="Times New Roman" w:cs="Times New Roman" w:eastAsia="Times New Roman" w:hAnsi="Times New Roman"/>
          <w:sz w:val="17"/>
          <w:szCs w:val="17"/>
          <w:color w:val="auto"/>
        </w:rPr>
        <w:t>Our IGD portfolio provides additional content opportunities in xEV powertrains. Our first-to-market Power-Thru gate driver technology integrates an isolated DC-DC converter and an IGD into a single IC, reducing component count and improving efficiency compared to multi-chip solutions. This integration enables smaller printed circuit boards (“PCBs”) and more compact systems, such as on-board chargers and traction motor inverters. We continue to advance this technology to support high-voltage gallium nitride (“GaN”) and silicon carbide (“SiC”) solutions used in xEV power conversion systems.</w:t>
      </w:r>
    </w:p>
    <w:p>
      <w:pPr>
        <w:spacing w:after="0" w:line="60"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Industry experts see ADAS adoption continuing to expand across vehicle classes globally, driven by demand for safety and automation features. Our sensor and power ICs are used in steering and braking systems that enable functions such as collision avoidance, lane-keep assist, automatic emergency braking, and self-parking. Even modest levels of automation utilize products across our portfolio, including sensors, PMICs, and motor drivers. We believe that our content per ADAS system will increase as ADAS architectures evolve from electric power steering to steer-by-wire systems and from electro-hydraulic braking to electro-mechanical braking systems. As these ADAS architectures become more sophisticated, more semiconductor content is required per system. While we are positioned for this long-term shift toward higher automation, we are currently capturing significant value in the existing market. Today, our solutions are already widely deployed in Level 1 and 2 ADAS systems across both xEV and internal combustion engine (“ICE”) vehicles, allowing us to participate in ADAS growth without reliance on full vehicle autonomy.</w:t>
      </w:r>
    </w:p>
    <w:p>
      <w:pPr>
        <w:spacing w:after="0" w:line="80"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TMR technology, marketed under the XtremeSense™ brand, strengthens our sensor portfolio and is a pillar of our innovation strategy. TMR enables higher sensitivity, lower power consumption, faster response times, and smaller form factors compared to other magnetic technologies. TMR solutions are well-suited to support high-accuracy sensing in electric powertrains and safety-critical steering and braking systems.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8"/>
          <w:szCs w:val="18"/>
          <w:i w:val="1"/>
          <w:iCs w:val="1"/>
          <w:color w:val="auto"/>
        </w:rPr>
        <w:t>Other Automotive Applications</w:t>
      </w:r>
    </w:p>
    <w:p>
      <w:pPr>
        <w:spacing w:after="0" w:line="116"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ICE powertrains are expected to persist for the foreseeable future, either as standalone systems or as part of HEVs. OEMs continue to pursue improved fuel efficiency and reduced vehicle emissions. We remain a proven supplier supporting these objectives through decades of experience in ICE powertrain applications.</w:t>
      </w:r>
    </w:p>
    <w:p>
      <w:pPr>
        <w:spacing w:after="0" w:line="6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Our safety, comfort, and convenience business, commonly referred to as body electronics, continues to evolve alongside vehicle electrification. xEVs incorporate a growing number of motors, pumps, and fans, often in air or liquid cooling systems, thereby increasing our content opportunity per vehicle. We also enable safer and more energy-efficient interior and exterior lighting systems through continued innovation in LED driver products developed in close collaboration with customers.</w:t>
      </w:r>
    </w:p>
    <w:p>
      <w:pPr>
        <w:spacing w:after="0" w:line="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Industrial Focus Applications: AI Data Center, Automation, and Robotics</w:t>
      </w:r>
    </w:p>
    <w:p>
      <w:pPr>
        <w:spacing w:after="0" w:line="116"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emergence of AI data centers is driving increased demand for our sensor and power ICs in both cooling and power supply applications. Our motor drivers are widely used in data center cooling systems, including fans and pumps, to provide air or liquid cooling of digital processors, power supplies, or network switches. Our fully integrated motor drivers reduce the number of components needed, lower energy consumption, and improve thermal efficiency.</w:t>
      </w:r>
    </w:p>
    <w:p>
      <w:pPr>
        <w:spacing w:after="0" w:line="73"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In data center power supplies, our current sensor ICs improve efficiency and power density in power conversion systems, particularly as architectures transition to higher operating voltages such as 48V and 800V. Our galvanically isolated current sensors are well suited for these environments. We believe demand for our Hall-effect and TMR current sensors ICs will increase as data center power density requirements rise.</w:t>
      </w:r>
    </w:p>
    <w:p>
      <w:pPr>
        <w:spacing w:after="0" w:line="68" w:lineRule="exact"/>
        <w:rPr>
          <w:sz w:val="20"/>
          <w:szCs w:val="20"/>
          <w:color w:val="auto"/>
        </w:rPr>
      </w:pPr>
    </w:p>
    <w:p>
      <w:pPr>
        <w:jc w:val="both"/>
        <w:ind w:right="20" w:firstLine="569"/>
        <w:spacing w:after="0" w:line="278" w:lineRule="auto"/>
        <w:rPr>
          <w:sz w:val="20"/>
          <w:szCs w:val="20"/>
          <w:color w:val="auto"/>
        </w:rPr>
      </w:pPr>
      <w:r>
        <w:rPr>
          <w:rFonts w:ascii="Times New Roman" w:cs="Times New Roman" w:eastAsia="Times New Roman" w:hAnsi="Times New Roman"/>
          <w:sz w:val="18"/>
          <w:szCs w:val="18"/>
          <w:color w:val="auto"/>
        </w:rPr>
        <w:t>IGDs are also gaining traction in data center applications. Our compact, single-package gate driver solutions improve power density and efficiency and shrink the overall size of power conversion systems.</w:t>
      </w:r>
    </w:p>
    <w:p>
      <w:pPr>
        <w:spacing w:after="0" w:line="55"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This momentum is reflected in our fiscal year 2026 performance, as data center sales represented an increasing percentage of our total revenue. Both motor drivers and current sensors contributed to fiscal year 2026 sales, while IGDs are being sampled and tested by customers for the next generation of data centers.</w:t>
      </w:r>
    </w:p>
    <w:p>
      <w:pPr>
        <w:spacing w:after="0" w:line="68"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Factory automation and robotics represent additional high-growth opportunities driven by demand for precise motion control and energy-efficient systems. Robotics applications, including warehouse, industrial, collaborative, and humanoid robots, require high-accuracy, reliability, and safety specifications that align closely with our automotive ADAS heritage. We believe we are well positioned to leverage synergies across our sensor and power portfolios, including motor drivers as well as current, position, and angle sensors, to expand our presence in these emerging markets. Industrial customers value our rigorous quality standards and devices designed to perform reliably over long product lifecycles.</w:t>
      </w:r>
    </w:p>
    <w:p>
      <w:pPr>
        <w:spacing w:after="0" w:line="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Other Industrial Markets</w:t>
      </w:r>
    </w:p>
    <w:p>
      <w:pPr>
        <w:spacing w:after="0" w:line="116"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The other industrial markets comprise energy infrastructure, personal mobility, power tools, heavy transport equipment, medical, and consumer applications.</w:t>
      </w:r>
    </w:p>
    <w:p>
      <w:pPr>
        <w:spacing w:after="0" w:line="55"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Energy infrastructure growth is being driven by the increased electrification of a variety of products and processes, government regulations to reduce emissions, and the rising power demands of AI data centers. Applications, including solar inverters, xEV charging infrastructure, and grid infrastructure seek the same efficiency and power density as xEVs. We enable more efficient use of grid-delivered power by supporting higher-voltage, higher-efficiency power architectures that reduce losses between the grid connection and the point of load. By deploying XtremeSense™ TMR current sensors and integrated power ICs, we enable smarter, more efficient power conversion and fault detection. These ICs are essential for managing the extreme load fluctuations and bidirectional energy flows inherent in the “Age of Electricity.” Our technology allows grid infrastructure to support significantly higher power densities while reducing energy waste.</w:t>
      </w:r>
    </w:p>
    <w:p>
      <w:pPr>
        <w:spacing w:after="0" w:line="77"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Personal mobility applications, including two-wheelers, are experiencing electrification trends similar to larger automobiles and require compact, high-performance solutions with long product lifecycles. Our automotive-grade quality standards provide industrial customers with robust, high-performance solutions that have earned trust across markets.</w:t>
      </w:r>
    </w:p>
    <w:p>
      <w:pPr>
        <w:spacing w:after="0" w:line="68" w:lineRule="exact"/>
        <w:rPr>
          <w:sz w:val="20"/>
          <w:szCs w:val="20"/>
          <w:color w:val="auto"/>
        </w:rPr>
      </w:pPr>
    </w:p>
    <w:p>
      <w:pPr>
        <w:jc w:val="both"/>
        <w:ind w:firstLine="569"/>
        <w:spacing w:after="0" w:line="308" w:lineRule="auto"/>
        <w:rPr>
          <w:sz w:val="20"/>
          <w:szCs w:val="20"/>
          <w:color w:val="auto"/>
        </w:rPr>
      </w:pPr>
      <w:r>
        <w:rPr>
          <w:rFonts w:ascii="Times New Roman" w:cs="Times New Roman" w:eastAsia="Times New Roman" w:hAnsi="Times New Roman"/>
          <w:sz w:val="17"/>
          <w:szCs w:val="17"/>
          <w:color w:val="auto"/>
        </w:rPr>
        <w:t>Consumer applications include smart home products, gaming equipment, power tools, and personal medical devices. Our low-power XtremeSense™ TMR and Hall-effect sensors, along with efficient motor drivers, enable more energy-efficient consumer products with extended battery life.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8"/>
          <w:szCs w:val="18"/>
          <w:i w:val="1"/>
          <w:iCs w:val="1"/>
          <w:color w:val="auto"/>
        </w:rPr>
        <w:t>Market Opportunity and Served Available Market (“SAM”)</w:t>
      </w:r>
    </w:p>
    <w:p>
      <w:pPr>
        <w:spacing w:after="0" w:line="116"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Within our target markets, our growth opportunity extends beyond unit deployment and is increasingly driven by structural market shifts and long-term megatrends that expand semiconductor content per system. These trends include electrification, automation, AI data centers, and robotics, each of which is driving higher system power, greater architectural complexity, and increased requirements for sensing, control, and power management. As these markets evolve, growth is increasingly defined by rising content per system rather than unit volumes alone, expanding our SAM even in periods of moderated end-market growth.</w:t>
      </w:r>
    </w:p>
    <w:p>
      <w:pPr>
        <w:spacing w:after="0" w:line="77"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Across these target automotive and industrial markets, our sensor and power ICs are frequently deployed together to deliver complete solutions for precision motion control and efficient power management. These integrated solutions enable smaller, more efficient electric motors, improved power density, enhanced safety, and reduced total system cost, while supporting increasing semiconductor content per system in our target applications.</w:t>
      </w:r>
    </w:p>
    <w:p>
      <w:pPr>
        <w:spacing w:after="0" w:line="68"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We are a market share leader in magnetic sensor ICs and believe there is an opportunity to grow this foundational business by aligning our portfolio with the highest growth applications within magnetic sensing. The transition to xEVs, ADAS, AI data centers, and robotics is driving demand for precise, high-bandwidth current and position sensing to enable efficient power conversion and motor control, as well as compliance with increasingly stringent performance and safety requirements. Our XtremeSense™ TMR technology underpins differentiated products, including industry-leading 10 MHz current sensors designed to support fast-switching GaN and SiC power devices. As system architectures evolve, specifically through the transition to electro-mechanical braking in vehicles and the build-out of high-power AI data centers, the sensing intensity per system is increasing in both volume and value, resulting in content gains. Adoption of TMR and inductive angular position sensors is also increasing to enable precise motion control in ADAS and robotics systems.</w:t>
      </w:r>
    </w:p>
    <w:p>
      <w:pPr>
        <w:spacing w:after="0" w:line="80"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We are also expanding our power IC portfolio to increase content in automotive and industrial applications where electrification and energy efficiency are driving design changes. xEVs require a growing number of motors to support pumps, fans, and safety-critical systems. Next-generation vehicle architectures, such as electro-mechanical braking and steer-by-wire, meaningfully increase power IC semiconductor content per system. In parallel, AI data centers continue to evolve toward higher rack power, increased airflow requirements, and advanced liquid cooling solutions. These shifts increase demand for efficient motor drivers and power solutions while enabling content growth that scales faster than end-market unit volumes.</w:t>
      </w:r>
    </w:p>
    <w:p>
      <w:pPr>
        <w:spacing w:after="0" w:line="77"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We also see an opportunity to expand our presence in IGDs as power conversion architectures evolve across xEVs, AI data centers, and energy infrastructure. The accelerating adoption of SiC and GaN power devices reflects customer demand for higher efficiency, smaller system size, and improved thermal performance. Our IGDs are designed to enable efficient, reliable operation of these next-generation power systems, supporting higher power throughput and contributing to meaningful increases in semiconductor content per system.</w:t>
      </w:r>
    </w:p>
    <w:p>
      <w:pPr>
        <w:spacing w:after="0" w:line="73"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same content expansion dynamics are emerging across industrial automation and robotics. As robots become more capable and are deployed at greater scale, systems will increasingly require multiple motors, precise position sensing, and advanced power management within each joint and subsystem. These increasing per system requirements create opportunities for multiple Allegro devices within a single robotic platform and represent an additional long-term expansion of our SAM.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Strategy</w:t>
      </w:r>
    </w:p>
    <w:p>
      <w:pPr>
        <w:spacing w:after="0" w:line="118"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Our strategy is built on delivering high-performance, differentiated IC solutions that solve our customers’ most complex challenges. By innovating with purpose, we extend our leadership in high-growth target markets. We are committed to expanding our global footprint to remain a premier provider of semiconductor power and sensing solutions, driving the next generation of motion control and energy-efficient systems across the automotive and industrial landscape.</w:t>
      </w:r>
    </w:p>
    <w:p>
      <w:pPr>
        <w:spacing w:after="0" w:line="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Invest in R&amp;D that is market-aligned and focused on targeted portfolio expansion</w:t>
      </w:r>
    </w:p>
    <w:p>
      <w:pPr>
        <w:spacing w:after="0" w:line="116" w:lineRule="exact"/>
        <w:rPr>
          <w:sz w:val="20"/>
          <w:szCs w:val="20"/>
          <w:color w:val="auto"/>
        </w:rPr>
      </w:pPr>
    </w:p>
    <w:p>
      <w:pPr>
        <w:jc w:val="both"/>
        <w:ind w:firstLine="562"/>
        <w:spacing w:after="0" w:line="252" w:lineRule="auto"/>
        <w:rPr>
          <w:sz w:val="20"/>
          <w:szCs w:val="20"/>
          <w:color w:val="auto"/>
        </w:rPr>
      </w:pPr>
      <w:r>
        <w:rPr>
          <w:rFonts w:ascii="Times New Roman" w:cs="Times New Roman" w:eastAsia="Times New Roman" w:hAnsi="Times New Roman"/>
          <w:sz w:val="18"/>
          <w:szCs w:val="18"/>
          <w:color w:val="auto"/>
        </w:rPr>
        <w:t>We believe continued investment in R&amp;D across product design, automotive-grade wafer technology, and advanced IC packaging is critical to maintaining our competitive position. Structural technology shifts in automotive and industrial markets, including xEV, ADAS, AI data centers, and robotics, are driving demand for higher intelligence, greater energy efficiency, and more complex system architectures that align closely with our core competencies. Our deep understanding of customer end systems has enabled us to expand our sensor IC and power portfolios to address these evolving requirements. By aligning our R&amp;D investments with high-growth technology trends and subjecting programs to disciplined return on investment (“ROI”) evaluation, we believe we can support sustained growth while maintaining attractive financial performance. A smaller portion of R&amp;D investment is allocated to an in-house incubator with a higher risk-reward profile that explores new technologies with the potential to contribute significantly to Allegro’s long-term revenue.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8"/>
          <w:szCs w:val="18"/>
          <w:i w:val="1"/>
          <w:iCs w:val="1"/>
          <w:color w:val="auto"/>
        </w:rPr>
        <w:t>Build on our automotive heritage to align our product development with the most rigorous applications and reliability expectations</w:t>
      </w:r>
    </w:p>
    <w:p>
      <w:pPr>
        <w:spacing w:after="0" w:line="116"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We are a leading supplier of magnetic sensor and power ICs to the automotive market due to our deliberate focus on designing products to meet stringent automotive operating voltages, temperature ranges, and safety and reliability standards across the full product lifecycle, from design through manufacturing. By developing products from the outset to operate reliably in high-temperature and high-voltage environments, we have established a strong technical reputation with automotive OEMs and tier-one suppliers.</w:t>
      </w:r>
    </w:p>
    <w:p>
      <w:pPr>
        <w:spacing w:after="0" w:line="73" w:lineRule="exact"/>
        <w:rPr>
          <w:sz w:val="20"/>
          <w:szCs w:val="20"/>
          <w:color w:val="auto"/>
        </w:rPr>
      </w:pPr>
    </w:p>
    <w:p>
      <w:pPr>
        <w:jc w:val="both"/>
        <w:ind w:firstLine="569"/>
        <w:spacing w:after="0" w:line="285" w:lineRule="auto"/>
        <w:rPr>
          <w:sz w:val="20"/>
          <w:szCs w:val="20"/>
          <w:color w:val="auto"/>
        </w:rPr>
      </w:pPr>
      <w:r>
        <w:rPr>
          <w:rFonts w:ascii="Times New Roman" w:cs="Times New Roman" w:eastAsia="Times New Roman" w:hAnsi="Times New Roman"/>
          <w:sz w:val="17"/>
          <w:szCs w:val="17"/>
          <w:color w:val="auto"/>
        </w:rPr>
        <w:t>We believe our approach of using automotive standards as the baseline for product development positions us well as customers seek trusted suppliers to support increasingly complex and safety-critical systems, particularly in rapidly growing areas such as xEV powertrains and ADAS. These applications require higher performance, greater reliability, and longer product lifecycles, creating meaningful investment requirements for new competitors.</w:t>
      </w:r>
    </w:p>
    <w:p>
      <w:pPr>
        <w:spacing w:after="0" w:line="53"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We leverage this automotive-grade expertise to address growing demand from industrial customers for rugged, high-reliability solutions in applications such as AI data centers, factory automation, and robotics. In our experience, products that meet or exceed stringent safety and reliability requirements tend to command higher average selling prices (“ASPs”) and exhibit slower ASP erosion over time compared to typical industry products.</w:t>
      </w:r>
    </w:p>
    <w:p>
      <w:pPr>
        <w:spacing w:after="0" w:line="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Invest to lead in chosen markets and apply our intellectual property (“IP”) and technology to pursue adjacent growth markets</w:t>
      </w:r>
    </w:p>
    <w:p>
      <w:pPr>
        <w:spacing w:after="0" w:line="116" w:lineRule="exact"/>
        <w:rPr>
          <w:sz w:val="20"/>
          <w:szCs w:val="20"/>
          <w:color w:val="auto"/>
        </w:rPr>
      </w:pPr>
    </w:p>
    <w:p>
      <w:pPr>
        <w:jc w:val="both"/>
        <w:ind w:firstLine="562"/>
        <w:spacing w:after="0" w:line="263" w:lineRule="auto"/>
        <w:rPr>
          <w:sz w:val="20"/>
          <w:szCs w:val="20"/>
          <w:color w:val="auto"/>
        </w:rPr>
      </w:pPr>
      <w:r>
        <w:rPr>
          <w:rFonts w:ascii="Times New Roman" w:cs="Times New Roman" w:eastAsia="Times New Roman" w:hAnsi="Times New Roman"/>
          <w:sz w:val="18"/>
          <w:szCs w:val="18"/>
          <w:color w:val="auto"/>
        </w:rPr>
        <w:t>We intend to continue investing in technology development and our IP portfolio to maintain leadership in magnetic sensor ICs and expand our competitive position in power ICs across our target markets. We seek to maximize the return on these investments by leveraging proven technologies and existing R&amp;D, sales, and support infrastructure to address adjacent, high-growth market opportunities with strong technical and customer overlap.</w:t>
      </w:r>
    </w:p>
    <w:p>
      <w:pPr>
        <w:spacing w:after="0" w:line="68"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We apply our patented sensor and power-related IP to support increasing electronics content in automotive applications driven by the adoption of electrified powertrains and advanced safety systems. We are also investing in advanced current sensing, IGD, and sensorless motor control technologies to address AI data center applications, where rising power density and efficiency requirements align closely with our core capabilities. In addition, we are aligning our application domain expertise, smart sensor design, and power management and motor control algorithms to support the growing demand for electronics in industrial automation and robotics.</w:t>
      </w:r>
    </w:p>
    <w:p>
      <w:pPr>
        <w:spacing w:after="0" w:line="77"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We believe this strategy of extending core technologies into adjacent markets enables us to expand our SAM while achieving higher returns on our R&amp;D investments.</w:t>
      </w:r>
    </w:p>
    <w:p>
      <w:pPr>
        <w:spacing w:after="0" w:line="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Sales operations and customer relationships</w:t>
      </w:r>
    </w:p>
    <w:p>
      <w:pPr>
        <w:spacing w:after="0" w:line="116"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We sell our products globally through a combination of a direct sales force, distributors, and independent sales representatives. Our global sales infrastructure is designed to support customers through key account managers and regional technical and support centers located near customer operations. These centers enable us to work closely with customers as an extension of their design teams, providing early insight into system requirements and accelerating product adoption and ramp-up in customer designs.</w:t>
      </w:r>
    </w:p>
    <w:p>
      <w:pPr>
        <w:spacing w:after="0" w:line="73" w:lineRule="exact"/>
        <w:rPr>
          <w:sz w:val="20"/>
          <w:szCs w:val="20"/>
          <w:color w:val="auto"/>
        </w:rPr>
      </w:pPr>
    </w:p>
    <w:p>
      <w:pPr>
        <w:jc w:val="both"/>
        <w:ind w:firstLine="562"/>
        <w:spacing w:after="0" w:line="263" w:lineRule="auto"/>
        <w:rPr>
          <w:sz w:val="20"/>
          <w:szCs w:val="20"/>
          <w:color w:val="auto"/>
        </w:rPr>
      </w:pPr>
      <w:r>
        <w:rPr>
          <w:rFonts w:ascii="Times New Roman" w:cs="Times New Roman" w:eastAsia="Times New Roman" w:hAnsi="Times New Roman"/>
          <w:sz w:val="18"/>
          <w:szCs w:val="18"/>
          <w:color w:val="auto"/>
        </w:rPr>
        <w:t>We intend to continue to strengthen relationships with existing customers while enabling our channel partners to play a greater role in demand generation, customer support, and fulfillment for smaller, broad-based industrial customers. We believe expanding the role of our channel will allow us to further penetrate industrial markets and scale our business efficiently.</w:t>
      </w:r>
    </w:p>
    <w:p>
      <w:pPr>
        <w:spacing w:after="0" w:line="68"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Our approach to the Chinese market emphasizes localized engineering engagement to drive innovation, regional supply chain capabilities, and close co-development with domestic OEMs, enabling deep customer partnerships and design wins based on our differentiated technology.</w:t>
      </w:r>
    </w:p>
    <w:p>
      <w:pPr>
        <w:spacing w:after="0" w:line="55"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During fiscal year 2026, we reorganized our internal sales force to align by end market rather than geography. We believe this will further support sales growth across automotive and industrial markets.</w:t>
      </w:r>
    </w:p>
    <w:p>
      <w:pPr>
        <w:spacing w:after="0" w:line="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Improve our gross margins through product innovation and cost optimization</w:t>
      </w:r>
    </w:p>
    <w:p>
      <w:pPr>
        <w:spacing w:after="0" w:line="116" w:lineRule="exact"/>
        <w:rPr>
          <w:sz w:val="20"/>
          <w:szCs w:val="20"/>
          <w:color w:val="auto"/>
        </w:rPr>
      </w:pPr>
    </w:p>
    <w:p>
      <w:pPr>
        <w:jc w:val="both"/>
        <w:ind w:firstLine="562"/>
        <w:spacing w:after="0" w:line="263" w:lineRule="auto"/>
        <w:rPr>
          <w:sz w:val="20"/>
          <w:szCs w:val="20"/>
          <w:color w:val="auto"/>
        </w:rPr>
      </w:pPr>
      <w:r>
        <w:rPr>
          <w:rFonts w:ascii="Times New Roman" w:cs="Times New Roman" w:eastAsia="Times New Roman" w:hAnsi="Times New Roman"/>
          <w:sz w:val="18"/>
          <w:szCs w:val="18"/>
          <w:color w:val="auto"/>
        </w:rPr>
        <w:t>We seek to improve profitability by introducing differentiated products with value-added features while reducing manufacturing costs through our fabless, asset-light operating model. We expect to continue enhancing our product mix by developing new products for growth markets where we believe we can generate higher ASPs and/or gross margins.</w:t>
      </w:r>
    </w:p>
    <w:p>
      <w:pPr>
        <w:spacing w:after="0" w:line="68"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We also intend to deepen relationships with key foundry and manufacturing partners to apply our products and applications expertise in developing differentiated, cost-efficient wafer processes and packaging technologies. By leveraging the advanced manufacturing capabilities of our strategic suppliers, adopting more cost-effective packaging solutions, and optimizing the mix of internal and external assembly and test capacity, we believe we can reduce manufacturing costs, limit capital requirements, enhance supply reliability, and support continued growth.</w:t>
      </w:r>
    </w:p>
    <w:p>
      <w:pPr>
        <w:spacing w:after="0" w:line="7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We intend to continue selecting leading manufacturing partners to maintain product quality, ensure continuity of supply, and protect our IP.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8"/>
          <w:szCs w:val="18"/>
          <w:i w:val="1"/>
          <w:iCs w:val="1"/>
          <w:color w:val="auto"/>
        </w:rPr>
        <w:t>Selectively pursue acquisitions and other strategic transactions</w:t>
      </w:r>
    </w:p>
    <w:p>
      <w:pPr>
        <w:spacing w:after="0" w:line="116" w:lineRule="exact"/>
        <w:rPr>
          <w:sz w:val="20"/>
          <w:szCs w:val="20"/>
          <w:color w:val="auto"/>
        </w:rPr>
      </w:pPr>
    </w:p>
    <w:p>
      <w:pPr>
        <w:jc w:val="both"/>
        <w:ind w:firstLine="562"/>
        <w:spacing w:after="0" w:line="263" w:lineRule="auto"/>
        <w:rPr>
          <w:sz w:val="20"/>
          <w:szCs w:val="20"/>
          <w:color w:val="auto"/>
        </w:rPr>
      </w:pPr>
      <w:r>
        <w:rPr>
          <w:rFonts w:ascii="Times New Roman" w:cs="Times New Roman" w:eastAsia="Times New Roman" w:hAnsi="Times New Roman"/>
          <w:sz w:val="18"/>
          <w:szCs w:val="18"/>
          <w:color w:val="auto"/>
        </w:rPr>
        <w:t>We evaluate and selectively pursue acquisitions and transactions as an integral part of our strategy to supplement organic growth. We focus on acquisitions that we believe will accelerate our growth in strategic focus areas, complement our expertise and customer base, and be accretive to our target financial models. Historical examples include our acquisitions of Crocus Technology International Corp. and Heyday Integrated Circuits.</w:t>
      </w:r>
    </w:p>
    <w:p>
      <w:pPr>
        <w:spacing w:after="0" w:line="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Maintain sustainability efforts</w:t>
      </w:r>
    </w:p>
    <w:p>
      <w:pPr>
        <w:spacing w:after="0" w:line="116"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We will continue to innovate with purpose, aiming to help address critical global challenges related to energy efficiency and vehicle emissions, as well as clean and renewable energy with our sensing and power management product portfolio. In addition, we strive to operate our business in a socially responsible and environmentally sustainable manner, with the goals of reducing costs, maintaining a dedication to social responsibility in our supply chain, and disclosing the environmental impact of our business operations.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Products and Solutions</w:t>
      </w:r>
    </w:p>
    <w:p>
      <w:pPr>
        <w:spacing w:after="0" w:line="118"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Our product portfolio includes over 1,500 products across a range of high-performance analog mixed-signal semiconductors. We apply our deep technology know-how to deliver magnetic sensing IC and power IC solutions to:</w:t>
      </w:r>
    </w:p>
    <w:p>
      <w:pPr>
        <w:spacing w:after="0" w:line="2" w:lineRule="exact"/>
        <w:rPr>
          <w:sz w:val="20"/>
          <w:szCs w:val="20"/>
          <w:color w:val="auto"/>
        </w:rPr>
      </w:pPr>
    </w:p>
    <w:p>
      <w:pPr>
        <w:jc w:val="both"/>
        <w:ind w:left="760" w:hanging="379"/>
        <w:spacing w:after="0" w:line="263"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Sense speed, position, angle and current to enable critical safety features in ADAS and optimize power density and efficiency in xEVs to extend driving range. Beyond the automotive market, our technologies enhance the performance and energy efficiency of AI data centers, factory automation, robotics, and energy infrastructure;</w:t>
      </w:r>
    </w:p>
    <w:p>
      <w:pPr>
        <w:spacing w:after="0" w:line="14" w:lineRule="exact"/>
        <w:rPr>
          <w:rFonts w:ascii="Times New Roman" w:cs="Times New Roman" w:eastAsia="Times New Roman" w:hAnsi="Times New Roman"/>
          <w:sz w:val="18"/>
          <w:szCs w:val="18"/>
          <w:color w:val="auto"/>
        </w:rPr>
      </w:pPr>
    </w:p>
    <w:p>
      <w:pPr>
        <w:jc w:val="both"/>
        <w:ind w:left="760" w:hanging="379"/>
        <w:spacing w:after="0" w:line="263"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complex vehicle systems and manage high-voltage power through integrated PMICs and IGDs to enhance functional safety and power efficiency. Our solutions are engineered to significantly increase power density, thereby reducing overall system footprint, minimizing the use of raw materials, and lowering total system cost for our customers; and</w:t>
      </w:r>
    </w:p>
    <w:p>
      <w:pPr>
        <w:spacing w:after="0" w:line="14" w:lineRule="exact"/>
        <w:rPr>
          <w:rFonts w:ascii="Times New Roman" w:cs="Times New Roman" w:eastAsia="Times New Roman" w:hAnsi="Times New Roman"/>
          <w:sz w:val="18"/>
          <w:szCs w:val="18"/>
          <w:color w:val="auto"/>
        </w:rPr>
      </w:pPr>
    </w:p>
    <w:p>
      <w:pPr>
        <w:jc w:val="both"/>
        <w:ind w:left="760" w:hanging="379"/>
        <w:spacing w:after="0" w:line="263"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high-performance motors using our advanced motor drivers, powered by proprietary algorithms that deliver industry-leading reliability and energy efficiency. These solutions provide the precision control required for smooth operation with minimal audible noise and vibration, essential for both in-cabin motors for premium xEVs and the high-speed accuracy required of robotics.</w:t>
      </w:r>
    </w:p>
    <w:p>
      <w:pPr>
        <w:spacing w:after="0" w:line="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Magnetic Sensor ICs</w:t>
      </w:r>
    </w:p>
    <w:p>
      <w:pPr>
        <w:spacing w:after="0" w:line="116"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We offer what we believe to be the industry’s leading portfolio of magnetic sensor ICs. Our solutions are based on our monolithic Hall-effect, GMR and TMR technologies, which allow customers to develop contactless sensor solutions that reduce mechanical wear and provide greater measurement accuracy and system control. Our portfolio of magnetic sensor ICs includes the following:</w:t>
      </w:r>
    </w:p>
    <w:p>
      <w:pPr>
        <w:spacing w:after="0" w:line="13" w:lineRule="exact"/>
        <w:rPr>
          <w:sz w:val="20"/>
          <w:szCs w:val="20"/>
          <w:color w:val="auto"/>
        </w:rPr>
      </w:pPr>
    </w:p>
    <w:p>
      <w:pPr>
        <w:jc w:val="both"/>
        <w:ind w:left="760" w:hanging="379"/>
        <w:spacing w:after="0" w:line="254"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Sensor ICs</w:t>
      </w:r>
      <w:r>
        <w:rPr>
          <w:rFonts w:ascii="Times New Roman" w:cs="Times New Roman" w:eastAsia="Times New Roman" w:hAnsi="Times New Roman"/>
          <w:sz w:val="18"/>
          <w:szCs w:val="18"/>
          <w:color w:val="auto"/>
        </w:rPr>
        <w:t>: Current sensor ICs measure current by detecting the magnetic field generated by a current carrying conductor. We offer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 portfolio of current sensors designed to support a wide range of voltages and applications, enabling customers to monitor and protect electronic systems while improving energy efficiency. These products are used across automotive and industrial markets, including on-board chargers, DC-DC converters, inverters, industrial motors, solar inverters, robotics, AI data center power supplies and xEV charging infrastructure. Our XtremeSense™ TMR based current sensors deliver industry leading bandwidth, enabling high-performance SiC- and GaN-based power conversion in high voltage systems such as AI data centers and energy infrastructure.</w:t>
      </w:r>
    </w:p>
    <w:p>
      <w:pPr>
        <w:spacing w:after="0" w:line="23" w:lineRule="exact"/>
        <w:rPr>
          <w:rFonts w:ascii="Times New Roman" w:cs="Times New Roman" w:eastAsia="Times New Roman" w:hAnsi="Times New Roman"/>
          <w:sz w:val="18"/>
          <w:szCs w:val="18"/>
          <w:color w:val="auto"/>
        </w:rPr>
      </w:pPr>
    </w:p>
    <w:p>
      <w:pPr>
        <w:jc w:val="both"/>
        <w:ind w:left="760" w:hanging="379"/>
        <w:spacing w:after="0" w:line="253"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Position Sensor ICs</w:t>
      </w:r>
      <w:r>
        <w:rPr>
          <w:rFonts w:ascii="Times New Roman" w:cs="Times New Roman" w:eastAsia="Times New Roman" w:hAnsi="Times New Roman"/>
          <w:sz w:val="18"/>
          <w:szCs w:val="18"/>
          <w:color w:val="auto"/>
        </w:rPr>
        <w:t>: Position sensor ICs provide high-precision analog or digital outputs to measure magnetic field intensity, establishing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exact position or angle required for complex motion control. These solutions are fundamental to the functional safety of ADAS power steering and braking systems, as well as the high-speed synchronization of xEV traction motors. By leveraging our proprietary XtremeSense™ TMR technology, we provide industry-leading resolution and advanced safety diagnostics essential for mission-critical motor position sensing in autonomous and electrified platforms. While these high-performance sensors continue to optimize the efficiency of advanced transmission and powertrain systems in traditional ICE vehicles to meet global emissions standards, our innovation is increasingly focused on the next generation of safe and sustainable mobility.</w:t>
      </w:r>
    </w:p>
    <w:p>
      <w:pPr>
        <w:spacing w:after="0" w:line="23" w:lineRule="exact"/>
        <w:rPr>
          <w:rFonts w:ascii="Times New Roman" w:cs="Times New Roman" w:eastAsia="Times New Roman" w:hAnsi="Times New Roman"/>
          <w:sz w:val="18"/>
          <w:szCs w:val="18"/>
          <w:color w:val="auto"/>
        </w:rPr>
      </w:pPr>
    </w:p>
    <w:p>
      <w:pPr>
        <w:jc w:val="both"/>
        <w:ind w:left="760" w:hanging="379"/>
        <w:spacing w:after="0" w:line="25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Speed Sensor ICs: </w:t>
      </w:r>
      <w:r>
        <w:rPr>
          <w:rFonts w:ascii="Times New Roman" w:cs="Times New Roman" w:eastAsia="Times New Roman" w:hAnsi="Times New Roman"/>
          <w:sz w:val="18"/>
          <w:szCs w:val="18"/>
          <w:color w:val="auto"/>
        </w:rPr>
        <w:t>Our high-precision speed sensor ICs and advanced high-performance xMR solutions provide critical digital data on rotation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direction for the next generation of safe, electrified, and automated mobility. These sensors can be essential for the functional safety of ADAS braking systems and the precise motion control required in industrial robotics. While our proprietary algorithms continue to support traditional powertrain optimization to meet global emissions standards, our portfolio is increasingly centered on enabling the autonomous and electrified future.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8"/>
          <w:szCs w:val="18"/>
          <w:i w:val="1"/>
          <w:iCs w:val="1"/>
          <w:color w:val="auto"/>
        </w:rPr>
        <w:t>Power ICs</w:t>
      </w:r>
    </w:p>
    <w:p>
      <w:pPr>
        <w:spacing w:after="0" w:line="116"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Our power IC portfolio includes high-temperature and high-voltage capable motor driver ICs, DC-DC voltage regulators, safety PMICs, LED driver ICs, and high-voltage IGDs. These power ICs allow our customers to design safer, smaller, and more power-efficient systems. We employ embedded algorithms that reduce the need for external software development, reduce audible noise, and increase start-up reliability in BLDC motors and fans. Our portfolio of power ICs includes the following:</w:t>
      </w:r>
    </w:p>
    <w:p>
      <w:pPr>
        <w:spacing w:after="0" w:line="17" w:lineRule="exact"/>
        <w:rPr>
          <w:sz w:val="20"/>
          <w:szCs w:val="20"/>
          <w:color w:val="auto"/>
        </w:rPr>
      </w:pPr>
    </w:p>
    <w:p>
      <w:pPr>
        <w:jc w:val="both"/>
        <w:ind w:left="760" w:hanging="379"/>
        <w:spacing w:after="0" w:line="264"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Motor Driver ICs</w:t>
      </w:r>
      <w:r>
        <w:rPr>
          <w:rFonts w:ascii="Times New Roman" w:cs="Times New Roman" w:eastAsia="Times New Roman" w:hAnsi="Times New Roman"/>
          <w:sz w:val="18"/>
          <w:szCs w:val="18"/>
          <w:color w:val="auto"/>
        </w:rPr>
        <w:t>: Motor driver ICs contain the power drivers and the sequencing logic to drive the coils of a variety of motors. Our motor driver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ICs utilize embedded algorithms to improve energy efficiency and motion control in various automotive motors, pumps, and fans. Our ICs also spin AI data center cooling fans and pumps, as well as motors for robotics, factory automation, medical devices, and home appliances.</w:t>
      </w:r>
    </w:p>
    <w:p>
      <w:pPr>
        <w:spacing w:after="0" w:line="12" w:lineRule="exact"/>
        <w:rPr>
          <w:rFonts w:ascii="Times New Roman" w:cs="Times New Roman" w:eastAsia="Times New Roman" w:hAnsi="Times New Roman"/>
          <w:sz w:val="18"/>
          <w:szCs w:val="18"/>
          <w:color w:val="auto"/>
        </w:rPr>
      </w:pPr>
    </w:p>
    <w:p>
      <w:pPr>
        <w:jc w:val="both"/>
        <w:ind w:left="760" w:hanging="379"/>
        <w:spacing w:after="0" w:line="264"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Regulators, Safety PMICs and LED Driver ICs</w:t>
      </w:r>
      <w:r>
        <w:rPr>
          <w:rFonts w:ascii="Times New Roman" w:cs="Times New Roman" w:eastAsia="Times New Roman" w:hAnsi="Times New Roman"/>
          <w:sz w:val="18"/>
          <w:szCs w:val="18"/>
          <w:color w:val="auto"/>
        </w:rPr>
        <w:t>: Our portfolio of regulator ICs and PMICs is used extensively for DC-DC power conversion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advanced ADAS and powertrain systems. Our LED driver ICs and modules are used in smart automotive lighting systems to improve efficiency and reduce solution size.</w:t>
      </w:r>
    </w:p>
    <w:p>
      <w:pPr>
        <w:spacing w:after="0" w:line="12" w:lineRule="exact"/>
        <w:rPr>
          <w:rFonts w:ascii="Times New Roman" w:cs="Times New Roman" w:eastAsia="Times New Roman" w:hAnsi="Times New Roman"/>
          <w:sz w:val="18"/>
          <w:szCs w:val="18"/>
          <w:color w:val="auto"/>
        </w:rPr>
      </w:pPr>
    </w:p>
    <w:p>
      <w:pPr>
        <w:jc w:val="both"/>
        <w:ind w:left="760" w:hanging="379"/>
        <w:spacing w:after="0" w:line="25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IGDs: </w:t>
      </w:r>
      <w:r>
        <w:rPr>
          <w:rFonts w:ascii="Times New Roman" w:cs="Times New Roman" w:eastAsia="Times New Roman" w:hAnsi="Times New Roman"/>
          <w:sz w:val="18"/>
          <w:szCs w:val="18"/>
          <w:color w:val="auto"/>
        </w:rPr>
        <w:t>These devices typically combine an isolated DC-DC power supply and high-voltage gate drivers into a single package. They are designed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drive GaN and SiC switches in high-efficiency power conversion systems. Our IGDs enable applications that are smaller and more efficient than competing solutions, helping to shrink PCBs and reduce total system size and raw materials used in AI data centers, xEV powertrains, and energy infrastructure.</w:t>
      </w:r>
    </w:p>
    <w:p>
      <w:pPr>
        <w:spacing w:after="0" w:line="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Examples of our IC products and their applications in end markets are set forth in the following table.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72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Automotive Market IC Solutions</w:t>
            </w:r>
          </w:p>
        </w:tc>
        <w:tc>
          <w:tcPr>
            <w:tcW w:w="6080" w:type="dxa"/>
            <w:vAlign w:val="bottom"/>
            <w:tcBorders>
              <w:bottom w:val="single" w:sz="8" w:color="auto"/>
            </w:tcBorders>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Industrial and Other Market IC Solutions</w:t>
            </w:r>
          </w:p>
        </w:tc>
        <w:tc>
          <w:tcPr>
            <w:tcW w:w="0" w:type="dxa"/>
            <w:vAlign w:val="bottom"/>
          </w:tcPr>
          <w:p>
            <w:pPr>
              <w:spacing w:after="0"/>
              <w:rPr>
                <w:sz w:val="1"/>
                <w:szCs w:val="1"/>
                <w:color w:val="auto"/>
              </w:rPr>
            </w:pPr>
          </w:p>
        </w:tc>
      </w:tr>
      <w:tr>
        <w:trPr>
          <w:trHeight w:val="214"/>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PRODUCTS</w:t>
            </w:r>
          </w:p>
        </w:tc>
        <w:tc>
          <w:tcPr>
            <w:tcW w:w="34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 Current sensors</w:t>
            </w:r>
          </w:p>
        </w:tc>
        <w:tc>
          <w:tcPr>
            <w:tcW w:w="2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Current sensors</w:t>
            </w:r>
          </w:p>
        </w:tc>
        <w:tc>
          <w:tcPr>
            <w:tcW w:w="3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20" w:type="dxa"/>
            <w:vAlign w:val="bottom"/>
          </w:tcPr>
          <w:p>
            <w:pPr>
              <w:spacing w:after="0"/>
              <w:rPr>
                <w:sz w:val="18"/>
                <w:szCs w:val="18"/>
                <w:color w:val="auto"/>
              </w:rPr>
            </w:pPr>
          </w:p>
        </w:tc>
        <w:tc>
          <w:tcPr>
            <w:tcW w:w="3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Position sensors</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Position sensors</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20" w:type="dxa"/>
            <w:vAlign w:val="bottom"/>
            <w:shd w:val="clear" w:color="auto" w:fill="CFF0FC"/>
          </w:tcPr>
          <w:p>
            <w:pPr>
              <w:spacing w:after="0"/>
              <w:rPr>
                <w:sz w:val="18"/>
                <w:szCs w:val="18"/>
                <w:color w:val="auto"/>
              </w:rPr>
            </w:pPr>
          </w:p>
        </w:tc>
        <w:tc>
          <w:tcPr>
            <w:tcW w:w="34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 Speed sensors</w:t>
            </w:r>
          </w:p>
        </w:tc>
        <w:tc>
          <w:tcPr>
            <w:tcW w:w="2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Speed sensors</w:t>
            </w:r>
          </w:p>
        </w:tc>
        <w:tc>
          <w:tcPr>
            <w:tcW w:w="3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3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Motor drivers</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Motor drivers</w:t>
            </w: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shd w:val="clear" w:color="auto" w:fill="CFF0FC"/>
          </w:tcPr>
          <w:p>
            <w:pPr>
              <w:spacing w:after="0"/>
              <w:rPr>
                <w:sz w:val="19"/>
                <w:szCs w:val="19"/>
                <w:color w:val="auto"/>
              </w:rPr>
            </w:pPr>
          </w:p>
        </w:tc>
        <w:tc>
          <w:tcPr>
            <w:tcW w:w="34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 LED drivers</w:t>
            </w:r>
          </w:p>
        </w:tc>
        <w:tc>
          <w:tcPr>
            <w:tcW w:w="2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LED drivers</w:t>
            </w:r>
          </w:p>
        </w:tc>
        <w:tc>
          <w:tcPr>
            <w:tcW w:w="3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3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Regulators and PMICs</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Regulators and PMICs</w:t>
            </w: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720" w:type="dxa"/>
            <w:vAlign w:val="bottom"/>
            <w:tcBorders>
              <w:bottom w:val="single" w:sz="8" w:color="auto"/>
            </w:tcBorders>
            <w:shd w:val="clear" w:color="auto" w:fill="CFF0FC"/>
          </w:tcPr>
          <w:p>
            <w:pPr>
              <w:spacing w:after="0"/>
              <w:rPr>
                <w:sz w:val="21"/>
                <w:szCs w:val="21"/>
                <w:color w:val="auto"/>
              </w:rPr>
            </w:pPr>
          </w:p>
        </w:tc>
        <w:tc>
          <w:tcPr>
            <w:tcW w:w="344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 IGDs</w:t>
            </w:r>
          </w:p>
        </w:tc>
        <w:tc>
          <w:tcPr>
            <w:tcW w:w="29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IGDs</w:t>
            </w:r>
          </w:p>
        </w:tc>
        <w:tc>
          <w:tcPr>
            <w:tcW w:w="310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APPLICATIONS</w:t>
            </w:r>
          </w:p>
        </w:tc>
        <w:tc>
          <w:tcPr>
            <w:tcW w:w="3440" w:type="dxa"/>
            <w:vAlign w:val="bottom"/>
          </w:tcPr>
          <w:p>
            <w:pPr>
              <w:ind w:left="440"/>
              <w:spacing w:after="0" w:line="195" w:lineRule="exact"/>
              <w:rPr>
                <w:sz w:val="20"/>
                <w:szCs w:val="20"/>
                <w:color w:val="auto"/>
              </w:rPr>
            </w:pPr>
            <w:r>
              <w:rPr>
                <w:rFonts w:ascii="Times New Roman" w:cs="Times New Roman" w:eastAsia="Times New Roman" w:hAnsi="Times New Roman"/>
                <w:sz w:val="18"/>
                <w:szCs w:val="18"/>
                <w:color w:val="auto"/>
              </w:rPr>
              <w:t>▪ Electric motor powertrain and on-</w:t>
            </w:r>
          </w:p>
        </w:tc>
        <w:tc>
          <w:tcPr>
            <w:tcW w:w="2980" w:type="dxa"/>
            <w:vAlign w:val="bottom"/>
          </w:tcPr>
          <w:p>
            <w:pPr>
              <w:ind w:left="80"/>
              <w:spacing w:after="0" w:line="195" w:lineRule="exact"/>
              <w:rPr>
                <w:sz w:val="20"/>
                <w:szCs w:val="20"/>
                <w:color w:val="auto"/>
              </w:rPr>
            </w:pPr>
            <w:r>
              <w:rPr>
                <w:rFonts w:ascii="Times New Roman" w:cs="Times New Roman" w:eastAsia="Times New Roman" w:hAnsi="Times New Roman"/>
                <w:sz w:val="18"/>
                <w:szCs w:val="18"/>
                <w:color w:val="auto"/>
              </w:rPr>
              <w:t>▪ Data center power delivery and</w:t>
            </w:r>
          </w:p>
        </w:tc>
        <w:tc>
          <w:tcPr>
            <w:tcW w:w="3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 Smart home/internet of things</w:t>
            </w:r>
          </w:p>
        </w:tc>
        <w:tc>
          <w:tcPr>
            <w:tcW w:w="0" w:type="dxa"/>
            <w:vAlign w:val="bottom"/>
          </w:tcPr>
          <w:p>
            <w:pPr>
              <w:spacing w:after="0"/>
              <w:rPr>
                <w:sz w:val="1"/>
                <w:szCs w:val="1"/>
                <w:color w:val="auto"/>
              </w:rPr>
            </w:pPr>
          </w:p>
        </w:tc>
      </w:tr>
      <w:tr>
        <w:trPr>
          <w:trHeight w:val="126"/>
        </w:trPr>
        <w:tc>
          <w:tcPr>
            <w:tcW w:w="1720" w:type="dxa"/>
            <w:vAlign w:val="bottom"/>
          </w:tcPr>
          <w:p>
            <w:pPr>
              <w:spacing w:after="0"/>
              <w:rPr>
                <w:sz w:val="10"/>
                <w:szCs w:val="10"/>
                <w:color w:val="auto"/>
              </w:rPr>
            </w:pPr>
          </w:p>
        </w:tc>
        <w:tc>
          <w:tcPr>
            <w:tcW w:w="34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board charging systems for xEV</w:t>
            </w:r>
          </w:p>
        </w:tc>
        <w:tc>
          <w:tcPr>
            <w:tcW w:w="2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cooling systems</w:t>
            </w:r>
          </w:p>
        </w:tc>
        <w:tc>
          <w:tcPr>
            <w:tcW w:w="3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720" w:type="dxa"/>
            <w:vAlign w:val="bottom"/>
          </w:tcPr>
          <w:p>
            <w:pPr>
              <w:spacing w:after="0"/>
              <w:rPr>
                <w:sz w:val="9"/>
                <w:szCs w:val="9"/>
                <w:color w:val="auto"/>
              </w:rPr>
            </w:pPr>
          </w:p>
        </w:tc>
        <w:tc>
          <w:tcPr>
            <w:tcW w:w="3440" w:type="dxa"/>
            <w:vAlign w:val="bottom"/>
            <w:vMerge w:val="continue"/>
          </w:tcPr>
          <w:p>
            <w:pPr>
              <w:spacing w:after="0"/>
              <w:rPr>
                <w:sz w:val="9"/>
                <w:szCs w:val="9"/>
                <w:color w:val="auto"/>
              </w:rPr>
            </w:pPr>
          </w:p>
        </w:tc>
        <w:tc>
          <w:tcPr>
            <w:tcW w:w="2980" w:type="dxa"/>
            <w:vAlign w:val="bottom"/>
            <w:vMerge w:val="continue"/>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720" w:type="dxa"/>
            <w:vAlign w:val="bottom"/>
            <w:shd w:val="clear" w:color="auto" w:fill="CFF0FC"/>
          </w:tcPr>
          <w:p>
            <w:pPr>
              <w:spacing w:after="0"/>
              <w:rPr>
                <w:sz w:val="17"/>
                <w:szCs w:val="17"/>
                <w:color w:val="auto"/>
              </w:rPr>
            </w:pPr>
          </w:p>
        </w:tc>
        <w:tc>
          <w:tcPr>
            <w:tcW w:w="3440" w:type="dxa"/>
            <w:vAlign w:val="bottom"/>
            <w:shd w:val="clear" w:color="auto" w:fill="CFF0FC"/>
          </w:tcPr>
          <w:p>
            <w:pPr>
              <w:ind w:left="440"/>
              <w:spacing w:after="0" w:line="195" w:lineRule="exact"/>
              <w:rPr>
                <w:sz w:val="20"/>
                <w:szCs w:val="20"/>
                <w:color w:val="auto"/>
              </w:rPr>
            </w:pPr>
            <w:r>
              <w:rPr>
                <w:rFonts w:ascii="Times New Roman" w:cs="Times New Roman" w:eastAsia="Times New Roman" w:hAnsi="Times New Roman"/>
                <w:sz w:val="18"/>
                <w:szCs w:val="18"/>
                <w:color w:val="auto"/>
              </w:rPr>
              <w:t>▪ ADAS, active safety, including</w:t>
            </w:r>
          </w:p>
        </w:tc>
        <w:tc>
          <w:tcPr>
            <w:tcW w:w="2980" w:type="dxa"/>
            <w:vAlign w:val="bottom"/>
            <w:shd w:val="clear" w:color="auto" w:fill="CFF0FC"/>
          </w:tcPr>
          <w:p>
            <w:pPr>
              <w:ind w:left="80"/>
              <w:spacing w:after="0" w:line="195" w:lineRule="exact"/>
              <w:rPr>
                <w:sz w:val="20"/>
                <w:szCs w:val="20"/>
                <w:color w:val="auto"/>
              </w:rPr>
            </w:pPr>
            <w:r>
              <w:rPr>
                <w:rFonts w:ascii="Times New Roman" w:cs="Times New Roman" w:eastAsia="Times New Roman" w:hAnsi="Times New Roman"/>
                <w:sz w:val="18"/>
                <w:szCs w:val="18"/>
                <w:color w:val="auto"/>
              </w:rPr>
              <w:t>▪ Robotics, factory automation and</w:t>
            </w:r>
          </w:p>
        </w:tc>
        <w:tc>
          <w:tcPr>
            <w:tcW w:w="310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Gaming devices</w:t>
            </w:r>
          </w:p>
        </w:tc>
        <w:tc>
          <w:tcPr>
            <w:tcW w:w="0" w:type="dxa"/>
            <w:vAlign w:val="bottom"/>
          </w:tcPr>
          <w:p>
            <w:pPr>
              <w:spacing w:after="0"/>
              <w:rPr>
                <w:sz w:val="1"/>
                <w:szCs w:val="1"/>
                <w:color w:val="auto"/>
              </w:rPr>
            </w:pPr>
          </w:p>
        </w:tc>
      </w:tr>
      <w:tr>
        <w:trPr>
          <w:trHeight w:val="126"/>
        </w:trPr>
        <w:tc>
          <w:tcPr>
            <w:tcW w:w="1720" w:type="dxa"/>
            <w:vAlign w:val="bottom"/>
            <w:shd w:val="clear" w:color="auto" w:fill="CFF0FC"/>
          </w:tcPr>
          <w:p>
            <w:pPr>
              <w:spacing w:after="0"/>
              <w:rPr>
                <w:sz w:val="10"/>
                <w:szCs w:val="10"/>
                <w:color w:val="auto"/>
              </w:rPr>
            </w:pPr>
          </w:p>
        </w:tc>
        <w:tc>
          <w:tcPr>
            <w:tcW w:w="344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steering and braking systems</w:t>
            </w:r>
          </w:p>
        </w:tc>
        <w:tc>
          <w:tcPr>
            <w:tcW w:w="298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Industrial motors</w:t>
            </w:r>
          </w:p>
        </w:tc>
        <w:tc>
          <w:tcPr>
            <w:tcW w:w="310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720" w:type="dxa"/>
            <w:vAlign w:val="bottom"/>
            <w:shd w:val="clear" w:color="auto" w:fill="CFF0FC"/>
          </w:tcPr>
          <w:p>
            <w:pPr>
              <w:spacing w:after="0"/>
              <w:rPr>
                <w:sz w:val="9"/>
                <w:szCs w:val="9"/>
                <w:color w:val="auto"/>
              </w:rPr>
            </w:pPr>
          </w:p>
        </w:tc>
        <w:tc>
          <w:tcPr>
            <w:tcW w:w="3440" w:type="dxa"/>
            <w:vAlign w:val="bottom"/>
            <w:vMerge w:val="continue"/>
            <w:shd w:val="clear" w:color="auto" w:fill="CFF0FC"/>
          </w:tcPr>
          <w:p>
            <w:pPr>
              <w:spacing w:after="0"/>
              <w:rPr>
                <w:sz w:val="9"/>
                <w:szCs w:val="9"/>
                <w:color w:val="auto"/>
              </w:rPr>
            </w:pPr>
          </w:p>
        </w:tc>
        <w:tc>
          <w:tcPr>
            <w:tcW w:w="2980" w:type="dxa"/>
            <w:vAlign w:val="bottom"/>
            <w:vMerge w:val="continue"/>
            <w:shd w:val="clear" w:color="auto" w:fill="CFF0FC"/>
          </w:tcPr>
          <w:p>
            <w:pPr>
              <w:spacing w:after="0"/>
              <w:rPr>
                <w:sz w:val="9"/>
                <w:szCs w:val="9"/>
                <w:color w:val="auto"/>
              </w:rPr>
            </w:pPr>
          </w:p>
        </w:tc>
        <w:tc>
          <w:tcPr>
            <w:tcW w:w="3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440" w:type="dxa"/>
            <w:vAlign w:val="bottom"/>
          </w:tcPr>
          <w:p>
            <w:pPr>
              <w:ind w:left="440"/>
              <w:spacing w:after="0" w:line="195" w:lineRule="exact"/>
              <w:rPr>
                <w:sz w:val="20"/>
                <w:szCs w:val="20"/>
                <w:color w:val="auto"/>
              </w:rPr>
            </w:pPr>
            <w:r>
              <w:rPr>
                <w:rFonts w:ascii="Times New Roman" w:cs="Times New Roman" w:eastAsia="Times New Roman" w:hAnsi="Times New Roman"/>
                <w:sz w:val="18"/>
                <w:szCs w:val="18"/>
                <w:color w:val="auto"/>
              </w:rPr>
              <w:t>▪ Engine management and transmission</w:t>
            </w:r>
          </w:p>
        </w:tc>
        <w:tc>
          <w:tcPr>
            <w:tcW w:w="2980" w:type="dxa"/>
            <w:vAlign w:val="bottom"/>
          </w:tcPr>
          <w:p>
            <w:pPr>
              <w:ind w:left="80"/>
              <w:spacing w:after="0" w:line="195" w:lineRule="exact"/>
              <w:rPr>
                <w:sz w:val="20"/>
                <w:szCs w:val="20"/>
                <w:color w:val="auto"/>
              </w:rPr>
            </w:pPr>
            <w:r>
              <w:rPr>
                <w:rFonts w:ascii="Times New Roman" w:cs="Times New Roman" w:eastAsia="Times New Roman" w:hAnsi="Times New Roman"/>
                <w:sz w:val="18"/>
                <w:szCs w:val="18"/>
                <w:color w:val="auto"/>
              </w:rPr>
              <w:t>▪ xEV charging infrastructure, solar</w:t>
            </w:r>
          </w:p>
        </w:tc>
        <w:tc>
          <w:tcPr>
            <w:tcW w:w="3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 Power tools</w:t>
            </w:r>
          </w:p>
        </w:tc>
        <w:tc>
          <w:tcPr>
            <w:tcW w:w="0" w:type="dxa"/>
            <w:vAlign w:val="bottom"/>
          </w:tcPr>
          <w:p>
            <w:pPr>
              <w:spacing w:after="0"/>
              <w:rPr>
                <w:sz w:val="1"/>
                <w:szCs w:val="1"/>
                <w:color w:val="auto"/>
              </w:rPr>
            </w:pPr>
          </w:p>
        </w:tc>
      </w:tr>
      <w:tr>
        <w:trPr>
          <w:trHeight w:val="126"/>
        </w:trPr>
        <w:tc>
          <w:tcPr>
            <w:tcW w:w="1720" w:type="dxa"/>
            <w:vAlign w:val="bottom"/>
          </w:tcPr>
          <w:p>
            <w:pPr>
              <w:spacing w:after="0"/>
              <w:rPr>
                <w:sz w:val="10"/>
                <w:szCs w:val="10"/>
                <w:color w:val="auto"/>
              </w:rPr>
            </w:pPr>
          </w:p>
        </w:tc>
        <w:tc>
          <w:tcPr>
            <w:tcW w:w="34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systems</w:t>
            </w:r>
          </w:p>
        </w:tc>
        <w:tc>
          <w:tcPr>
            <w:tcW w:w="2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power generation, and battery storage</w:t>
            </w:r>
          </w:p>
        </w:tc>
        <w:tc>
          <w:tcPr>
            <w:tcW w:w="3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720" w:type="dxa"/>
            <w:vAlign w:val="bottom"/>
          </w:tcPr>
          <w:p>
            <w:pPr>
              <w:spacing w:after="0"/>
              <w:rPr>
                <w:sz w:val="9"/>
                <w:szCs w:val="9"/>
                <w:color w:val="auto"/>
              </w:rPr>
            </w:pPr>
          </w:p>
        </w:tc>
        <w:tc>
          <w:tcPr>
            <w:tcW w:w="3440" w:type="dxa"/>
            <w:vAlign w:val="bottom"/>
            <w:vMerge w:val="continue"/>
          </w:tcPr>
          <w:p>
            <w:pPr>
              <w:spacing w:after="0"/>
              <w:rPr>
                <w:sz w:val="9"/>
                <w:szCs w:val="9"/>
                <w:color w:val="auto"/>
              </w:rPr>
            </w:pPr>
          </w:p>
        </w:tc>
        <w:tc>
          <w:tcPr>
            <w:tcW w:w="2980" w:type="dxa"/>
            <w:vAlign w:val="bottom"/>
            <w:vMerge w:val="continue"/>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1720" w:type="dxa"/>
            <w:vAlign w:val="bottom"/>
            <w:shd w:val="clear" w:color="auto" w:fill="CFF0FC"/>
          </w:tcPr>
          <w:p>
            <w:pPr>
              <w:spacing w:after="0"/>
              <w:rPr>
                <w:sz w:val="23"/>
                <w:szCs w:val="23"/>
                <w:color w:val="auto"/>
              </w:rPr>
            </w:pPr>
          </w:p>
        </w:tc>
        <w:tc>
          <w:tcPr>
            <w:tcW w:w="34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 Comfort and convenience including in-</w:t>
            </w:r>
          </w:p>
        </w:tc>
        <w:tc>
          <w:tcPr>
            <w:tcW w:w="2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Personal mobility</w:t>
            </w:r>
          </w:p>
        </w:tc>
        <w:tc>
          <w:tcPr>
            <w:tcW w:w="3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 Household appliances, including white</w:t>
            </w:r>
          </w:p>
        </w:tc>
        <w:tc>
          <w:tcPr>
            <w:tcW w:w="0" w:type="dxa"/>
            <w:vAlign w:val="bottom"/>
          </w:tcPr>
          <w:p>
            <w:pPr>
              <w:spacing w:after="0"/>
              <w:rPr>
                <w:sz w:val="1"/>
                <w:szCs w:val="1"/>
                <w:color w:val="auto"/>
              </w:rPr>
            </w:pPr>
          </w:p>
        </w:tc>
      </w:tr>
      <w:tr>
        <w:trPr>
          <w:trHeight w:val="160"/>
        </w:trPr>
        <w:tc>
          <w:tcPr>
            <w:tcW w:w="1720" w:type="dxa"/>
            <w:vAlign w:val="bottom"/>
            <w:shd w:val="clear" w:color="auto" w:fill="CFF0FC"/>
          </w:tcPr>
          <w:p>
            <w:pPr>
              <w:spacing w:after="0"/>
              <w:rPr>
                <w:sz w:val="13"/>
                <w:szCs w:val="13"/>
                <w:color w:val="auto"/>
              </w:rPr>
            </w:pPr>
          </w:p>
        </w:tc>
        <w:tc>
          <w:tcPr>
            <w:tcW w:w="3440" w:type="dxa"/>
            <w:vAlign w:val="bottom"/>
            <w:shd w:val="clear" w:color="auto" w:fill="CFF0FC"/>
          </w:tcPr>
          <w:p>
            <w:pPr>
              <w:ind w:left="440"/>
              <w:spacing w:after="0" w:line="161" w:lineRule="exact"/>
              <w:rPr>
                <w:sz w:val="20"/>
                <w:szCs w:val="20"/>
                <w:color w:val="auto"/>
              </w:rPr>
            </w:pPr>
            <w:r>
              <w:rPr>
                <w:rFonts w:ascii="Times New Roman" w:cs="Times New Roman" w:eastAsia="Times New Roman" w:hAnsi="Times New Roman"/>
                <w:sz w:val="18"/>
                <w:szCs w:val="18"/>
                <w:color w:val="auto"/>
              </w:rPr>
              <w:t>cabin motors, HVAC, and LED lighting</w:t>
            </w:r>
          </w:p>
        </w:tc>
        <w:tc>
          <w:tcPr>
            <w:tcW w:w="2980" w:type="dxa"/>
            <w:vAlign w:val="bottom"/>
            <w:shd w:val="clear" w:color="auto" w:fill="CFF0FC"/>
          </w:tcPr>
          <w:p>
            <w:pPr>
              <w:spacing w:after="0"/>
              <w:rPr>
                <w:sz w:val="13"/>
                <w:szCs w:val="13"/>
                <w:color w:val="auto"/>
              </w:rPr>
            </w:pPr>
          </w:p>
        </w:tc>
        <w:tc>
          <w:tcPr>
            <w:tcW w:w="3100" w:type="dxa"/>
            <w:vAlign w:val="bottom"/>
            <w:shd w:val="clear" w:color="auto" w:fill="CFF0FC"/>
          </w:tcPr>
          <w:p>
            <w:pPr>
              <w:ind w:left="180"/>
              <w:spacing w:after="0" w:line="161" w:lineRule="exact"/>
              <w:rPr>
                <w:sz w:val="20"/>
                <w:szCs w:val="20"/>
                <w:color w:val="auto"/>
              </w:rPr>
            </w:pPr>
            <w:r>
              <w:rPr>
                <w:rFonts w:ascii="Times New Roman" w:cs="Times New Roman" w:eastAsia="Times New Roman" w:hAnsi="Times New Roman"/>
                <w:sz w:val="18"/>
                <w:szCs w:val="18"/>
                <w:color w:val="auto"/>
              </w:rPr>
              <w:t>goods</w:t>
            </w: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440" w:type="dxa"/>
            <w:vAlign w:val="bottom"/>
          </w:tcPr>
          <w:p>
            <w:pPr>
              <w:ind w:left="440"/>
              <w:spacing w:after="0" w:line="195" w:lineRule="exact"/>
              <w:rPr>
                <w:sz w:val="20"/>
                <w:szCs w:val="20"/>
                <w:color w:val="auto"/>
              </w:rPr>
            </w:pPr>
            <w:r>
              <w:rPr>
                <w:rFonts w:ascii="Times New Roman" w:cs="Times New Roman" w:eastAsia="Times New Roman" w:hAnsi="Times New Roman"/>
                <w:sz w:val="18"/>
                <w:szCs w:val="18"/>
                <w:color w:val="auto"/>
              </w:rPr>
              <w:t>▪ Body electronics, including wipers,</w:t>
            </w:r>
          </w:p>
        </w:tc>
        <w:tc>
          <w:tcPr>
            <w:tcW w:w="29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720" w:type="dxa"/>
            <w:vAlign w:val="bottom"/>
          </w:tcPr>
          <w:p>
            <w:pPr>
              <w:spacing w:after="0"/>
              <w:rPr>
                <w:sz w:val="18"/>
                <w:szCs w:val="18"/>
                <w:color w:val="auto"/>
              </w:rPr>
            </w:pPr>
          </w:p>
        </w:tc>
        <w:tc>
          <w:tcPr>
            <w:tcW w:w="3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door/window sensors, seat position and</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Consumer-grade medical devices</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720" w:type="dxa"/>
            <w:vAlign w:val="bottom"/>
          </w:tcPr>
          <w:p>
            <w:pPr>
              <w:spacing w:after="0"/>
              <w:rPr>
                <w:sz w:val="20"/>
                <w:szCs w:val="20"/>
                <w:color w:val="auto"/>
              </w:rPr>
            </w:pPr>
          </w:p>
        </w:tc>
        <w:tc>
          <w:tcPr>
            <w:tcW w:w="3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suspension</w:t>
            </w:r>
          </w:p>
        </w:tc>
        <w:tc>
          <w:tcPr>
            <w:tcW w:w="29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3"/>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5"/>
        </w:trPr>
        <w:tc>
          <w:tcPr>
            <w:tcW w:w="172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Sustainability Initiatives</w:t>
      </w:r>
    </w:p>
    <w:p>
      <w:pPr>
        <w:spacing w:after="0" w:line="118"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Our commitment to “Innovation with Purpose” is a core value that includes operating responsibly and sustainably. Our engineers are developing innovative solutions that address critical customer needs, such as improving efficiency in automotive and industrial systems and supporting the transition to more sustainable energy solutions. We believe that integrating ESG considerations into our business strategy is essential for long-term value creation and meeting the evolving expectations of our stakeholders, including our customers. We recognize that the regulatory landscape surrounding environmental and social issues is dynamic, and our approach may evolve over time as regulations and stakeholder expectations change.</w:t>
      </w:r>
    </w:p>
    <w:p>
      <w:pPr>
        <w:spacing w:after="0" w:line="77"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Our ESG strategy is advanced through our five signature initiatives focused on our products, environmental impacts, supply chain, communities, and workforce. At the core of these initiatives is maximizing the positive impact of our products. We believe our ICs help address global challenges related to carbon dioxide (“CO2”) emissions, energy efficiency, and renewable energy across a variety of applications. For example, our products:</w:t>
      </w:r>
    </w:p>
    <w:p>
      <w:pPr>
        <w:spacing w:after="0" w:line="15" w:lineRule="exact"/>
        <w:rPr>
          <w:sz w:val="20"/>
          <w:szCs w:val="20"/>
          <w:color w:val="auto"/>
        </w:rPr>
      </w:pPr>
    </w:p>
    <w:p>
      <w:pPr>
        <w:ind w:left="760" w:hanging="379"/>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energy efficiency in HEVs and BEVs;</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vehicle emissions and improve fuel economy for ICE vehicles;</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Bolster energy efficiency in next generation data center infrastructure; and</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energy management that is instrumental in renewable and smart energy applications.</w:t>
      </w:r>
    </w:p>
    <w:p>
      <w:pPr>
        <w:spacing w:after="0" w:line="114"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In response to customer demand and as part of the Company’s aim to reduce costs and the environmental impact of our products throughout their lifecycle, we are investing in innovation while measuring and tracking emissions, waste, and water usage across our facilities. The Company has implemented several energy, water, and waste reduction projects at our sites. We also strive to adhere to international standards and regulations regarding manufacturing processes, business procedures, and product composition. Our Scope 1 and Scope 2 emissions, energy use, waste data, water consumption, and other key ESG metrics are publicly disclosed in our annual ESG Report and Carbon Disclosure Project questionnaires on climate change and water security and are available at www.allegromicro.com. Please note that the content on our website and in our ESG Report is not part of, nor incorporated by reference, into this Annual Report.</w:t>
      </w:r>
    </w:p>
    <w:p>
      <w:pPr>
        <w:spacing w:after="0" w:line="77"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The Company is a member of the Responsible Business Alliance (“RBA”), the world’s largest industry coalition dedicated to corporate social responsibility in global supply chains. The Company’s subcontractors and direct materials suppliers must complete and sign the Company’s Supplier Code of Conduct, which addresses labor and human rights, worker health and safety, and environmental standards in alignment with the RBA. In the Company’s Supplier Code of Conduct, subcontractors and direct materials suppliers attest to holding ISO 14001 and ISO 45001 (or comparable) certifications or having a plan to become certified.</w:t>
      </w:r>
    </w:p>
    <w:p>
      <w:pPr>
        <w:spacing w:after="0" w:line="77"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To support our commitment to ESG, we have established a cross-functional team led by our legal department to manage our ESG program (the “ESG Steering Committee”). Our ESG Steering Committee consists of key team members from various departments throughout the Company who are responsible for providing oversight of ESG risks and opportunities, guiding the Company through our multi-year ESG goal setting and roadmap implementation, and promoting supplier compliance with our global sustainability efforts. In addition, our ESG team updates senior management and the Nominating and Governance Committee of our Board of Directors (the “Board”) on a quarterly basis regarding ESG target setting, progress, risks, opportunities, regulatory preparedness, and other key focus areas. An ESG update is also provided annually to our full Board.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Customer Support</w:t>
      </w:r>
    </w:p>
    <w:p>
      <w:pPr>
        <w:spacing w:after="0" w:line="118"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We sell our products worldwide through multiple sales channels, including through our direct sales force, distributors and independent sales representatives, who resell our products to numerous end customers. We have a geographically diverse mix of sales. Our net sales made to distributors were approximately 55.0%, 50.7% and 52.9% of our net sales in fiscal years 2026, 2025 and 2024, respectively. Sales to our largest, non-affiliated distributor accounted for 9.4%, 9.3%, and 10.2% of our net sales in fiscal years 2026, 2025 and 2024, respectively.</w:t>
      </w:r>
    </w:p>
    <w:p>
      <w:pPr>
        <w:spacing w:after="0" w:line="73"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Our direct sales force and field applications engineers provide our customers with specialized technical support. We believe that maintaining a close relationship with our customers and serving their specific technical needs improves their level of satisfaction and enables us to predict and influence their future product needs. We provide ongoing technical training to our distributor and sales representatives to keep them informed of our existing and new products.</w:t>
      </w:r>
    </w:p>
    <w:p>
      <w:pPr>
        <w:spacing w:after="0" w:line="73"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We maintain an internal marketing organization that is responsible for increasing our brand awareness, promoting our products to prospective and existing customers, and driving demand for our products in the market. Our marketing organization’s responsibilities include the creative management of our website, market research and analytics, and development of demand generation strategies and materials, such as product announcements, press releases, brochures, training and videos, as well as securing thought leadership through published technical and trend articles and advertisements, and active engagement in key industry events and conferences.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Manufacturing and Raw Materials</w:t>
      </w:r>
    </w:p>
    <w:p>
      <w:pPr>
        <w:spacing w:after="0" w:line="118"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Our fabless manufacturing strategy consists of a combined internal and external sourcing model. We operate as a fabless company for semiconductor wafer fabrications, relying entirely on third-party foundry partners. For our back-end manufacturing, we use a combination of internal and external resources. Our facility in the Philippines (“AMPI”) serves as our primary internal assembly and testing site. We supplement AMPI’s capacity with a network of external subcontractors located throughout the world. Additionally, we are expanding our regional manufacturing footprint by qualifying additional wafer foundries and outsourced semiconductor assembly and test (“OSAT”) partners in Asia, which enhances supply chain resilience and supports continuity of service to our regional customers.</w:t>
      </w:r>
    </w:p>
    <w:p>
      <w:pPr>
        <w:spacing w:after="0" w:line="77"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Our manufacturing processes use raw materials, including silicon wafers, laminate substrates, lead frames, gold and copper wires, rare earth materials, including samarium used in our magnetic sensors, and molding compounds. We seek to obtain these materials from our suppliers in a timely manner to align our production with customer demand. We work closely with our key third-party suppliers, providing rolling forecasts to help ensure an adequate supply of materials and wafer capacity. However, these suppliers may extend lead times, limit supplies, or increase prices due to factors beyond our or their control, including geopolitical and international trade restrictions. Our reliance on this hybrid manufacturing model and our supply chain involves a number of risks, which are described in more detail under “Item 1A. Risk Factors.”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18"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We sell our products to major global OEMs and their key suppliers, primarily in the automotive and industrial markets. We sold to more than 15,000 end customers, directly and through distributors, during each of fiscal years 2026, 2025 and 2024. Approximately half of our net sales during each of fiscal years 2026, 2025 and 2024 were derived from sales to our top 20 customers, which includes distributors. No end customer, including those served through our distributors, exceeded 10% of our net sales during fiscal years 2026, 2025 and 2024.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Strategy</w:t>
      </w:r>
    </w:p>
    <w:p>
      <w:pPr>
        <w:spacing w:after="0" w:line="118"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We are a technology company, and we believe our future success depends on our ability to rapidly develop and introduce differentiated new products in our target markets. As a result, we are committed to investing in our process and product development capabilities while focusing our engineering efforts on designing and introducing new application-specific products, developing new semiconductor process and packaging technologies, enhancing design productivity and evaluating new technologies. Our research and development investments are subject to a rigorous ROI review to ensure alignment with our growth and profitability targets. We believe that by effectively applying these resources, we have developed proprietary innovations and intellectual property that will give us an early lead in our target markets and will enable accelerated growth over time.</w:t>
      </w:r>
    </w:p>
    <w:p>
      <w:pPr>
        <w:spacing w:after="0" w:line="77"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Over the last 10 years, we believe we have been instrumental in achieving fundamental developments that have enabled key technology transitions in the automotive and industrial markets. We believe we are one of very few suppliers in the semiconductor industry to integrate proprietary, high-performance motor control algorithms into our motion control devices to achieve optimized BLDC motor performance. We remain one of the few suppliers that has developed multiple packaging technologies capable of operating at temperatures of up to 175 degrees Celsius and incorporating the passive components and high-current conductors required to produce high-efficiency, high-voltage sensor and power products. We were also one of the first in our industry to develop automotive grade xMR technology on silicon wafers, which enabled breakthrough advances in product performance. This advanced technology is a key enabler across our strategic focus areas in the automotive and industrial markets as automation and energy efficient markets continue to transition to xMR.</w:t>
      </w:r>
    </w:p>
    <w:p>
      <w:pPr>
        <w:spacing w:after="0" w:line="80" w:lineRule="exact"/>
        <w:rPr>
          <w:sz w:val="20"/>
          <w:szCs w:val="20"/>
          <w:color w:val="auto"/>
        </w:rPr>
      </w:pPr>
    </w:p>
    <w:p>
      <w:pPr>
        <w:jc w:val="both"/>
        <w:ind w:firstLine="562"/>
        <w:spacing w:after="0" w:line="263" w:lineRule="auto"/>
        <w:rPr>
          <w:sz w:val="20"/>
          <w:szCs w:val="20"/>
          <w:color w:val="auto"/>
        </w:rPr>
      </w:pPr>
      <w:r>
        <w:rPr>
          <w:rFonts w:ascii="Times New Roman" w:cs="Times New Roman" w:eastAsia="Times New Roman" w:hAnsi="Times New Roman"/>
          <w:sz w:val="18"/>
          <w:szCs w:val="18"/>
          <w:color w:val="auto"/>
        </w:rPr>
        <w:t>We augment our internally generated intellectual property through a mix of licensed intellectual property, partnering with industry experts, and through acquisitions. For example, the two businesses we acquired in the past four years provide leading technology, including IGD and TMR, which will expand our SAM, most notably in BEV, AI data center and energy infrastructure.</w:t>
      </w:r>
    </w:p>
    <w:p>
      <w:pPr>
        <w:spacing w:after="0" w:line="68"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Our global team of highly skilled engineers has extensive semiconductor development experience, including expertise in analog design, digital design, test, and process technology. As of March 27, 2026, we had approximately 760 employees dedicated to research and development, with centers in the United States, Europe, South America, and Asia. The efforts of our engineering team and our strategic acquisitions have resulted in further strengthening our position in our target markets.</w:t>
      </w:r>
    </w:p>
    <w:p>
      <w:pPr>
        <w:spacing w:after="0" w:line="73"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We have also made significant investments in our core engineering capabilities, including improvements in tools to support greater engineering efficiency, as well as electrical component, magnetic performance, and thermal distribution modeling. We believe these improved tools enable us to more accurately evaluate and predict the performance of our designs, resulting in accelerated time-to-market for our products and satisfaction of our customers. Additionally, we are strategically integrating advanced AI and automation into our research and development lifecycle to streamline the chip design process, significantly enhancing engineering productivity and accelerating the time-to-market for our innovative product portfolio.</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3" w:name="page14"/>
    <w:bookmarkEnd w:id="13"/>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Our focus on meeting or exceeding the stringent automotive market safety and reliability requirements is fundamental to our research and development process. We anticipate that we will continue to make research and development investments in order to enhance our leadership position and expand our markets with innovative, high-quality products and services (as exemplified through our acquisitions of IGD and TMR technologies).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and Packaging Technology</w:t>
      </w:r>
    </w:p>
    <w:p>
      <w:pPr>
        <w:spacing w:after="0" w:line="118" w:lineRule="exact"/>
        <w:rPr>
          <w:sz w:val="20"/>
          <w:szCs w:val="20"/>
          <w:color w:val="auto"/>
        </w:rPr>
      </w:pPr>
    </w:p>
    <w:p>
      <w:pPr>
        <w:jc w:val="both"/>
        <w:ind w:firstLine="562"/>
        <w:spacing w:after="0" w:line="251" w:lineRule="auto"/>
        <w:rPr>
          <w:sz w:val="20"/>
          <w:szCs w:val="20"/>
          <w:color w:val="auto"/>
        </w:rPr>
      </w:pPr>
      <w:r>
        <w:rPr>
          <w:rFonts w:ascii="Times New Roman" w:cs="Times New Roman" w:eastAsia="Times New Roman" w:hAnsi="Times New Roman"/>
          <w:sz w:val="18"/>
          <w:szCs w:val="18"/>
          <w:color w:val="auto"/>
        </w:rPr>
        <w:t>Our product and technology development engineers have long-established expertise in designing mixed signal power and magnetic sensor ICs using proprietary semiconductor process technologies and intelligent packaging. By integrating these capabilities, we provide complete system solutions and robust performance required by the most stringent customers and automotive applications. These have the benefit of advancing the feature, function, and cost of ownership of our devices relative to those of our competitors. For example, we released a unique 120V and 175-degree Celsius capable BCD wafer technology designed to handle automotive voltage and temperature transients. This platform integrates high-density logic circuits and electrically erasable programmable read-only memory to enable configurable and embedded algorithms alongside various Hall-effect and xMR transducer technology on a single silicon wafer. These technologies are fundamental to the transition from 12V to 48V power supply required in the rapidly emerging HEV and BEV markets, and to the next generation of ADAS systems. These 48V and high-voltage capabilities are cornerstone technologies for our growth in xEV powertrain and ADAS safety systems, as well as in the rapidly expanding AI data center cooling and humanoid robotics markets. We further leveraged this leadership by industrializing our IGD portfolio with integrated transformers, providing a highly integrated, small-footprint solution for high-voltage power conversion for our global customers.</w:t>
      </w:r>
    </w:p>
    <w:p>
      <w:pPr>
        <w:spacing w:after="0" w:line="80"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In choosing the process technology to be used to manufacture a new product, we seek to optimize the match between the process technology and the desired performance parameters of the product for our customers. Our current strategic semiconductor process innovations include the following:</w:t>
      </w:r>
    </w:p>
    <w:p>
      <w:pPr>
        <w:spacing w:after="0" w:line="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Automotive Quality and Safety</w:t>
      </w:r>
    </w:p>
    <w:p>
      <w:pPr>
        <w:spacing w:after="0" w:line="118" w:lineRule="exact"/>
        <w:rPr>
          <w:sz w:val="20"/>
          <w:szCs w:val="20"/>
          <w:color w:val="auto"/>
        </w:rPr>
      </w:pPr>
    </w:p>
    <w:p>
      <w:pPr>
        <w:jc w:val="both"/>
        <w:ind w:firstLine="562"/>
        <w:spacing w:after="0" w:line="263" w:lineRule="auto"/>
        <w:rPr>
          <w:sz w:val="20"/>
          <w:szCs w:val="20"/>
          <w:color w:val="auto"/>
        </w:rPr>
      </w:pPr>
      <w:r>
        <w:rPr>
          <w:rFonts w:ascii="Times New Roman" w:cs="Times New Roman" w:eastAsia="Times New Roman" w:hAnsi="Times New Roman"/>
          <w:sz w:val="18"/>
          <w:szCs w:val="18"/>
          <w:color w:val="auto"/>
        </w:rPr>
        <w:t>We have developed, characterized, and qualified our wafer and package technologies to meet or exceed the rigorous automotive requirements that our customers demand. Robust development processes and guidelines have resulted in devices capable of exceeding the requirements of Automotive Electronics Council Q100 Automotive Grade 0 of 150 degrees Celsius, and our field failure rates are consistent with or better than customer requirements.</w:t>
      </w:r>
    </w:p>
    <w:p>
      <w:pPr>
        <w:spacing w:after="0" w:line="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Integrated Transducers</w:t>
      </w:r>
    </w:p>
    <w:p>
      <w:pPr>
        <w:spacing w:after="0" w:line="118"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One of our fundamental innovations is the integration of magnetic transducers and CMOS circuitry into one piece of silicon to create a complete, fully integrated system. Hall-effect elements are implanted in silicon, providing robust and low-noise solutions that are optimized for stress and temperature effects. Thin film, high-resolution xMR transducers are deposited directly on top of the low-noise bipolar and CMOS circuitry creating a more reliable solution than multi-chip solutions by reducing interconnects and solution area. To achieve the highest level of Automotive Safety Integrity Level (“ASIL”), we integrate xMR and Hall-effect transducers onto the same silicon to produce heterogeneous solutions capable of performing reliably in the most demanding automotive environments.</w:t>
      </w:r>
    </w:p>
    <w:p>
      <w:pPr>
        <w:spacing w:after="0" w:line="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High-Voltage Technology</w:t>
      </w:r>
    </w:p>
    <w:p>
      <w:pPr>
        <w:spacing w:after="0" w:line="118" w:lineRule="exact"/>
        <w:rPr>
          <w:sz w:val="20"/>
          <w:szCs w:val="20"/>
          <w:color w:val="auto"/>
        </w:rPr>
      </w:pPr>
    </w:p>
    <w:p>
      <w:pPr>
        <w:jc w:val="both"/>
        <w:ind w:firstLine="562"/>
        <w:spacing w:after="0" w:line="269" w:lineRule="auto"/>
        <w:rPr>
          <w:sz w:val="20"/>
          <w:szCs w:val="20"/>
          <w:color w:val="auto"/>
        </w:rPr>
      </w:pPr>
      <w:r>
        <w:rPr>
          <w:rFonts w:ascii="Times New Roman" w:cs="Times New Roman" w:eastAsia="Times New Roman" w:hAnsi="Times New Roman"/>
          <w:sz w:val="17"/>
          <w:szCs w:val="17"/>
          <w:color w:val="auto"/>
        </w:rPr>
        <w:t>Our intellectual property, developed over decades of leadership in stringent automotive applications, combines advanced mixed-signal integration with proprietary high-voltage solutions. A key differentiator of our technology is the monolithic integration of 120V capable power transistors with embedded digital logic and precision analog circuits. This integration significantly reduces the bill of materials and shrinks the PCB for our customers while delivering the most efficient and quietest motor control solutions in the market. As the industry transitions to 800V+ architectures in both xEVs and AI data centers, we have leveraged our deep expertise in high-voltage materials and advanced isolation to develop and ship millions of specialized high-voltage packages. This proven capability in high-voltage packaging and sensing, where we have already deployed millions of current sensors and are rapidly scaling our IGD portfolio, represents a competitive strength and underscores our leadership in the global electrification and “Physical AI” (the integration of AI into physical machinery - such as robots, autonomous vehicles, and drones-enabling them to perceive, understand, and act within the real world) ecosystems.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Advanced, Small Form Factor Integrated Packages</w:t>
      </w:r>
    </w:p>
    <w:p>
      <w:pPr>
        <w:spacing w:after="0" w:line="118"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We continue to combine circuit design and process innovation with novel packaging solutions that improve performance and reliability while reducing solution footprint and our customers’ cost of ownership. Two decades of sensor package innovation have led to the development of a family of integrated systems in a package for magnetic current, position, and speed sensor ICs. By integrating a combination of a magnet, magnetic core, passive components, and our silicon integrated circuit in a single body, we are able to offer inventive magnetic sensors that reduce our customers’ needs to design complex magnetic models or complex interface circuits, solve electrical interference issues with external PCBs, and enable smaller and more cost-effective customer systems. The current sensors integrate specially designed lead frames to allow a high-precision, factory-programmed single package solution that provides a unique high-efficiency and high-voltage isolation product and can sense current for products plugged directly into a household electrical outlet or connected to an 800V automotive battery. Years of design and manufacturing refinement have led to the latest generation of power products that integrate passive components and power conversion capabilities into small packages to reduce PCB footprint, reduce electromagnetic noise, and improve efficiency in high-power systems. Our IGDs also incorporate a DC-DC converter, a small planar transformer, and a gate driver into a small form factor package. Through innovative package integration, these IGDs minimize parasitic capacitance and can significantly improve system-level efficiency in electrified vehicles, clean energy, and factory automation systems. We also believe we are one of only a few companies in our industry that have developed a broad portfolio of packages that are suitable for operation in automotive environments and 175-degree Celsius temperatures.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8"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We consider the strength of our intellectual property portfolio to be a significant competitive advantage. Our intellectual property includes patented inventions, trade secrets, accumulated technical know-how and trademarks. As of March 27, 2026, we owned approximately 1,860 active patents, including 1,005 U.S. patents (with expiration dates between 2026 and 2044), with approximately 440 pending patent applications, including 250 U.S. patent applications.</w:t>
      </w:r>
    </w:p>
    <w:p>
      <w:pPr>
        <w:spacing w:after="0" w:line="73"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We market our products worldwide under the “Allegro” name. We either hold or have applied for trademarks in all jurisdictions where we do significant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semiconductor industry, particularly the market for high-performance analog mixed-signal semiconductors, is highly competitive. Although no one company competes with us across all of our product lines, we face significant competition within each of our business areas from both domestic and international semiconductor companies. Our primary competitors include a broad spectrum of global semiconductor designers and manufacturers, ranging from large-scale diversified entities to specialized participants focused on specific sensing and power management technologies.</w:t>
      </w:r>
    </w:p>
    <w:p>
      <w:pPr>
        <w:spacing w:after="0" w:line="73"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against these companies depends on elements both within and outside of our control. Some of our competitors have substantially greater financial, technical, marketing, and management resources than we have. These competitive advantages may enable them to respond more quickly to new or emerging technologies or changes in customer requirements, or better position them to withstand adverse economic or market conditions.</w:t>
      </w:r>
    </w:p>
    <w:p>
      <w:pPr>
        <w:spacing w:after="0" w:line="73" w:lineRule="exact"/>
        <w:rPr>
          <w:sz w:val="20"/>
          <w:szCs w:val="20"/>
          <w:color w:val="auto"/>
        </w:rPr>
      </w:pPr>
    </w:p>
    <w:p>
      <w:pPr>
        <w:jc w:val="both"/>
        <w:ind w:firstLine="562"/>
        <w:spacing w:after="0" w:line="263" w:lineRule="auto"/>
        <w:rPr>
          <w:sz w:val="20"/>
          <w:szCs w:val="20"/>
          <w:color w:val="auto"/>
        </w:rPr>
      </w:pPr>
      <w:r>
        <w:rPr>
          <w:rFonts w:ascii="Times New Roman" w:cs="Times New Roman" w:eastAsia="Times New Roman" w:hAnsi="Times New Roman"/>
          <w:sz w:val="18"/>
          <w:szCs w:val="18"/>
          <w:color w:val="auto"/>
        </w:rPr>
        <w:t>We believe we can successfully compete against these organizations in our target markets by leveraging our design and market expertise and leadership positions, proprietary manufacturing processes, custom packaging capabilities, and close customer relationships. In addition, we compete in our target markets to varying degrees based on several competitive factors, including:</w:t>
      </w:r>
    </w:p>
    <w:p>
      <w:pPr>
        <w:spacing w:after="0" w:line="15" w:lineRule="exact"/>
        <w:rPr>
          <w:sz w:val="20"/>
          <w:szCs w:val="20"/>
          <w:color w:val="auto"/>
        </w:rPr>
      </w:pPr>
    </w:p>
    <w:p>
      <w:pPr>
        <w:ind w:left="760" w:hanging="379"/>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market;</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and application expertise;</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reliability;</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systems and support;</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features and performance;</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technology;</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capacity; and</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solution price.</w:t>
      </w:r>
    </w:p>
    <w:p>
      <w:pPr>
        <w:spacing w:after="0" w:line="114"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We believe we currently compete favorably with respect to these factors. However, we cannot assure you that our products will continue to compete favorably or that we will be successful in the face of increasing competition from new products and enhancements introduced by existing competitors or new competitors entering our markets. See “Risk Factors—Risks Related to our Business and Industry—We face intense competition and may not be able to compete effectively, which could reduce our market share and decrease our net sales and profitability.”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Seasonality and Market Demand</w:t>
      </w:r>
    </w:p>
    <w:p>
      <w:pPr>
        <w:spacing w:after="0" w:line="118"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Our business exhibits some seasonality. Historically, our net sales have generally been higher in the second half of the fiscal year than in the first half. We have also consistently experienced a seasonal decline in automotive in our fourth fiscal quarter, which is largely attributable to the Chinese New Year and its impact on customer demand in China in the quarter. However, various factors, such as market conditions, the cyclicality of the semiconductor industry, new product introductions, and the supply chain environment, can impact the effects of seasonality on our business.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18"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Our employees are our most valuable assets and contribute to Allegro’s success. We have a skilled and experienced workforce across research and development, operations and quality, sales and marketing and our general and administrative support functions. Together as “One Allegro,” our employees are instrumental in driving operational execution and quality excellence, delivering strong financial performance, advancing innovation, and building trusted customer relationships to help solve our most complex problems.</w:t>
      </w:r>
    </w:p>
    <w:p>
      <w:pPr>
        <w:spacing w:after="0" w:line="73"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As of March 27, 2026, we employed approximately 4,250 full-time employees, including 760 in R&amp;D, 2,950 in operations and quality (the majority of whom are located at AMPI), 235 in sales and marketing and 305 in general and administrative roles. We consider our relationship with our employees to be good, as we have never experienced a labor-related work stoppage. None of our employees are represented by a labor union.</w:t>
      </w:r>
    </w:p>
    <w:p>
      <w:pPr>
        <w:spacing w:after="0" w:line="6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success and growth of Allegro’s business are dependent in large part on our ability to attract, retain, and develop talented, high-performing employees from various backgrounds at all levels of our organization. We continue to invest in our centers of excellence and global design centers to attract top analog design talent. We maintain a technical ladder across our engineering disciplines to provide a robust career path. Additionally, we offer a specific Field Applications Engineer training in partnership with sales and other departments to educate teams on our extensive product portfolio.</w:t>
      </w:r>
    </w:p>
    <w:p>
      <w:pPr>
        <w:spacing w:after="0" w:line="73"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As of March 27, 2026, approximately 2,350 of our employees held university and graduate-level degrees, of which approximately 1,500 of these employees were located outside of our factory locations. For our research, engineering, and production management positions, we require employees with university and graduate-level degrees. Globally, the demand for employees with such levels of education is high and competitive.</w:t>
      </w:r>
    </w:p>
    <w:p>
      <w:pPr>
        <w:spacing w:after="0" w:line="6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To succeed in these conditions, Allegro implements key recruitment and retention strategies, objectives and effectiveness measures as part of the overall management of our business. These core strategies are advanced through the following programs, policies and initiatives:</w:t>
      </w:r>
    </w:p>
    <w:p>
      <w:pPr>
        <w:spacing w:after="0" w:line="51" w:lineRule="exact"/>
        <w:rPr>
          <w:sz w:val="20"/>
          <w:szCs w:val="20"/>
          <w:color w:val="auto"/>
        </w:rPr>
      </w:pPr>
    </w:p>
    <w:p>
      <w:pPr>
        <w:jc w:val="both"/>
        <w:ind w:firstLine="56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Competitive Pay and Benefits. </w:t>
      </w:r>
      <w:r>
        <w:rPr>
          <w:rFonts w:ascii="Times New Roman" w:cs="Times New Roman" w:eastAsia="Times New Roman" w:hAnsi="Times New Roman"/>
          <w:sz w:val="18"/>
          <w:szCs w:val="18"/>
          <w:color w:val="auto"/>
        </w:rPr>
        <w:t>Allegro’s compensation programs are designed to align the compensation of our employees, who operate in a highly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competitive and technologically challenging environment, with Allegro’s business performance and to provide the proper incentives to attract, retain and motivate employees to achieve superior performance. The structure of our compensation programs provides incentive earnings for both short-term and long-term performance. Specifically, and as applicable to individual employees and roles:</w:t>
      </w:r>
    </w:p>
    <w:p>
      <w:pPr>
        <w:spacing w:after="0" w:line="20" w:lineRule="exact"/>
        <w:rPr>
          <w:sz w:val="20"/>
          <w:szCs w:val="20"/>
          <w:color w:val="auto"/>
        </w:rPr>
      </w:pPr>
    </w:p>
    <w:p>
      <w:pPr>
        <w:ind w:left="760" w:hanging="379"/>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short-term incentive and equity awards based on both business and individual performance.</w:t>
      </w:r>
    </w:p>
    <w:p>
      <w:pPr>
        <w:spacing w:after="0" w:line="60" w:lineRule="exact"/>
        <w:rPr>
          <w:rFonts w:ascii="Times New Roman" w:cs="Times New Roman" w:eastAsia="Times New Roman" w:hAnsi="Times New Roman"/>
          <w:sz w:val="18"/>
          <w:szCs w:val="18"/>
          <w:color w:val="auto"/>
        </w:rPr>
      </w:pPr>
    </w:p>
    <w:p>
      <w:pPr>
        <w:ind w:left="760" w:hanging="379"/>
        <w:spacing w:after="0" w:line="27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non-sales employees participate in one of our annual cash incentive programs, allowing them an opportunity to be rewarded with compensation that aligns with both the business performance of Allegro and their own individual performance.</w:t>
      </w:r>
    </w:p>
    <w:p>
      <w:pPr>
        <w:spacing w:after="0" w:line="1" w:lineRule="exact"/>
        <w:rPr>
          <w:rFonts w:ascii="Times New Roman" w:cs="Times New Roman" w:eastAsia="Times New Roman" w:hAnsi="Times New Roman"/>
          <w:sz w:val="18"/>
          <w:szCs w:val="18"/>
          <w:color w:val="auto"/>
        </w:rPr>
      </w:pPr>
    </w:p>
    <w:p>
      <w:pPr>
        <w:ind w:left="760" w:hanging="379"/>
        <w:spacing w:after="0" w:line="27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and field applications positions participate in our annual sales incentive plan, allowing them to earn additional cash incentives based on the achievement of specific sales metrics designed to drive our financial performance.</w:t>
      </w:r>
    </w:p>
    <w:p>
      <w:pPr>
        <w:spacing w:after="0" w:line="1" w:lineRule="exact"/>
        <w:rPr>
          <w:rFonts w:ascii="Times New Roman" w:cs="Times New Roman" w:eastAsia="Times New Roman" w:hAnsi="Times New Roman"/>
          <w:sz w:val="18"/>
          <w:szCs w:val="18"/>
          <w:color w:val="auto"/>
        </w:rPr>
      </w:pPr>
    </w:p>
    <w:p>
      <w:pPr>
        <w:jc w:val="both"/>
        <w:ind w:left="760" w:hanging="379"/>
        <w:spacing w:after="0" w:line="25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provide an opportunity for many of our global employees to earn equity awards. Additionally, in the U.S. and the United Kingdom, we offer an employee stock purchase plan to our non-executive employees, which allows them to purchase shares of Allegro stock at a discounted price. This stock purchase plan further aligns our employees’ financial interests with the performance of the business and the interests of our stockholders.</w:t>
      </w:r>
    </w:p>
    <w:p>
      <w:pPr>
        <w:spacing w:after="0" w:line="19" w:lineRule="exact"/>
        <w:rPr>
          <w:rFonts w:ascii="Times New Roman" w:cs="Times New Roman" w:eastAsia="Times New Roman" w:hAnsi="Times New Roman"/>
          <w:sz w:val="18"/>
          <w:szCs w:val="18"/>
          <w:color w:val="auto"/>
        </w:rPr>
      </w:pPr>
    </w:p>
    <w:p>
      <w:pPr>
        <w:ind w:left="760" w:right="20" w:hanging="379"/>
        <w:spacing w:after="0" w:line="27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 compensation data from external compensation and benefits consulting firms to ensure we provide competitive compensation in each of the geographic locations in which we operate.</w:t>
      </w:r>
    </w:p>
    <w:p>
      <w:pPr>
        <w:spacing w:after="0" w:line="1" w:lineRule="exact"/>
        <w:rPr>
          <w:rFonts w:ascii="Times New Roman" w:cs="Times New Roman" w:eastAsia="Times New Roman" w:hAnsi="Times New Roman"/>
          <w:sz w:val="18"/>
          <w:szCs w:val="18"/>
          <w:color w:val="auto"/>
        </w:rPr>
      </w:pPr>
    </w:p>
    <w:p>
      <w:pPr>
        <w:jc w:val="both"/>
        <w:ind w:left="760" w:hanging="379"/>
        <w:spacing w:after="0" w:line="263"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align our executives’ annual and long-term equity compensation, in the form of performance-based restricted stock units (“PSUs”) and time-based restricted stock units (“RSUs”), with our stockholders’ interests by linking realizable pay with Allegro’s stock performance and other key business and financial operating metrics.</w:t>
      </w:r>
    </w:p>
    <w:p>
      <w:pPr>
        <w:spacing w:after="0" w:line="14"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comprehensive benefit options designed to retain our employees and support their families in all areas of health and wellness.</w:t>
      </w:r>
    </w:p>
    <w:p>
      <w:pPr>
        <w:spacing w:after="0" w:line="60" w:lineRule="exact"/>
        <w:rPr>
          <w:rFonts w:ascii="Times New Roman" w:cs="Times New Roman" w:eastAsia="Times New Roman" w:hAnsi="Times New Roman"/>
          <w:sz w:val="18"/>
          <w:szCs w:val="18"/>
          <w:color w:val="auto"/>
        </w:rPr>
      </w:pPr>
    </w:p>
    <w:p>
      <w:pPr>
        <w:ind w:left="760" w:hanging="379"/>
        <w:spacing w:after="0" w:line="27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social community benefits, including a global charitable gift matching program, and a global volunteer policy, both of which help our employees give back to the local communities in which we operate.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6" w:name="page17"/>
    <w:bookmarkEnd w:id="16"/>
    <w:p>
      <w:pPr>
        <w:jc w:val="both"/>
        <w:ind w:firstLine="56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Employee recruitment, retention and development. </w:t>
      </w:r>
      <w:r>
        <w:rPr>
          <w:rFonts w:ascii="Times New Roman" w:cs="Times New Roman" w:eastAsia="Times New Roman" w:hAnsi="Times New Roman"/>
          <w:sz w:val="17"/>
          <w:szCs w:val="17"/>
          <w:color w:val="auto"/>
        </w:rPr>
        <w:t>Allegro works diligently to attract the best available talent from a broad array of sources to meet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current and future demands of our business. We have established relationships with world-class colleges and universities, professional associations and industry groups to proactively attract talented and capable new hires. We also utilize social media, local job fairs and educational organizations to find motivated and responsible candidates who represent a variety of backgrounds, perspectives and experiences. We have also made strides in expanding the breadth of qualified talent pools we draw from to find candidates for management positions, while building internal resources to support our employees, regardless of background, to qualify for future leadership openings. Allegro has a strong employee value proposition that leverages our technology leadership, collaborative working environment, shared sense of purpose and culture, and the desire to do the right thing to attract talent to our Company.</w:t>
      </w:r>
    </w:p>
    <w:p>
      <w:pPr>
        <w:spacing w:after="0" w:line="64"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We closely monitor employee turnover rates, as our success depends upon retaining and investing in our highly trained manufacturing and technical staff. Allegro strives to decrease employee-initiated voluntary turnover and increase employee retention through a combination of competitive compensation, individual developmental opportunities and personal career enrichment and growth. We strive to provide an inclusive culture where employees can come to work, feel a sense of belonging and achieve their personal best. We provide a Flex@Allegro program to allow our employees flexibility as to where and how work gets accomplished. This flexible work arrangement enables our employees to achieve better work and life balance, and helps us to attract and retain talent. Our retention at the technical, professional and managerial levels is high, and our voluntary turnover remains lower than industry averages based on benchmark data.</w:t>
      </w:r>
    </w:p>
    <w:p>
      <w:pPr>
        <w:spacing w:after="0" w:line="73"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Employee Engagement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Allegro, we strive to create a positive, values-based culture and high employee engagement where our employees 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bring their best to work. In fiscal year 2026, we launched our third annual global employee engagement survey to all employees, and achieved a high participation rate, indicating employees see value in sharing their perceptions and sentiments about working at Allegro. Our engagement score for fiscal year 2026 is on par with industry benchmarks, and the survey found that the large majority of employees would recommend Allegro as a great place to work and are proud to work at Allegro. In addition, the majority of employees feel that the products and services we offer are as good or better than our competitors, driving pride in the organization and passion for what we build and deliver.</w:t>
      </w:r>
    </w:p>
    <w:p>
      <w:pPr>
        <w:spacing w:after="0" w:line="71"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Embracing Innovation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strategically investing in, developing, and deploying AI, machine learning, and automation solutions to our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workforce, designed to accelerate our “Innovation with Purpose” mission. By integrating advanced AI tools into our chip design lifecycle, manufacturing operations, and administrative functions, we are empowering our engineers and professionals to achieve greater operational efficiency and shift their focus toward high-value, disruptive product development. We believe this commitment to an AI-enabled workforce allows us to maximize our human capital potential, driving faster time-to-market for our innovative solutions while maintaining a disciplined approach to organizational growth.</w:t>
      </w:r>
    </w:p>
    <w:p>
      <w:pPr>
        <w:spacing w:after="0" w:line="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 xml:space="preserve">Information about our Executive Officers. </w:t>
      </w:r>
      <w:r>
        <w:rPr>
          <w:rFonts w:ascii="Times New Roman" w:cs="Times New Roman" w:eastAsia="Times New Roman" w:hAnsi="Times New Roman"/>
          <w:sz w:val="18"/>
          <w:szCs w:val="18"/>
          <w:color w:val="auto"/>
        </w:rPr>
        <w:t>The following table sets forth certain information regarding our executive officers as of May 21, 2026: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550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Position with Company</w:t>
            </w:r>
          </w:p>
        </w:tc>
      </w:tr>
      <w:tr>
        <w:trPr>
          <w:trHeight w:val="207"/>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C. Doogue</w:t>
            </w:r>
          </w:p>
        </w:tc>
        <w:tc>
          <w:tcPr>
            <w:tcW w:w="1680" w:type="dxa"/>
            <w:vAlign w:val="bottom"/>
            <w:gridSpan w:val="2"/>
            <w:shd w:val="clear" w:color="auto" w:fill="CFF0FC"/>
          </w:tcPr>
          <w:p>
            <w:pPr>
              <w:jc w:val="center"/>
              <w:ind w:left="11"/>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shd w:val="clear" w:color="auto" w:fill="CFF0FC"/>
          </w:tcPr>
          <w:p>
            <w:pPr>
              <w:spacing w:after="0"/>
              <w:rPr>
                <w:sz w:val="18"/>
                <w:szCs w:val="18"/>
                <w:color w:val="auto"/>
              </w:rPr>
            </w:pPr>
          </w:p>
        </w:tc>
        <w:tc>
          <w:tcPr>
            <w:tcW w:w="5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r>
      <w:tr>
        <w:trPr>
          <w:trHeight w:val="21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Derek P. D’Antilio</w:t>
            </w:r>
          </w:p>
        </w:tc>
        <w:tc>
          <w:tcPr>
            <w:tcW w:w="168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18"/>
                <w:szCs w:val="18"/>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14"/>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Sharon S. Briansky</w:t>
            </w:r>
          </w:p>
        </w:tc>
        <w:tc>
          <w:tcPr>
            <w:tcW w:w="1680" w:type="dxa"/>
            <w:vAlign w:val="bottom"/>
            <w:gridSpan w:val="2"/>
            <w:shd w:val="clear" w:color="auto" w:fill="CFF0FC"/>
          </w:tcPr>
          <w:p>
            <w:pPr>
              <w:jc w:val="center"/>
              <w:ind w:left="11"/>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shd w:val="clear" w:color="auto" w:fill="CFF0FC"/>
          </w:tcPr>
          <w:p>
            <w:pPr>
              <w:spacing w:after="0"/>
              <w:rPr>
                <w:sz w:val="18"/>
                <w:szCs w:val="18"/>
                <w:color w:val="auto"/>
              </w:rPr>
            </w:pPr>
          </w:p>
        </w:tc>
        <w:tc>
          <w:tcPr>
            <w:tcW w:w="5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21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Troy T. Coleman</w:t>
            </w:r>
          </w:p>
        </w:tc>
        <w:tc>
          <w:tcPr>
            <w:tcW w:w="168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18"/>
                <w:szCs w:val="18"/>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General Manager, Products</w:t>
            </w:r>
          </w:p>
        </w:tc>
      </w:tr>
      <w:tr>
        <w:trPr>
          <w:trHeight w:val="214"/>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Erin E. Hagen</w:t>
            </w:r>
          </w:p>
        </w:tc>
        <w:tc>
          <w:tcPr>
            <w:tcW w:w="1680" w:type="dxa"/>
            <w:vAlign w:val="bottom"/>
            <w:gridSpan w:val="2"/>
            <w:shd w:val="clear" w:color="auto" w:fill="CFF0FC"/>
          </w:tcPr>
          <w:p>
            <w:pPr>
              <w:jc w:val="center"/>
              <w:ind w:left="11"/>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shd w:val="clear" w:color="auto" w:fill="CFF0FC"/>
          </w:tcPr>
          <w:p>
            <w:pPr>
              <w:spacing w:after="0"/>
              <w:rPr>
                <w:sz w:val="18"/>
                <w:szCs w:val="18"/>
                <w:color w:val="auto"/>
              </w:rPr>
            </w:pPr>
          </w:p>
        </w:tc>
        <w:tc>
          <w:tcPr>
            <w:tcW w:w="5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Senior Vice President, Chief Human Resources Officer</w:t>
            </w:r>
          </w:p>
        </w:tc>
      </w:tr>
      <w:tr>
        <w:trPr>
          <w:trHeight w:val="21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Ian Kent</w:t>
            </w:r>
          </w:p>
        </w:tc>
        <w:tc>
          <w:tcPr>
            <w:tcW w:w="168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18"/>
                <w:szCs w:val="18"/>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Operations</w:t>
            </w:r>
          </w:p>
        </w:tc>
      </w:tr>
      <w:tr>
        <w:trPr>
          <w:trHeight w:val="214"/>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Richard A. Madormo</w:t>
            </w:r>
          </w:p>
        </w:tc>
        <w:tc>
          <w:tcPr>
            <w:tcW w:w="1680" w:type="dxa"/>
            <w:vAlign w:val="bottom"/>
            <w:gridSpan w:val="2"/>
            <w:shd w:val="clear" w:color="auto" w:fill="CFF0FC"/>
          </w:tcPr>
          <w:p>
            <w:pPr>
              <w:jc w:val="center"/>
              <w:ind w:left="11"/>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shd w:val="clear" w:color="auto" w:fill="CFF0FC"/>
          </w:tcPr>
          <w:p>
            <w:pPr>
              <w:spacing w:after="0"/>
              <w:rPr>
                <w:sz w:val="18"/>
                <w:szCs w:val="18"/>
                <w:color w:val="auto"/>
              </w:rPr>
            </w:pPr>
          </w:p>
        </w:tc>
        <w:tc>
          <w:tcPr>
            <w:tcW w:w="5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Senior Vice President, Worldwide Sales</w:t>
            </w:r>
          </w:p>
        </w:tc>
      </w:tr>
    </w:tbl>
    <w:p>
      <w:pPr>
        <w:spacing w:after="0" w:line="85"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C. Doogue </w:t>
      </w:r>
      <w:r>
        <w:rPr>
          <w:rFonts w:ascii="Times New Roman" w:cs="Times New Roman" w:eastAsia="Times New Roman" w:hAnsi="Times New Roman"/>
          <w:sz w:val="18"/>
          <w:szCs w:val="18"/>
          <w:color w:val="auto"/>
        </w:rPr>
        <w:t>was appointed President and Chief Executive Officer and as a member of our Board, in February 2025. Prior to that, he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our Executive Vice President, Chief Technology Officer, since being named as the Company’s first Chief Technology Officer in September 2022. Mr. Doogue joined Allegro in 1998 as a Design Engineer, facilitating the development of Allegro’s innovative speed and current sensor ICs. Mr. Doogue has also served in various leadership positions at Allegro, including as Design Manager from 2002 to 2006, Director of Strategic Marketing from 2006 to 2011, Business Unit Director of Linear Current Sensors from 2011 to 2016, Vice President of Advanced Sensor Technologies from 2016 to 2019, and as Senior Vice President of Technology and Products from 2019 to 2022. Mr. Doogue holds over 75 semiconductor-related U.S. patents. Mr. Doogue received a B.A. in Physics from Colby College in 1997 and a B.E. in Electrical Engineering from Dartmouth College in 1998. In 2007, Mr. Doogue completed the Stanford Executive Program at the Stanford University Graduate School of Business.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7" w:name="page18"/>
    <w:bookmarkEnd w:id="17"/>
    <w:p>
      <w:pPr>
        <w:jc w:val="both"/>
        <w:ind w:firstLine="569"/>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Derek P. D’Antilio </w:t>
      </w:r>
      <w:r>
        <w:rPr>
          <w:rFonts w:ascii="Times New Roman" w:cs="Times New Roman" w:eastAsia="Times New Roman" w:hAnsi="Times New Roman"/>
          <w:sz w:val="18"/>
          <w:szCs w:val="18"/>
          <w:color w:val="auto"/>
        </w:rPr>
        <w:t>has served as our Executive Vice President, Chief Financial Officer and Treasurer since he joined Allegro in January 2022.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D’Antilio currently serves on the board of directors of Polar as a representative of Allegro. Prior to joining Allegro, Mr. D’Antilio served as the Chief Financial Officer of a Summit Partners Portfolio Company and helped lead the sale and recapitalization of the company. From February 2019 to March 2021, he served as the Chief Financial Officer of IDEX Biometrics, a publicly traded and global fabless semiconductor company, where he played an instrumental role in leading a Nasdaq listing and preparing the company to scale its production. Prior to IDEX Biometrics, Mr. D’Antilio spent eight years at MKS Instruments, a global equipment and service provider to semiconductor and industrial markets and held numerous leadership roles, including Vice President &amp; Corporate Controller, where he oversaw global accounting and reporting, financial planning and analysis, and treasury. Earlier in his career, Mr. D’Antilio was a CPA and CMA in public accounting and served as an audit manager at PricewaterhouseCoopers LLP. Mr. D’Antilio holds a B.S.B.A. in Accounting from Salem State University, an M.B.A. from Babson College and has attended executive education programs at the University of Chicago and University of Pennsylvania.</w:t>
      </w:r>
    </w:p>
    <w:p>
      <w:pPr>
        <w:spacing w:after="0" w:line="82" w:lineRule="exact"/>
        <w:rPr>
          <w:sz w:val="20"/>
          <w:szCs w:val="20"/>
          <w:color w:val="auto"/>
        </w:rPr>
      </w:pPr>
    </w:p>
    <w:p>
      <w:pPr>
        <w:jc w:val="both"/>
        <w:ind w:firstLine="56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Sharon S. Briansky </w:t>
      </w:r>
      <w:r>
        <w:rPr>
          <w:rFonts w:ascii="Times New Roman" w:cs="Times New Roman" w:eastAsia="Times New Roman" w:hAnsi="Times New Roman"/>
          <w:sz w:val="18"/>
          <w:szCs w:val="18"/>
          <w:color w:val="auto"/>
        </w:rPr>
        <w:t>has served as our Senior Vice President, General Counsel and Secretary since she joined Allegro in December 2021.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joining Allegro, Ms. Briansky served as the Vice President, Deputy General Counsel and Secretary at Thermo Fisher Scientific (“Thermo Fisher”) from 2017 to 2021. Prior to that she served as Vice President, Associate General Counsel at Thermo Fisher from 2005 to 2017. Ms. Briansky received a B.A. in Political Science from the University of North Carolina in 1995 and a J.D. from Boston University School of Law in 1998.</w:t>
      </w:r>
    </w:p>
    <w:p>
      <w:pPr>
        <w:spacing w:after="0" w:line="69"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Troy T. Coleman </w:t>
      </w:r>
      <w:r>
        <w:rPr>
          <w:rFonts w:ascii="Times New Roman" w:cs="Times New Roman" w:eastAsia="Times New Roman" w:hAnsi="Times New Roman"/>
          <w:sz w:val="18"/>
          <w:szCs w:val="18"/>
          <w:color w:val="auto"/>
        </w:rPr>
        <w:t>joined Allegro as Senior Vice President, General Manager, Products, in October 2025 with over 25 years of semiconductor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experience. Prior to joining Allegro, Mr. Coleman served as Vice President and General Manager, Linear Power at Texas Instruments from January 2023 to September 2025 and Vice President and General Manager, Power Switches, Interface, and Lighting at Texas Instruments from April 2018 to January 2023. Mr. Coleman first joined Texas Instruments in June 1999 in the technical sales organization, holding progressively senior positions within the sales, marketing and products organizations. Mr. Coleman holds a Bachelor of Science in Electrical Engineering from Texas A&amp;M University.</w:t>
      </w:r>
    </w:p>
    <w:p>
      <w:pPr>
        <w:spacing w:after="0" w:line="73"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Erin E. Hagen </w:t>
      </w:r>
      <w:r>
        <w:rPr>
          <w:rFonts w:ascii="Times New Roman" w:cs="Times New Roman" w:eastAsia="Times New Roman" w:hAnsi="Times New Roman"/>
          <w:sz w:val="18"/>
          <w:szCs w:val="18"/>
          <w:color w:val="auto"/>
        </w:rPr>
        <w:t>joined the Company as our Senior Vice President and Chief Human Resources Officer in May 2024. Prior to joining Allegro, 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Hagen served as Global Human Resources Business Partner for Cabot Corporation, a leading global specialty chemicals and performance materials company, from January 2021 until May 2024. Prior to that, she served as Chief Human Resources Officer for Wind River Environmental, LLC, a septic, grease, and wastewater services company, from 2019 through 2021. From 2014 through 2019, Ms. Hagen worked for OMNOVA Solutions Inc., a developer and manufacturer of emulsion polymers, specialty chemicals and building products in roles of increasing responsibility within the human resources organization. Ms. Hagen holds an M.S. in Positive Organization Development and Change from Case Western Reserve University and a bachelor’s degree in organizational communications from Central Michigan University.</w:t>
      </w:r>
    </w:p>
    <w:p>
      <w:pPr>
        <w:spacing w:after="0" w:line="77"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Ian Kent </w:t>
      </w:r>
      <w:r>
        <w:rPr>
          <w:rFonts w:ascii="Times New Roman" w:cs="Times New Roman" w:eastAsia="Times New Roman" w:hAnsi="Times New Roman"/>
          <w:sz w:val="18"/>
          <w:szCs w:val="18"/>
          <w:color w:val="auto"/>
        </w:rPr>
        <w:t>has over 25 years of operational experience in the semiconductor industry and was named Allegro’s Senior Vice President, Operations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2026. He joined Allegro in September 2023 and has held progressively senior roles in operations, including Senior Director of IC Packaging, and most recently, Vice President Operations. Prior to joining Allegro, he served as Vice President, Operations at Renesas, Inc. from August 2021 until September 2023. Before joining Renesas, he held technical leadership positions at Dialog Semiconductor beginning in August 2008 before its acquisition by Renesas in 2021. Mr. Kent holds an Electronic Engineering Technology apprenticeship and HNC from The University of Wales, Pontypridd.</w:t>
      </w:r>
    </w:p>
    <w:p>
      <w:pPr>
        <w:spacing w:after="0" w:line="73" w:lineRule="exact"/>
        <w:rPr>
          <w:sz w:val="20"/>
          <w:szCs w:val="20"/>
          <w:color w:val="auto"/>
        </w:rPr>
      </w:pPr>
    </w:p>
    <w:p>
      <w:pPr>
        <w:jc w:val="both"/>
        <w:ind w:firstLine="56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A. Madormo </w:t>
      </w:r>
      <w:r>
        <w:rPr>
          <w:rFonts w:ascii="Times New Roman" w:cs="Times New Roman" w:eastAsia="Times New Roman" w:hAnsi="Times New Roman"/>
          <w:sz w:val="18"/>
          <w:szCs w:val="18"/>
          <w:color w:val="auto"/>
        </w:rPr>
        <w:t>joined the Company as our Senior Vice President of Worldwide Sales in March 2025 with over 25 years of sales experience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semiconductor industry. Prior to joining Allegro, Mr. Madormo served as the SVP, Global Sales and Marketing at Wolfspeed, Inc. (“Wolfspeed”), having joined the company in August 2018 as Vice President of North American Sales. Before joining Wolfspeed, Mr. Madormo held sales leadership positions at Intel Corporation and Altera Corporation. Mr. Madormo holds a degree in electrical engineering technology from The University of Akron.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Environmental and Occupational Health and Safety Regulation</w:t>
      </w:r>
    </w:p>
    <w:p>
      <w:pPr>
        <w:spacing w:after="0" w:line="118"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7"/>
          <w:szCs w:val="17"/>
          <w:color w:val="auto"/>
        </w:rPr>
        <w:t>We recognize the importance of protecting the environment and the health and safety of our employees, customers, and communities. Our Environmental Health and Safety (“EHS”) Policy outlines policies and training programs that are designed to promote and protect employee safety. Our EHS teams oversee workplace conditions for our employees. All Allegro EHS policies and procedures are developed in accordance with applicable laws and regulations. AMPI is certified to ISO 14001 for environmental management systems and ISO 45001 for occupational health and safety management systems.</w:t>
      </w:r>
    </w:p>
    <w:p>
      <w:pPr>
        <w:spacing w:after="0" w:line="57"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Our operations are subject to various federal, state, local, international, and non-U.S. laws and regulations governing pollution and environmental protection and occupational health and safety, including those related to hazardous and toxic materials, product composition, and the investigation and cleanup of contaminated sites. This includes sites we currently or formerly owned or operated, due to the release of hazardous materials, regardless of whether we caused such release. In addition, we may be strictly liable for joint and several costs associated with investigation and remediation of sites at which we have arranged for the disposal of hazardous wastes if such sites become contaminated, even if we fully comply with applicable environmental laws and regulations. We are also subject to various federal, state, local, international, and non-U.S. laws and regulations relating to occupational health and safety. Any failure on our part to comply with these laws and regulations, including new laws or new interpretations of existing ones, may subject us to significant fines or other civil or criminal costs, obligations, sanctions or property damage or personal injury claims, or suspension of our facilities’ operating permits. In addition, in the event of an incident involving hazardous materials, we could be liable for damages and such liability could exceed the amount of any liability insurance coverage and the resources of our business.</w:t>
      </w:r>
    </w:p>
    <w:p>
      <w:pPr>
        <w:spacing w:after="0" w:line="82" w:lineRule="exact"/>
        <w:rPr>
          <w:sz w:val="20"/>
          <w:szCs w:val="20"/>
          <w:color w:val="auto"/>
        </w:rPr>
      </w:pPr>
    </w:p>
    <w:p>
      <w:pPr>
        <w:jc w:val="both"/>
        <w:ind w:firstLine="569"/>
        <w:spacing w:after="0" w:line="265" w:lineRule="auto"/>
        <w:rPr>
          <w:sz w:val="20"/>
          <w:szCs w:val="20"/>
          <w:color w:val="auto"/>
        </w:rPr>
      </w:pPr>
      <w:r>
        <w:rPr>
          <w:rFonts w:ascii="Times New Roman" w:cs="Times New Roman" w:eastAsia="Times New Roman" w:hAnsi="Times New Roman"/>
          <w:sz w:val="17"/>
          <w:szCs w:val="17"/>
          <w:color w:val="auto"/>
        </w:rPr>
        <w:t>We face increasing complexity in our product design and procurement operations due to the evolving nature of environmental laws, regulations, directives and standards, as well as specific customer requirements. These laws, regulations, directives, and standards have an impact on the material composition of our products entering specific markets. For example, the European Union (“EU”) adopted its Restriction of Hazardous Substance Directive (“RoHS”) legislation, EU Directive 2002/95/EC (RoHS) and 2011/65/EU (RoHS II), amended by 2015/863/EU, which took effect in July 2019. The EU also adopted the European Regulation on Registration, Evaluation, Authorization and Restriction of Chemicals in 2007, which calls for the progressive substitution of dangerous chemicals in manufacturing. In 2006, China first published its RoHS equivalent, the Administrative Measures on the Control of Pollution Cause by Electronic Information Products. This regulation was revised in 2016 when China enacted the Administrative Measures on the Restrictions of the Use of Certain Hazardous Substances in Electrical and Electronic Products Regulations, which expanded the scope of the 2006 requirements and is designed to restrict additional hazardous substance in certain electrical and electronic products. In addition, any business selling products to consumers in California containing certain listed chemicals or substances is subject to California Proposition 65 (officially known as the Safe Drinking Water and Toxic Enforcement Act of 1986), which requires disclosure of the listed chemical and potential health risks. In addition to these regulations and directives, we may face costs and liabilities in connection with product take-back legislation, which holds manufacturers responsible for the collection and proper disposal of their products discarded by their customers. There are also increasing regulations regarding the use of green marketing claims, which may also affect our product design and procurement operations. Non-compliance with current or future regulations or directives could restrict our ability to expand our business or require us to modify processes and/or materials or incur other substantial expenses which could harm our business.</w:t>
      </w:r>
    </w:p>
    <w:p>
      <w:pPr>
        <w:spacing w:after="0" w:line="79"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Although we incur costs to comply with the provisions discussed above and other applicable federal, state, local, international and non-U.S. laws and regulations relating to environmental protection in the ordinary course of our business, such costs have not materially affected, and are not presently expected to materially affect, our capital expenditures, earnings or competitive position.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8"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and any amendments to those reports, proxy statements and other information with the Securities and Exchange Commission (“SEC”). Documents we file with the SEC are available free of charge on our website at </w:t>
      </w:r>
      <w:r>
        <w:rPr>
          <w:rFonts w:ascii="Times New Roman" w:cs="Times New Roman" w:eastAsia="Times New Roman" w:hAnsi="Times New Roman"/>
          <w:sz w:val="18"/>
          <w:szCs w:val="18"/>
          <w:i w:val="1"/>
          <w:iCs w:val="1"/>
          <w:color w:val="auto"/>
        </w:rPr>
        <w:t>https://investors.allegromicro.com/financials/sec-filings</w:t>
      </w:r>
      <w:r>
        <w:rPr>
          <w:rFonts w:ascii="Times New Roman" w:cs="Times New Roman" w:eastAsia="Times New Roman" w:hAnsi="Times New Roman"/>
          <w:sz w:val="18"/>
          <w:szCs w:val="18"/>
          <w:color w:val="auto"/>
        </w:rPr>
        <w:t>, as soon as reasonably practicable after such material is filed with the SEC.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included on or available through our website is not part of this or any other report we file with the SEC. Any document that we file with the SEC is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89"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i w:val="1"/>
          <w:iCs w:val="1"/>
          <w:color w:val="auto"/>
        </w:rPr>
        <w:t>Investment in our common stock involves risks, which you should consider carefully, as well as the other information contained in this Annual Report. These disclosures reflect our beliefs and opinions regarding factors that could materially and adversely affect us in the future. References to past events are provided by way of example only and are not intended to be a complete listing or a representation as to whether or not such factors have occurred in the past or their likelihood of occurring in the future. If any of these risks occurs or increases in scope or severity, our business, financial condition and results of operations could be materially harmed. In that event, the trading price of our common stock might decline, and you might lose all or part of your investment. You should also refer to the other information contained in this Annual Report, including our consolidated financial statements and the related notes. Additional risks and uncertainties not presently known to us or not believed by us to be material may also negatively impact us.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Downturns or volatility in general economic conditions could have a material adverse effect on our business, financial condition, results of operations and liquidity.</w:t>
      </w:r>
    </w:p>
    <w:p>
      <w:pPr>
        <w:spacing w:after="0" w:line="26"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Our net sales, gross margin, and profitability depend significantly on general economic conditions and the demand for products in the markets in which our customers compete. Weaknesses in the global economy and financial markets, including as a result of a recession and/or changes in government trade policies, such as the imposition of export restrictions and tariffs, may lead to lower demand for products that incorporate our solutions, particularly in the automotive and industrial markets. Additionally, an overall decline in end-user demand can affect our customers’ demand for our products and increase the likelihood of customers canceling or deferring existing orders. Our net sales, financial condition and results of operations could be negatively affected by such actions.</w:t>
      </w:r>
    </w:p>
    <w:p>
      <w:pPr>
        <w:spacing w:after="0" w:line="36"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Volatile and uncertain economic conditions, as well as inflationary pressures that remain above historical levels, can adversely impact sales, gross margin and profitability and make it difficult for us to accurately forecast and plan our future business activities. In addition, uncertainty surrounding international trade policy and regulations as well as trade disputes and protectionist measures could have an adverse effect on consumer confidence and spending. To the extent favorable economic conditions do not materialize or take longer to materialize than expected, we have faced and may continue to face an oversupply of our products and excess inventory. This could result in charges for excess and obsolete inventory, or in the case of excess inventory held by our customers, reduce the number of products purchased by our customers as they digest inventory. Conversely, if we underestimate customer demand, we may fail to meet customer needs, which could impair our customer relationships. In addition, any disruption in the credit markets, including as a result of a recession, could impede our access to capital, which could be further adversely affected if we are unable to obtain or maintain favorable credit ratings. If we have limited access to additional financing sources, we may be required to defer capital expenditures or seek other sources of liquidity, which may not be available to us on acceptable terms or at all. Similarly, if our suppliers or customers face challenges in obtaining credit or other financial difficulties, they may be unable to provide the materials we need to manufacture or purchase our products. All of these factors related to global economic conditions beyond our control could adversely impact our business, financial condition, results of operations and liquidity.</w:t>
      </w:r>
    </w:p>
    <w:p>
      <w:pPr>
        <w:spacing w:after="0" w:line="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may not be able to compete effectively, which could reduce our market share and decrease our net sales and profitability.</w:t>
      </w:r>
    </w:p>
    <w:p>
      <w:pPr>
        <w:spacing w:after="0" w:line="26"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We participate in intensely competitive end markets in the global semiconductor industry. Our competitive landscape includes rapid technological change in product design and manufacturing, continuous declines in ASPs, and customers who make purchase decisions based on a mix of factors that vary by customer and by market. Our ability to compete in this environment depends on many factors, including our ability to identify emerging markets and technology trends in an accurate and timely manner, introduce new and innovative products, implement new manufacturing and IC development technologies at a sustainable pace, maintain the performance and quality of our products, and manufacture our products in a cost-effective manner.</w:t>
      </w:r>
    </w:p>
    <w:p>
      <w:pPr>
        <w:spacing w:after="0" w:line="37"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Often, we compete against larger companies that possess substantial financial, technical, development, engineering, manufacturing, including wafer fabrication capabilities, and marketing resources. Varying combinations of these resources provide advantages to these competitors, such as the rapid implementation of AI strategies for developing products and service offerings, which may enable them to influence industry trends and the pace at which they adapt to those trends. As the industry rapidly adopts and embeds AI across development, manufacturing and service workflows, our competitors may shorten product cycles and accelerate feature delivery. Any failure to keep pace with these AI-enabled capabilities could harm our competitive position and revenue. A strong competitive response from one or more competitors to our marketplace efforts, or a shift in customer preferences to competitors’ products, could result in more rapid pricing pressure than anticipated, increased sales and marketing expense, and/or market share loss. In addition, certain countries have implemented initiatives to build domestic semiconductor supply chains, including government incentives to local competitors and tools that may restrict foreign suppliers, which could place us at a competitive disadvantage or cause our customers to seek domestic alternatives to our products. Our supply chain strategies for competing in such countries may not fully eliminate the competitive disadvantages that we face. To the extent our profitability is negatively impacted by competitive pressures, our business, financial condition, results of operations and growth prospects may be adversely affected. Further, international trade policy and regulations, trade disputes, protectionist measures, and tariffs, could make our OEM and other end customers’ products less attractive relative to those of competitors, that may not be subject to such tariffs, potentially reducing demand for our solutions.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third-party semiconductor wafer fabrication facilities and a limited number of suppliers of other materials, and the failure of any of these suppliers to supply wafers or other materials on a timely basis could harm our business and our financial results.</w:t>
      </w:r>
    </w:p>
    <w:p>
      <w:pPr>
        <w:spacing w:after="0" w:line="26" w:lineRule="exact"/>
        <w:rPr>
          <w:sz w:val="20"/>
          <w:szCs w:val="20"/>
          <w:color w:val="auto"/>
        </w:rPr>
      </w:pPr>
    </w:p>
    <w:p>
      <w:pPr>
        <w:jc w:val="both"/>
        <w:ind w:firstLine="569"/>
        <w:spacing w:after="0" w:line="249" w:lineRule="auto"/>
        <w:rPr>
          <w:sz w:val="20"/>
          <w:szCs w:val="20"/>
          <w:color w:val="auto"/>
        </w:rPr>
      </w:pPr>
      <w:r>
        <w:rPr>
          <w:rFonts w:ascii="Times New Roman" w:cs="Times New Roman" w:eastAsia="Times New Roman" w:hAnsi="Times New Roman"/>
          <w:sz w:val="18"/>
          <w:szCs w:val="18"/>
          <w:color w:val="auto"/>
        </w:rPr>
        <w:t>We currently rely on a limited number of third-party wafer fabrication facilities for the fabrication of semiconductor wafers used in the manufacture of our IC products, primarily United Microelectronics Corporation (“UMC”), Polar, Tower Semiconductor Ltd. (“Tower”) and Taiwan Semiconductor Manufacturing Company (“TSMC”), and we purchase a number of key manufacturing materials and components from single or limited sources. We depend on these foundries and other sources to meet our production needs. These foundries have limited production capacities with little ability to quickly expand capacity. From time to time, we have encountered shortages and delays in obtaining wafers and other components and materials as well as export restrictions on certain components and materials, and we may encounter additional shortages, delays and restrictions in the future. For example, recent foreign export restrictions from China on certain rare-earth elements, metals and magnets, including samarium, used in our applications and in end-user products have disrupted our ability to reliably source materials, and constrained global supply could restrict our ability to manufacture certain products. Such restrictions may make it difficult or impossible for us to compete with other semiconductor manufacturers that are able to obtain sufficient quantities of such materials from China or other sources. Additionally, two of our third-party wafer fabrication facilities are located in Taiwan, a location where earthquakes are commonplace, and geopolitical changes in China-Taiwan relations could disrupt their operations. If we cannot supply our products due to a lack of components, are unable to source materials, such as samarium or other rare-earth metals, from other suppliers, to redesign products with other components in a timely manner, or OEMs or our other customers are unable to access the materials they need to produce the end products that our applications are used in, our business will be significantly harmed. We do not have long-term contracts with some of our suppliers and third-party manufacturers. As a result, any such supplier or third-party manufacturer can discontinue supplying components or materials to us at any time and without penalty. Moreover, we depend on the quality of the wafers and other components and materials that they supply to us, over which we have limited control. Our suppliers’ abilities to meet our requirements could be impaired or interrupted by factors beyond their control, such as global market conditions, changes in tariffs or other trade regulations, climate change, natural disasters or other disruptions. Our suppliers may also face their own operational challenges, such as labor shortages or raw material cost increases, which could be passed on to us or disrupt their ability to supply us with necessary materials. If any of our suppliers is unable or unwilling to deliver us products and we are unable to identify alternative suppliers for such materials or components on a timely basis, our operations may be adversely affected. Even if we identify alternative suppliers, we could experience delays in testing, evaluating and validating materials or products of such alternative suppliers or products we obtain through outsourcing. Qualifying new contract manufacturers, including semiconductor foundries, is time-consuming and might result in unforeseen manufacturing and operations problems. Further, financial or other difficulties faced by our suppliers, or significant changes in demand for the components or materials they use in the products they supply to us, could limit the availability of those products, components or materials to us. We are also subject to potential delays in our suppliers' development of key components, which may affect our ability to introduce new products. Any of these problems or delays could damage our relationships with customers, adversely affect our reputation, business, financial condition, results of operations and ability to grow our business.</w:t>
      </w:r>
    </w:p>
    <w:p>
      <w:pPr>
        <w:spacing w:after="0" w:line="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Failure to adjust our purchase commitments and inventory management based on changing market conditions or customer demand could result in an inability to meet customer demand or additional charges for obsolete or excess inventories or non-cancellable purchase commitments or reduced sales in periods when customers digest excess inventory.</w:t>
      </w:r>
    </w:p>
    <w:p>
      <w:pPr>
        <w:spacing w:after="0" w:line="27"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We make significant decisions, including determining the levels of business that we will seek and accept, production schedules, levels of reliance on outsourced contract manufacturing, personnel needs and other resource requirements, based on our estimates of customer requirements. The short-term nature of many customer commitments and the possibility of rapid changes in demand for their products reduce our ability to accurately estimate future requirements of our customers. On occasion, our customers may require rapid increases in production, and we may not have sufficient capacity at any given time to meet our customers’ demands. Conversely, downturns in the semiconductor industry may cause our customers to significantly reduce the number of products ordered from us as they digest excess inventory. These risks are compounded by our customers’ own supply chain challenges; if our customers are unable to source other critical components from different suppliers, they may delay or cancel their product builds, which in turn reduces their demand for our products. Because many of our sales, research and development and manufacturing expenses are relatively fixed, a reduction in customer demand has resulted, and may continue to result, in a decrease in our gross margins and operating income.</w:t>
      </w:r>
    </w:p>
    <w:p>
      <w:pPr>
        <w:spacing w:after="0" w:line="58"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Further, we base operating decisions and enter into purchase commitments on the basis of anticipated net sales trends, which can be unpredictable. Changes in forecasts or order timing or unreliable forecasts from customers expose us to risks of inventory shortages or excess inventory. Some of our purchase commitments are not cancellable, and in some cases we are required to recognize a charge representing the amount of material or capital equipment purchased or ordered, which exceeds our actual requirements. For example, we have noncancellable purchase commitments with vendors and “take-or-pay” agreements with certain of our third-party wafer fabrication partners under which we are required to purchase a minimum number of wafers per year or face financial penalties. These types of commitments and agreements have reduced and may continue to reduce our ability to adjust our inventory to address declining market demands. In prior quarters, we and other semiconductor companies have experienced downturns in market demand, which caused us to record substantive charges for excess and obsolete inventories and forced us to incur other inventory-related charges. If net sales in future periods fall substantially below our expectations, or if we fail to accurately forecast changes in demand mix, we could again be required to record substantial charges for obsolete or excess inventories or noncancellable purchase commitments. Further, during 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market upturn we may not be able to purchase sufficient supplies or components to meet increasing product demand, which could prevent us from taking advantage of opportunities and maximizing our net sales. Any failure to adjust our supply chain volume, secure sufficient supply from third-party vendors, including semiconductor wafer suppliers, or estimate customer demand could have a material adverse effect on our net sales, business, financial condition and results of operations.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cyclical nature of the semiconductor industry may limit our ability to maintain or improve our net sales and profitability.</w:t>
      </w:r>
    </w:p>
    <w:p>
      <w:pPr>
        <w:spacing w:after="0" w:line="78"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The semiconductor industry, including the analog segment in which we compete, is highly cyclical and is prone to significant downturns from time to time. Cyclical downturns can result from a variety of market forces, which can result in significant declines in analog semiconductor demand. Downturns have been characterized by diminished product demand, production overcapacity, high inventory levels and accelerated erosion of ASPs. Recent downturns in the semiconductor industry had been attributed to a variety of factors, including weakness in demand and pricing for semiconductors across applications, ongoing trade disputes among the United States and China, and excess inventory. To the extent that current levels of investment in AI-related infrastructure, products or end-market demand reflect expectations that are not ultimately realized, or if customer spending related to AI moderates, is delayed, or declines faster than anticipated, the semiconductor industry could experience an accelerated or more pronounced downturn. Downturns directly impact our business, and any prolonged or significant future downturns in the semiconductor industry could have a material adverse effect on our business, financial condition and results of operations. Conversely, significant upturns can cause us to be unable to satisfy demand in a timely and cost-efficient manner and could result in increased competition for access to third-party foundry and assembly capacity. In the event of such an upturn, we may not be able to expand our workforce and operations in a sufficiently timely manner, procure adequate resources and raw materials, including semiconductor wafers from our third-party wafer manufacturing partners, and other critical components, such as memory components, at reasonable costs, or locate suitable third-party suppliers or other third-party subcontractors to respond effectively to changes in demand for our existing or new products, and our business, financial condition and results of operations could be materially and adversely affected.</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Substantial portions of our sales are made to automotive industry suppliers. Downturns or disruptions in the automotive market or industry have harmed, and in the future could significantly harm, our financial results.</w:t>
      </w:r>
    </w:p>
    <w:p>
      <w:pPr>
        <w:spacing w:after="0" w:line="26"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Our customers that supply various systems and components to automotive OEMs accounted for 70.6%, 73.8%, and 72.4% of our total net sales in fiscal years 2026, 2025, and 2024, respectively. This concentration of sales exposes us to the risks associated with the automotive market and automotive industry. For example, our anticipated future growth is highly dependent on the increased adoption of automotive technologies, including ADAS and xEV powertrain vehicles, which traditionally have had increased sensor and power product content. A downturn in the automotive market or prolonged disruption could delay automakers’ plans to introduce new vehicles with these features, which would negatively impact the demand for our products and the ability to grow our business. Disruptions in the automotive industry due to changes in tariffs or other trade regulations could have a material adverse effect on our business. For example, in March 2025, the United States Government released a proclamation adjusting tariffs on automobiles and automobile parts into the United States. Such tariffs, as well as any potential retaliatory tariffs, could substantially disrupt the automotive market or industry and in turn have a material adverse effect on our business. Such tariffs could make our OEM and end customers’ products less attractive relative to their competitors' products, which may not be subject to similar tariffs.</w:t>
      </w:r>
    </w:p>
    <w:p>
      <w:pPr>
        <w:spacing w:after="0" w:line="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Acquisitions of other companies or technologies, may create additional risks, including risks associated with our ability to successfully integrate these acquisitions into our business.</w:t>
      </w:r>
    </w:p>
    <w:p>
      <w:pPr>
        <w:spacing w:after="0" w:line="12" w:lineRule="exact"/>
        <w:rPr>
          <w:sz w:val="20"/>
          <w:szCs w:val="20"/>
          <w:color w:val="auto"/>
        </w:rPr>
      </w:pPr>
    </w:p>
    <w:p>
      <w:pPr>
        <w:jc w:val="both"/>
        <w:ind w:firstLine="569"/>
        <w:spacing w:after="0" w:line="267" w:lineRule="auto"/>
        <w:rPr>
          <w:sz w:val="20"/>
          <w:szCs w:val="20"/>
          <w:color w:val="auto"/>
        </w:rPr>
      </w:pPr>
      <w:r>
        <w:rPr>
          <w:rFonts w:ascii="Times New Roman" w:cs="Times New Roman" w:eastAsia="Times New Roman" w:hAnsi="Times New Roman"/>
          <w:sz w:val="17"/>
          <w:szCs w:val="17"/>
          <w:color w:val="auto"/>
        </w:rPr>
        <w:t>We have acquired other companies as part of our growth strategy, and we continue to consider future acquisitions of or strategic investments in other companies, or their technologies or products, to improve our market position, broaden our technological capabilities, and expand our product offerings. Acquiring companies or technologies involves a number of risks, including, but not limited to: the potential disruption of our ongoing business; the increased costs incurred to finance acquisitions and the allocation of capital to fund acquisitions being diverted from other operational priorities, such as research and development; unexpected costs or incurring unknown liabilities; the diversion of management resources from other strategic and operational issues; difficulty in developing, manufacturing and marketing the products of a newly acquired company within the anticipated costs and timeframe; the inability to retain key employees of the acquired businesses; difficulties relating to integrating the operations and personnel of the acquired businesses; adverse effects on our existing customer relationships or existing customer relationships of acquired businesses; the potential incompatibility of the acquired business or their customers; issues not discovered during our due diligence that could impact our assumptions concerning the status of and prospects for the products and technologies of the acquired business; and acquired intangible assets, including goodwill, becoming impaired as a result of technological advancements or worse-than-expected performance of the acquired business. If we are unable to successfully address any of these risks, our business could be harmed.</w:t>
      </w:r>
    </w:p>
    <w:p>
      <w:pPr>
        <w:spacing w:after="0" w:line="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gross margins may be adversely affected by decreases in average selling prices of our products, increases in input costs and shifts in product, customer or channel mix.</w:t>
      </w:r>
    </w:p>
    <w:p>
      <w:pPr>
        <w:spacing w:after="0" w:line="12"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The market for our products is generally characterized by declining ASPs, resulting from factors such as increased competition, overcapacity, the amount of inventory held by our customers, the introduction of new products and increased unit volumes. Further, our overall gross margins have fluctuated period to period as a result of shifts in product mix, customer mix and channel mix, as gross margins on individual products typically fluctuate over the product’s life cycle. We have experienced, and in the future may experience, substantial period-to-period fluctuations in operating results due to these factors. ASPs may decrease in the future in response to</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introduction of new products by us or our competitors, or due to other factors, such as customer pricing pressures. To sustain profitable operations, we must continually reduce costs for our existing products and rapidly develop and introduce new products with enhanced features that can be sold initially at higher ASPs. Failure to do so could cause our net sales and gross margins to decline, which would negatively affect our financial condition and results of operations and could significantly harm our business.</w:t>
      </w:r>
    </w:p>
    <w:p>
      <w:pPr>
        <w:spacing w:after="0" w:line="46"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We may be unable to reduce the cost of our products sufficiently to enable us to compete with others. Our cost reduction efforts may not allow us to keep pace with competitive pricing pressures given the increased cost of certain materials, such as semiconductor wafers, memory chips and raw materials like gold and copper, the increased cost of which adversely affects our gross margins. Additionally, when a product is in high demand, we may have to source a portion of materials from higher-cost providers, which may decrease our overall gross margin. Further, tariffs on imported raw materials and components essential to our manufacturing processes could lead to higher production costs that we may be unable to pass on to customers, thereby negatively affecting our gross margins. We maintain an infrastructure of facilities and human resources in several locations around the world and, as a result, have limited ability to reduce our operating costs. Accordingly, to remain competitive, we must continually reduce the cost of manufacturing our products through design and engineering changes. We cannot assure you we will be successful in redesigning our products and bringing them to market in a timely manner, or that any redesign will result in sufficient cost reductions to allow us to reduce the price of our products to remain competitive or maintain or improve our gross margins. If a product does not meet our gross margin targets, we may be forced to stop design or production of the product, regardless of where it is in the development or sales stage. To the extent we cannot reduce our product prices and remain competitive or are forced to discontinue development or sales of low margin products, our net sales will likely decline, resulting in further pressure on our gross margins, which could have a material adverse effect on our business, financial condition, results of operations and our ability to grow our business.</w:t>
      </w:r>
    </w:p>
    <w:p>
      <w:pPr>
        <w:spacing w:after="0" w:line="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encounter sustained yield problems or other delays at our third-party wafer fabrication facilities or in the final assembly and test of our products, we may lose sales and damage our customer relationships.</w:t>
      </w:r>
    </w:p>
    <w:p>
      <w:pPr>
        <w:spacing w:after="0" w:line="12"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The manufacture of our products, including the fabrication of semiconductor wafers, and the assembly and testing of our products, are complex and sensitive to many factors, including levels of contaminants in the manufacturing environment, difficulties in the wafer fabrication process or other issues that can cause a substantial portion of the components on a wafer to be nonfunctional. These problems may be difficult to detect at an early stage of the manufacturing process and often are time-consuming and expensive to correct. On occasion, we have experienced problems in achieving acceptable yields at our third-party wafer fabrication partners, resulting in delays in the availability of components. Moreover, an increase in the rejection rate of products during the quality control process before, during or after manufacture and/or shipping of such products, results in lower yields and margins. Further, changes in manufacturing processes required due to changes in product specifications, changing customer needs and the introduction of new product lines have historically materially reduced our manufacturing yields, causing low or negative margins on such products. Poor manufacturing yields over a prolonged period could adversely affect our ability to deliver our products on a timely basis and harm our customer relationships, which could have a material adverse effect on our business, financial condition and results of operations.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quarterly net sales and operating results are difficult to predict accurately and may fluctuate significantly from period to period. As a result, we may fail to meet the expectations of investors, which could cause our stock price to decline.</w:t>
      </w:r>
    </w:p>
    <w:p>
      <w:pPr>
        <w:spacing w:after="0" w:line="12"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We operate in a highly dynamic industry, and our future operating results could be subject to significant fluctuations, particularly on a quarterly basis. Our quarterly net sales and operating results have fluctuated significantly in the past and may continue to vary from quarter to quarter due to a number of factors, many of which are not within our control. In addition, investor expectations regarding emerging technology trends, including AI and data centers, and our positioning relative to those trends, may contribute to heightened volatility in our stock price, whether or not such expectations are ultimately realized. Although some of our customers provide us with non-binding forecasts of their future requirements for our products, a significant percentage of our net sales in each fiscal quarter is dependent on sales that are booked and shipped during that fiscal quarter, and are typically attributable to a large number of orders from diverse customers and markets. As a result, accurately forecasting our operating results in any fiscal quarter is difficult. If our operating results do not meet expectations of securities analysts and investors, our stock price may decline. Additional factors that can contribute to fluctuations in our operating results include the timing of customer qualification of our products and commencement of volume sales by our customers of systems that include our products, product rates of return or price concessions in excess of those expected or forecasted, as well as the other risk factors identified in this section of our Annual Report.</w:t>
      </w:r>
    </w:p>
    <w:p>
      <w:pPr>
        <w:spacing w:after="0" w:line="39"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We may experience a delay in generating or recognizing revenues for various reasons. Open orders at the start of each quarter are typically lower than expected net sales for that quarter and are generally cancellable or reschedulable with minimal notice. Thus, we depend on obtaining orders during each quarter for shipment in that quarter to achieve our net sales objectives, and failure to fulfill such orders by the end of a quarter may adversely affect our operating results. Further, our customer agreements typically provide that the customer may delay scheduled delivery dates and cancel orders within specified timeframes without significant penalty. Because we base our operating expenses on anticipated revenue trends and a high percentage of our expenses are fixed in the short term, any delay in generating or recognizing forecasted net sales or changes in levels of our customers’ forecasted demand could adversely impact our business, financial condition and results of operations. Due to our limited ability to reduce expenses, in the event our revenues decline or net sales do not meet our expectations, it is likely that in some future quarters our operating results will decrease from the previous quarter or fall below the expectations of securities analysts and investors. As a result of these factors, our operating results may vary significantly from quarter to quarter. Accordingly, we believe that period-to-period comparisons of our results of operations should not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23" w:name="page24"/>
    <w:bookmarkEnd w:id="23"/>
    <w:p>
      <w:pPr>
        <w:jc w:val="both"/>
        <w:spacing w:after="0" w:line="278" w:lineRule="auto"/>
        <w:rPr>
          <w:sz w:val="20"/>
          <w:szCs w:val="20"/>
          <w:color w:val="auto"/>
        </w:rPr>
      </w:pPr>
      <w:r>
        <w:rPr>
          <w:rFonts w:ascii="Times New Roman" w:cs="Times New Roman" w:eastAsia="Times New Roman" w:hAnsi="Times New Roman"/>
          <w:sz w:val="18"/>
          <w:szCs w:val="18"/>
          <w:color w:val="auto"/>
        </w:rPr>
        <w:t>solely be relied upon as indications of future performance. Any shortfall in net sales or net income compared to a previous quarter or to levels expected by the investment community could cause a decline in the trading price of our stock.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dependence on our manufacturing operations in the Philippines exposes us to certain risks that may harm our business.</w:t>
      </w:r>
    </w:p>
    <w:p>
      <w:pPr>
        <w:spacing w:after="0" w:line="78"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We rely heavily on the manufacturing operations at AMPI, which operates as our primary internal assembly and testing facility. We depend on AMPI for our sensor and power products, and if this facility suspends operations, our ability to assemble and test our products could be materially impaired. Further, any disruption in operations at AMPI could adversely affect our ability to meet customer demand in a timely manner, or at all, which would lead to a reduction in our net sales and may adversely affect our reputation and customer relationships, potentially resulting in longer-term harm to our business. In addition, an earthquake, fire, flood or other natural or man-made disaster, as well as a pandemic, epidemic or other outbreak of infectious disease, strikes, political or civil unrest, energy shortages, or any number of other factors beyond our control could also disable the facility, causing catastrophic losses. Although we supplement the assembly capabilities at AMPI with other external or independent assembly subcontractors throughout Asia, if our manufacturing operations at AMPI are disrupted, it could take additional time and cost for us to resume manufacturing at another location, which could materially harm our manufacturing efficiency and capacity, delay production and shipments and result in costly expenditures to repair or replace this facility. We have established or invested in alternative manufacturing facilities and may in the future be required to establish or invest in additional alternative manufacturing facilities. Such attempts to establish or invest in alternative manufacturing facilities, could increase our costs, reduce our profitability, and limit our ability to maintain competitive prices for our products. Only a few alternative manufacturing facilities have the capability to assemble and test our most advanced and complex products, and if we are forced to engage such alternative manufacturing facilities, we may encounter difficulties and incur additional costs. Thus, we cannot guarantee that we will be able to manage the risks and challenges associated with our dependence on AMPI, and any failure to do so could have a material adverse effect on our business, financial condition and results of operations.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net sales are generated through distributors, which subjects us to certain risks.</w:t>
      </w:r>
    </w:p>
    <w:p>
      <w:pPr>
        <w:spacing w:after="0" w:line="91" w:lineRule="exact"/>
        <w:rPr>
          <w:sz w:val="20"/>
          <w:szCs w:val="20"/>
          <w:color w:val="auto"/>
        </w:rPr>
      </w:pPr>
    </w:p>
    <w:p>
      <w:pPr>
        <w:jc w:val="both"/>
        <w:ind w:firstLine="569"/>
        <w:spacing w:after="0" w:line="249" w:lineRule="auto"/>
        <w:rPr>
          <w:sz w:val="20"/>
          <w:szCs w:val="20"/>
          <w:color w:val="auto"/>
        </w:rPr>
      </w:pPr>
      <w:r>
        <w:rPr>
          <w:rFonts w:ascii="Times New Roman" w:cs="Times New Roman" w:eastAsia="Times New Roman" w:hAnsi="Times New Roman"/>
          <w:sz w:val="18"/>
          <w:szCs w:val="18"/>
          <w:color w:val="auto"/>
        </w:rPr>
        <w:t>We sell our products worldwide through multiple sales channels, including through our direct sales force, distributors and independent sales representatives, which resell our products to numerous end customers. A significant portion of our net sales are made to distributors, which were approximately 55.0%, 50.7% and 52.9% of our net sales in fiscal years 2026, 2025 and 2024. Sales to our largest, non-affiliated distributor accounted for 9.4%, 9.3% and 10.2% of our net sales in fiscal years 2026, 2025 and 2024, respectively. The impairment or termination of our relationships with our distributors, or the failure of these parties to diligently sell our products, could materially and adversely affect our ability to generate revenue and profits. Additionally, if our distributors are unable to accurately forecast end customer demand for our products, we may purchase more or fewer parts than necessary or incur costs for canceling, postponing or expediting delivery of parts. Our purchases or commitments to purchase inventory are based on, among other things, our distributors’ forecasts of end customer demand. We have experienced, and may in the future experience, situations where such demand does not materialize as forecasted, where inventory is rendered obsolete by the rapid pace of technological change, or where customers reduce, delay, or cancel orders. Some of these factors have resulted in, and may in the future result in, excess or obsolete inventory charges. Conversely, if we need to rapidly increase our business and manufacturing capacity to meet increases in our distributors’ forecasted demand, this could strain our manufacturing and supply chain operations and negatively impact our working capital. Because our distributors control the relationships with end customers, if our relationship with any distributor ends, we could also lose our relationships with their customers. In addition, because our distributors do not sell our products exclusively, they may focus their sales efforts and resources on other products that produce better margins or greater commissions for them or are incorporated into a broader strategic relationship with one of their other suppliers. Because we do not control the sales representatives and other employees of our distributors, we cannot guarantee that our sales processes, regulatory compliance and other priorities will be consistently communicated and executed. Further, we may not have staff in one or more of the locations covered by our distributors, which makes it particularly difficult for us to monitor their performance. Our efforts to mitigate risks associated with noncompliance by our distributors may not be successful, and there remains a risk that our distributors will not comply with regulatory requirements or our requirements and policies. Actions by our distributors' sales representatives and other employees could result in flat or declining sales in a given geographic area, reputational harm to us or our products, or legal liability, any of which could have an adverse effect on our business, financial condition and results of operations. Additionally, the operation of local laws and our agreements with our distributors could make it difficult for us to replace a distributor we feel is underperforming.</w:t>
      </w:r>
    </w:p>
    <w:p>
      <w:pPr>
        <w:spacing w:after="0" w:line="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Events beyond our control impacting us, our key suppliers, our manufacturing partners or other third-party suppliers of components, materials or subassemblies incorporated into the same end products as our devices could have an adverse effect on our business, financial condition, results of operations and cash flows.</w:t>
      </w:r>
    </w:p>
    <w:p>
      <w:pPr>
        <w:spacing w:after="0" w:line="27" w:lineRule="exact"/>
        <w:rPr>
          <w:sz w:val="20"/>
          <w:szCs w:val="20"/>
          <w:color w:val="auto"/>
        </w:rPr>
      </w:pPr>
    </w:p>
    <w:p>
      <w:pPr>
        <w:jc w:val="both"/>
        <w:ind w:firstLine="569"/>
        <w:spacing w:after="0" w:line="270" w:lineRule="auto"/>
        <w:rPr>
          <w:sz w:val="20"/>
          <w:szCs w:val="20"/>
          <w:color w:val="auto"/>
        </w:rPr>
      </w:pPr>
      <w:r>
        <w:rPr>
          <w:rFonts w:ascii="Times New Roman" w:cs="Times New Roman" w:eastAsia="Times New Roman" w:hAnsi="Times New Roman"/>
          <w:sz w:val="17"/>
          <w:szCs w:val="17"/>
          <w:color w:val="auto"/>
        </w:rPr>
        <w:t>Our ability to make, transport and sell products in coordination with our suppliers, customers (including OEMs), distributors and third-party manufacturers or other subcontractors is critical to our success. Damage or disruption to either our or our key suppliers or manufacturing partners’ supply, manufacturing or distribution capabilities resulting from energy shortages, weather, freight carrier availability, climate change, natural disaster, disease, fire, explosion, cyber-attacks, terrorism, pandemics, epidemics or other outbreaks of infectious disease, war, strikes, civil unrest, repairs or enhancements at facilities manufacturing or distributing our products or other reasons could impair our ability to manufacture, sell, and deliver products on a timely basis or at all. Climate change may also increase the frequency or intensity of certain of these risks, as well as contribute to various chronic changes (such as sea-level rise or changes to meteorological and hydrological patterns) that may result in similar risks. In addition to general economic conditions, impacts of other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24" w:name="page25"/>
    <w:bookmarkEnd w:id="24"/>
    <w:p>
      <w:pPr>
        <w:jc w:val="both"/>
        <w:spacing w:after="0" w:line="263" w:lineRule="auto"/>
        <w:rPr>
          <w:sz w:val="20"/>
          <w:szCs w:val="20"/>
          <w:color w:val="auto"/>
        </w:rPr>
      </w:pPr>
      <w:r>
        <w:rPr>
          <w:rFonts w:ascii="Times New Roman" w:cs="Times New Roman" w:eastAsia="Times New Roman" w:hAnsi="Times New Roman"/>
          <w:sz w:val="18"/>
          <w:szCs w:val="18"/>
          <w:color w:val="auto"/>
        </w:rPr>
        <w:t>macroeconomic events, such as valuation concerns related to AI Technologies, continued inflation and labor market concerns, public health crises, geopolitical tensions or conflicts and risks, and uncertainties in global financial markets, could materially adversely impact our operations or those of our suppliers, third party distributors and sub-contractors.</w:t>
      </w:r>
    </w:p>
    <w:p>
      <w:pPr>
        <w:spacing w:after="0" w:line="42" w:lineRule="exact"/>
        <w:rPr>
          <w:sz w:val="20"/>
          <w:szCs w:val="20"/>
          <w:color w:val="auto"/>
        </w:rPr>
      </w:pPr>
    </w:p>
    <w:p>
      <w:pPr>
        <w:jc w:val="both"/>
        <w:ind w:firstLine="569"/>
        <w:spacing w:after="0" w:line="249" w:lineRule="auto"/>
        <w:rPr>
          <w:sz w:val="20"/>
          <w:szCs w:val="20"/>
          <w:color w:val="auto"/>
        </w:rPr>
      </w:pPr>
      <w:r>
        <w:rPr>
          <w:rFonts w:ascii="Times New Roman" w:cs="Times New Roman" w:eastAsia="Times New Roman" w:hAnsi="Times New Roman"/>
          <w:sz w:val="18"/>
          <w:szCs w:val="18"/>
          <w:color w:val="auto"/>
        </w:rPr>
        <w:t>Because our products are components that are incorporated into our customers’ end products alongside semiconductors, electronic components, subassemblies, raw materials and other inputs supplied by numerous third parties over whom we have no control, our business is also exposed to disruptions affecting those other suppliers and the broader electronics supply chain, even when our own supply, manufacturing and distribution capabilities are unaffected. Many of the end products into which our sensor, power and motor driver ICs are designed, including automobiles, industrial equipment, data center infrastructure, consumer electronics and clean energy systems, cannot be completed, shipped or sold by our customers unless all required components are available in the necessary quantities and on the required schedule. As a result, a shortage, allocation, quality issue, recall, cyber incident, geopolitical disruption, trade restriction, labor action, insolvency or other disruption affecting any other critical component or input, such as memory or logic semiconductors, microcontrollers, power discretes, passive components, connectors, printed circuit boards, substrates, displays, batteries, wire harnesses, rare-earth elements, minerals or magnets subject to export restrictions, or other specialty raw materials, could cause our customers to delay, reduce, reschedule or cancel orders for our products, draw down inventory of our products in lieu of placing new orders, or suspend or curtail production of the end products into which our devices are incorporated. These dynamics may be magnified by our customers’ just-in-time manufacturing practices, lean inventory strategies, dual-sourcing requirements and contractual commitments to their own customers. We typically have limited visibility into our customers’ full bills of materials and into the supply chains of other component suppliers, which limits our ability to anticipate, plan for or mitigate the impact of such third-party disruptions. The effects of these disruptions on our business may lag the underlying event by one or more quarters as inventory is consumed and orders are rescheduled and may persist for an extended period after the underlying event resolves. For example, export restrictions on rare-earth magnets imposed by China in 2025 caused certain automotive manufacturers to pause or reduce vehicle production, and similar disruptions affecting the supply of critical inputs to our customers’ end products could reduce demand for our products even where our own deliveries continue uninterrupted.</w:t>
      </w:r>
    </w:p>
    <w:p>
      <w:pPr>
        <w:spacing w:after="0" w:line="54"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In particular, the escalation of armed conflict involving the United States, Israel and Iran beginning in early 2026 has heightened risks to our business. Disruption of key Middle East maritime shipping corridors, including the Strait of Hormuz, has increased freight costs and transit times and could delay or interrupt the supply of raw materials, components and packaging materials sourced from or routed through the affected region, including for our fabs, other suppliers and third-party suppliers of components incorporated into the same end products as our devices. Related surges in global energy prices have also affected energy costs in countries where we maintain significant manufacturing operations, including the Philippines, which has declared a state of energy emergency. Increased energy costs or supply constraints at our facilities could reduce production capacity or cause delays. The conflict may prompt expanded sanctions and export control measures that could restrict our ability to transact with counterparties or expose us to regulatory risk. Because our operations are downstream in the global supply chain, the effects of these disruptions, and any further escalation, may lag the underlying events and persist beyond any resolution or de-escalation of the conflict itself.</w:t>
      </w:r>
    </w:p>
    <w:p>
      <w:pPr>
        <w:spacing w:after="0" w:line="44"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Other companies in our industry may be affected differently by natural disasters, climate change or other disruptions depending on the location and concentration of their suppliers, operations and customers. In addition, many of our competitors are larger companies with more substantial financial and other resources and, as a result, may be better able to plan for, withstand or otherwise mitigate the effects of any such disruption. While we may take steps to plan for or address the occurrence of any such event, we cannot guarantee that we will be successful. Our failure to take adequate steps to reduce the likelihood or mitigate the potential impact of such events, or to effectively manage such events if they occur, particularly when a wafer or packaging component is sourced from a limited number of locations or suppliers, could adversely affect our business, financial condition, results of operations and cash flows and/or require additional resources to restore our supply chain.</w:t>
      </w:r>
    </w:p>
    <w:p>
      <w:pPr>
        <w:spacing w:after="0" w:line="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fail in a timely and cost-effective manner to develop new product features or new products that address customer preferences and achieve market acceptance, our operating results could be adversely affected.</w:t>
      </w:r>
    </w:p>
    <w:p>
      <w:pPr>
        <w:spacing w:after="0" w:line="12"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Our customers seek new products with more features and functionality at a lower cost, and our success relies heavily on our ability to continue to develop and market to our customers new and innovative products and improvements of existing products, including those that may incorporate, or are based or developed using, software or AI Technologies. To respond to new and evolving customer demands, achieve strong market share and keep pace with new technological, processing and other developments, we must continually introduce new and innovative products into the market. Although we strive to respond to customer preferences and industry expectations in the development of our products, we may not be successful in developing, introducing or commercializing any new or enhanced products on a timely basis or at all. Further, if initial sales volumes for new or enhanced products do not reach anticipated levels within the time periods we expect, we may be required to engage in additional marketing efforts to promote such products and the costs of developing and commercializing such products may be higher than we predict. Moreover, new and enhanced products may not perform as expected. We may encounter lower manufacturing yields and longer delivery schedules in commencing volume production of new products that we introduce, which could increase costs and disrupt supply of such products.</w:t>
      </w:r>
    </w:p>
    <w:p>
      <w:pPr>
        <w:spacing w:after="0" w:line="42"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A fundamental shift in technologies, particularly one that impacts magnetic or power ICs, the regulatory climate or demand patterns and preferences in our existing product markets or the product markets of our customers or end-users could make our current products obsolete or more expensive relative to alternatives, prevent or delay the introduction of new products or enhancements to our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25" w:name="page26"/>
    <w:bookmarkEnd w:id="25"/>
    <w:p>
      <w:pPr>
        <w:jc w:val="both"/>
        <w:spacing w:after="0" w:line="263" w:lineRule="auto"/>
        <w:rPr>
          <w:sz w:val="20"/>
          <w:szCs w:val="20"/>
          <w:color w:val="auto"/>
        </w:rPr>
      </w:pPr>
      <w:r>
        <w:rPr>
          <w:rFonts w:ascii="Times New Roman" w:cs="Times New Roman" w:eastAsia="Times New Roman" w:hAnsi="Times New Roman"/>
          <w:sz w:val="18"/>
          <w:szCs w:val="18"/>
          <w:color w:val="auto"/>
        </w:rPr>
        <w:t>existing products or render our products irrelevant to our customers’ needs. If our new product development efforts fail to align with our customers' needs, including due to circumstances outside of our control, such as a fundamental shift in product markets of our customers and end users or regulatory changes, our business, financial condition and results of operations could be adversely affected.</w:t>
      </w:r>
    </w:p>
    <w:p>
      <w:pPr>
        <w:spacing w:after="0" w:line="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depend on growth in the end markets that use our products. Any slowdown in such growth, including as a result of volatility in demand for emerging technologies or changes in government incentives, could adversely affect our financial results.</w:t>
      </w:r>
    </w:p>
    <w:p>
      <w:pPr>
        <w:spacing w:after="0" w:line="12"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Our continued success will depend in large part on general economic growth and growth within our target markets in the automotive and industrial sectors. Factors affecting these markets, including reductions in sales of our customers’ products, deterioration of our customers’ financial condition, insufficient customer resources dedicated to promoting and commercializing their products, the inability of our customers to adapt to changing technological demands, design flaws in customer products, the effects of catastrophic and other disruptive events, and increased supply chain, manufacturing or production costs could seriously harm our customers and, as a result, harm us. Additionally, our products may be used in AI infrastructure, including data centers, robotics and factory automation, and our ability to capitalize on this trend is subject to significant risks and uncertainties. The market for AI applications is still developing, and demand for products that support AI Technologies may be unpredictable and vary significantly. If the growth of AI infrastructure is constrained by factors such as power availability, utility limitations, shifts in customer budgets or a collapse in AI demand, demand for our offerings could be lower than we currently expect. Further, our failure to develop and offer the solutions that our AI-focused customers demand in a timely manner, commercialize new technologies used in AI data centers, or adapt to a shift in data center design could result in a loss of market share, unanticipated costs and inventory obsolescence. Moreover, expectations and front-loaded investment related to AI Technologies may increase the magnitude and volatility of semiconductor industry cycles, making downturns more abrupt, and if customer spending on AI Technologies moderates, is delayed, or declines more rapidly than anticipated, we could face a more pronounced downturn.</w:t>
      </w:r>
    </w:p>
    <w:p>
      <w:pPr>
        <w:spacing w:after="0" w:line="46"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In addition, end-user demand for certain HEVs, BEVs and green energy products often depends on the availability of rebates, tax credits and other financial incentives. The reduction, modification, expiration or elimination of such incentives across various global jurisdictions could reduce end-user demand and thus affect our customers’ demand for our products. For example, the adoption rate of xEVs is sensitive to the total cost of ownership relative to ICE vehicles, which can be significantly impacted by fluctuations in global fuel prices and the varying availability or sunsetting of government subsidies in key markets. If gas prices are low or if governmental financial incentives for new and used xEVs are reduced or eliminated more rapidly than anticipated, end-user demand for our products could slow, which could adversely affect our business, financial condition and results of operations. If anticipated demand in the end market for automobiles with higher sensor and power product content, industrial data center, robotics and the other growth markets in which we compete does not materialize or match our projections, it would adversely affect demand for our products from customers and impact our ability to execute our growth strategy.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significant customers could have a material adverse effect on our business and results of operations.</w:t>
      </w:r>
    </w:p>
    <w:p>
      <w:pPr>
        <w:spacing w:after="0" w:line="7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The loss of or a significant reduction in business with one or more significant customers, particularly in the automotive market, could have a material adverse effect on our net sales and, in turn, on our overall business, financial condition and results of operations.</w:t>
      </w:r>
    </w:p>
    <w:p>
      <w:pPr>
        <w:spacing w:after="0" w:line="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ability to identify, enter and expand in new markets may be unsuccessful, and our investments in these opportunities may not generate expected returns, which could adversely affect our business and financial results.</w:t>
      </w:r>
    </w:p>
    <w:p>
      <w:pPr>
        <w:spacing w:after="0" w:line="26"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As part of our growth strategy, we seek to expand our addressable markets by identifying and entering both new geographic markets and increasing the number and types of applications our products can be used in. For example, we are increasing investment in and pursuing opportunities in applications such as AI, medical devices and robotics, and in geographic markets where we have not historically had a strong presence. Our future success depends in part on our ability to successfully identify these opportunities, make the necessary investments to pursue them, overcome marketing and technological challenges, and ultimately generate and expand revenue and achieve appropriate margins from these efforts. Our ability to generate significant revenue from new markets and product applications will depend on various factors, including: the development and growth rate of these markets; the ability of our technologies and product solutions to address the specific needs, price and performance requirements of customers and end users in these markets; our ability to provide solutions that offer advantages in terms of performance, quality, reliability, and value-added features compared with alternative solutions and competitive offerings; the ability to adapt to market conditions, distribution channels, and customer relationships that may be unfamiliar to us; the timely and efficient completion of product development, manufacturing, assembly, and test processes suitable for these markets; and the effectiveness of our marketing, sales, and support efforts in these new areas. Many potential customers in these markets may have well-established relationships with competitive suppliers. Our ongoing success will require us to offer compelling alternatives at competitive costs. The markets for certain of these products may develop slower than anticipated, or not at all, or could utilize competing technologies. If we are unable to adapt rapidly to such conditions, or if we fail to timely introduce new products or penetrate these markets successfully, our investments may not generate expected returns, our sales growth could be impeded, and our business, financial condition, and results of operations could be adversely affected.</w:t>
      </w:r>
    </w:p>
    <w:p>
      <w:pPr>
        <w:spacing w:after="0" w:line="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nature of the design win process requires us to incur expenses without any guarantee that research and development efforts will generate net sales, and even if design wins are secured, such design wins may not generate timely or sufficient net sales or margins, which could adversely affect our financial results.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focus on winning competitive bid selection processes, called “design wins,” to develop products for use in our customers’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products. Our future sales are highly dependent on our continued success at winning design mandates. These lengthy selection processes may require us to incur significant expenditures and dedicate valued engineering resources to the development of new products without any assurance that we will achieve design wins. If we incur such expenditures and fail to be selected in the bid selection process, our operating results may be adversely affected. Further, because of the significant costs associated with qualifying new suppliers, customers are likely to use the same or enhanced versions of semiconductor products from existing suppliers across a number of similar and successor products for a lengthy period of time. As a result, if we fail to secure initial design wins, we may lose the opportunity to make future sales of those products to that customer. Failure to achieve initial design wins may weaken our position in future competitive selection processes because we may not be perceived as an industry leader.</w:t>
      </w:r>
    </w:p>
    <w:p>
      <w:pPr>
        <w:spacing w:after="0" w:line="51"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Even if we succeed in securing design wins, we may not generate timely or sufficient net sales or margins from those wins, as a substantial period of time generally elapses before we generate meaningful net sales relating to such products for which we secure design wins, if such sales are realized at all. The reasons for this delay may include: changing customer requirements, resulting in an extended development cycle for the product; delay in the volume production ramp up of customer products into which we design solutions; delay or cancellation of customers’ product development plans; competitive pressures to reduce our product selling price; the discovery of product design flaws, defects, errors or bugs; lower than expected customer acceptance of solutions designed for customers’ products; lower than expected market acceptance of customers’ products; and higher manufacturing costs than anticipated. If we do not continue to achieve design wins in the short term, we may not be able to achieve expected net sales levels associated with these design wins. If we experience delays in achieving such sales levels, our operating results could be adversely affected. Moreover, even if a customer selects our product, we cannot guarantee that this will result in any sales of our products, as the customer may ultimately change or cancel its product plans, or our customers’ efforts to market and sell its product may not be successful.</w:t>
      </w:r>
    </w:p>
    <w:p>
      <w:pPr>
        <w:spacing w:after="0" w:line="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trade policies, including the imposition of export restrictions and tariffs or retaliatory measures in response to such actions, could limit our ability to sell products to certain customers or limit demand from certain customers, which may materially and adversely affect our sales and results of operations.</w:t>
      </w:r>
    </w:p>
    <w:p>
      <w:pPr>
        <w:spacing w:after="0" w:line="27"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The U.S. or foreign governments may take or threaten to take administrative, legislative or regulatory action that could materially interfere with our ability to sell products in certain countries and/or to certain customers. For example, the United States and China have imposed export restrictions related to certain semiconductors, and a number of tariffs and other restrictions on items imported or exported between the United States and China and may propose or threaten to impose additional tariffs in the future. While a recent U.S. Supreme Court decision limited the President’s authority to impose certain broad-based tariffs under the International Emergency Economic Powers Act (IEEPA), the risk of tariffs and other trade restrictions remains, as this ruling does not affect other legal authorities, such as those permitting tariffs on national security grounds. We cannot predict what actions may ultimately be taken with respect to export restrictions, tariffs or trade relations between the United States and China or other countries, what products may be subject to such actions, or what actions may be taken by other countries in retaliation.</w:t>
      </w:r>
    </w:p>
    <w:p>
      <w:pPr>
        <w:spacing w:after="0" w:line="53"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Further, since we manufacture products outside the United States, new or increased tariffs on certain goods imported into the United States, if adopted or reinstated, could have a disproportionate impact on our business and make our products more expensive and less competitive in domestic markets. The U.S. Department of Commerce is conducting an ongoing investigation into whether imports of semiconductors, semiconductor manufacturing equipment and their derivative products threaten to impair U.S. national security. Following completion of the investigation, the President may decide to impose additional tariffs on these or other products under Section 232 of the Trade Expansion Act of 1962 or other legal authorities, the scope, timing and magnitude of which are highly uncertain and not within our control. Further, changes in U.S. trade policy could trigger retaliatory actions by affected countries, which could impose restrictions on our ability to do business in or with affected countries or prohibit, reduce or discourage purchases of our products by foreign customers, leading to increased costs of components contained in our products, increased costs of manufacturing our products, and higher prices for our products in foreign markets. For example, there are risks that foreign governments may require the use of local suppliers, mandate local partnerships, or provide incentives favoring domestic suppliers in their respective markets. Moreover, changes in tariffs and trade restrictions can be announced with little or no advance notice. The adoption and expansion of tariffs or other trade restrictions, increasing trade tensions, or other changes in governmental policies related to taxes, tariffs, trade agreements or policies, are difficult to predict, which makes attendant risks difficult to anticipate and mitigate. Further, changes in U.S. foreign policy or trade agreements may impact our supply chain, manufacturing and distribution of our products, as suppliers face increased costs and logistical challenges, which could result in delays in product delivery and increased inventory costs. Changes in, and responses to, U.S. trade policy could reduce the competitiveness of our products and cause our sales to decline, which could materially and adversely impact our business, financial condition and results of operations.</w:t>
      </w:r>
    </w:p>
    <w:p>
      <w:pPr>
        <w:spacing w:after="0" w:line="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Warranty claims, customer quality claims, product liability claims and product recalls could harm our business, results of operations and financial condition.</w:t>
      </w:r>
    </w:p>
    <w:p>
      <w:pPr>
        <w:spacing w:after="0" w:line="12"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We face an inherent business risk of exposure to warranty and product liability claims if products fail to perform as expected or any such failure is alleged to result in bodily injury, death, and/or property damage. Further, if any of our designed products are alleged to be defective, we may be required to participate in their recalls. In addition, our customers, particularly automotive and industrial OEMs and their tier-one suppliers, increasingly assert quality-related claims against us seeking recovery of costs incurred as a result of actual or alleged non-conformance of our products. Customers frequently seek to recover these claimed amounts through charge-backs, set-offs against amounts otherwise owed to us, or contractual indemnification, cost-sharing or quality-incentive provisions. The amounts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27" w:name="page28"/>
    <w:bookmarkEnd w:id="27"/>
    <w:p>
      <w:pPr>
        <w:jc w:val="both"/>
        <w:spacing w:after="0" w:line="251" w:lineRule="auto"/>
        <w:rPr>
          <w:sz w:val="20"/>
          <w:szCs w:val="20"/>
          <w:color w:val="auto"/>
        </w:rPr>
      </w:pPr>
      <w:r>
        <w:rPr>
          <w:rFonts w:ascii="Times New Roman" w:cs="Times New Roman" w:eastAsia="Times New Roman" w:hAnsi="Times New Roman"/>
          <w:sz w:val="18"/>
          <w:szCs w:val="18"/>
          <w:color w:val="auto"/>
        </w:rPr>
        <w:t>sought in connection with such claims may substantially exceed the purchase price of the affected products, and resolution of such claims often requires investigation, the outcome of which is inherently uncertain and may be costly. Some OEMs expect suppliers to warrant their products for longer periods of time and are increasingly looking to them for contribution when faced with product liability claims or recalls. For example, some of our products are used in automotive safety systems, the failure of which could lead to injury or death. We carry various commercial liability policies, including umbrella/excess policies which provide some protection against product liability exposure. However, a successful warranty or product liability claim against us in excess of our available insurance coverage and established reserves, or a requirement that we participate in a product recall, could have adverse effects on our business results. In the future, it is possible we will not be able to obtain insurance coverage in the amounts and for the risks we seek at policy costs and terms we desire. Further, if our products fail to perform as expected or a failure of our products results in a recall or in significant customer quality claims, our reputation may be damaged, we may lose existing or future design wins and customers may reduce their allocation of business to us, which could make it more difficult for us to sell our products to existing and prospective customers and could materially and adversely affect our business, results of operations and financial condition.</w:t>
      </w:r>
    </w:p>
    <w:p>
      <w:pPr>
        <w:spacing w:after="0" w:line="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dependence on international customers and operations also subjects us to a range of other additional regulatory, operational, financial and political risks that could adversely affect our financial results.</w:t>
      </w:r>
    </w:p>
    <w:p>
      <w:pPr>
        <w:spacing w:after="0" w:line="12"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For fiscal years 2026, 2025 and 2024, approximately 89.7%, 87.2% and 85.8%, respectively, of our net sales were to customers outside of the United States. In addition, a substantial majority of our products are assembled and tested at facilities outside of the United States. Our principal assembly and test facility is located in the Philippines at AMPI. We also rely on several other wafer fabrication manufacturing partners located throughout Asia. Any conflict or uncertainty in this region, including public health or safety concerns, climate change or natural disasters, could have a material adverse effect on our business, financial condition and results of operations. Further, conducting business outside the United States subjects us to numerous risks and challenges, including: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 specific country’s or region’s political, regulatory or economic conditions;</w:t>
      </w:r>
    </w:p>
    <w:p>
      <w:pPr>
        <w:spacing w:after="0" w:line="42" w:lineRule="exact"/>
        <w:rPr>
          <w:sz w:val="20"/>
          <w:szCs w:val="20"/>
          <w:color w:val="auto"/>
        </w:rPr>
      </w:pPr>
    </w:p>
    <w:p>
      <w:pPr>
        <w:ind w:left="1020" w:hanging="504"/>
        <w:spacing w:after="0" w:line="259"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epidemic or other outbreak of an infectious disease, which may cause us or our distributors, vendors and/or customers to temporarily suspend operations in the affected city or country;</w:t>
      </w:r>
    </w:p>
    <w:p>
      <w:pPr>
        <w:jc w:val="both"/>
        <w:ind w:left="1020" w:hanging="504"/>
        <w:spacing w:after="0" w:line="254"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wide variety of domestic and foreign laws, regulations and policies (including those of municipalities or provinces where we have operations) and unexpected changes in those laws and regulatory requirements, including uncertainties regarding taxes, social insurance contributions and other payroll taxes and fees to governmental entities, climate-related disclosures, tariffs, quotas, export controls, export licenses and other trade barriers or restrictions;</w:t>
      </w:r>
    </w:p>
    <w:p>
      <w:pPr>
        <w:ind w:left="1020" w:hanging="504"/>
        <w:spacing w:after="0" w:line="259"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restrictions on our ability to sell to foreign customers where sale of products and provision of services may require export licenses or are prohibited by government action, unfavorable foreign exchange controls and currency exchange rates;</w:t>
      </w:r>
    </w:p>
    <w:p>
      <w:pPr>
        <w:ind w:left="1020" w:hanging="504"/>
        <w:spacing w:after="0" w:line="255"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substantial penalties and litigation related to violations of a wide variety of laws, treaties and regulations, including labor regulations and anti-corruption regulations;</w:t>
      </w:r>
    </w:p>
    <w:p>
      <w:pPr>
        <w:spacing w:after="0" w:line="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international operations across different geographic areas and cultures;</w:t>
      </w:r>
    </w:p>
    <w:p>
      <w:pPr>
        <w:spacing w:after="0" w:line="28" w:lineRule="exact"/>
        <w:rPr>
          <w:rFonts w:ascii="Times New Roman" w:cs="Times New Roman" w:eastAsia="Times New Roman" w:hAnsi="Times New Roman"/>
          <w:sz w:val="18"/>
          <w:szCs w:val="18"/>
          <w:color w:val="auto"/>
        </w:rPr>
      </w:pPr>
    </w:p>
    <w:p>
      <w:pPr>
        <w:jc w:val="both"/>
        <w:ind w:left="1020" w:hanging="504"/>
        <w:spacing w:after="0" w:line="253"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political, legal and economic instability, armed conflict, and civil unrest in the countries in which we and our customers, suppliers and contract manufacturers are located, such as macroeconomic weakness related to trade and political disputes between the United States and China, tensions across the Taiwan Strait, the current conflict between Russia and Ukraine and the ongoing conflict involving the United States, Israel, Iran and other nations in the Middle East;</w:t>
      </w:r>
    </w:p>
    <w:p>
      <w:pPr>
        <w:spacing w:after="0" w:line="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costs of maintaining effective data security;</w:t>
      </w:r>
    </w:p>
    <w:p>
      <w:pPr>
        <w:spacing w:after="0" w:line="20"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protection of intellectual property;</w:t>
      </w:r>
    </w:p>
    <w:p>
      <w:pPr>
        <w:spacing w:after="0" w:line="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and other supply chain delays and disruptions;</w:t>
      </w:r>
    </w:p>
    <w:p>
      <w:pPr>
        <w:spacing w:after="0" w:line="2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nationalization and expropriation;</w:t>
      </w:r>
    </w:p>
    <w:p>
      <w:pPr>
        <w:spacing w:after="0" w:line="20" w:lineRule="exact"/>
        <w:rPr>
          <w:rFonts w:ascii="Times New Roman" w:cs="Times New Roman" w:eastAsia="Times New Roman" w:hAnsi="Times New Roman"/>
          <w:sz w:val="18"/>
          <w:szCs w:val="18"/>
          <w:color w:val="auto"/>
        </w:rPr>
      </w:pPr>
    </w:p>
    <w:p>
      <w:pPr>
        <w:ind w:left="1020" w:hanging="504"/>
        <w:spacing w:after="0" w:line="26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to and from foreign countries, including withholding taxes and other potentially negative tax consequences;</w:t>
      </w: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and/or changing foreign tax treaties and policies; and</w:t>
      </w:r>
    </w:p>
    <w:p>
      <w:pPr>
        <w:spacing w:after="0" w:line="2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general market and economic conditions outside of the U.S.</w:t>
      </w:r>
    </w:p>
    <w:p>
      <w:pPr>
        <w:spacing w:after="0" w:line="68"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These factors, individually or in combination, could impair our ability to effectively operate one or more of our foreign facilities or deliver our products, result in unexpected and material expenses, or cause an unexpected decline in the demand for our products in certain countries or regions. Our failure to manage the risks and challenges associated with our international business and operations could have a material adverse effect on our business.</w:t>
      </w:r>
    </w:p>
    <w:p>
      <w:pPr>
        <w:spacing w:after="0" w:line="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lose sales if we are unable to obtain government authorization to export certain technology for our products, and we will be subject to legal and regulatory consequences if we do not comply with applicable export control laws and regulations.</w:t>
      </w:r>
    </w:p>
    <w:p>
      <w:pPr>
        <w:spacing w:after="0" w:line="12"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Exports to certain manufacturers of technology relating to our products are subject, or could be subject in the future, to export controls imposed by the U.S. government and administered by the U.S. Departments of State and Commerce. In certain instances, these regulations may require pre-shipment authorization from the administering department. For products subject to the Export Administration Regulations, administered by the Department of Commerce’s Bureau of Industry and Security, the requirement for 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28" w:name="page29"/>
    <w:bookmarkEnd w:id="28"/>
    <w:p>
      <w:pPr>
        <w:jc w:val="both"/>
        <w:spacing w:after="0" w:line="250" w:lineRule="auto"/>
        <w:rPr>
          <w:sz w:val="20"/>
          <w:szCs w:val="20"/>
          <w:color w:val="auto"/>
        </w:rPr>
      </w:pPr>
      <w:r>
        <w:rPr>
          <w:rFonts w:ascii="Times New Roman" w:cs="Times New Roman" w:eastAsia="Times New Roman" w:hAnsi="Times New Roman"/>
          <w:sz w:val="18"/>
          <w:szCs w:val="18"/>
          <w:color w:val="auto"/>
        </w:rPr>
        <w:t>license is dependent on the type and end use of the product, the final destination, the identity of the end user and whether a license exception might apply. In recent years, the Bureau of Industry and Security has announced export control regulations applicable to the sale of U.S. semiconductor technology in China (collectively, the “BIS Regulations”). The BIS Regulations place limitations on the ability of companies to export certain semiconductor chips, as well as chipmaking equipment, by requiring companies to obtain licenses to export such products and equipment into China or other designated countries. Certain of our competitors may be exempt from the BIS Regulations by virtue of being non-U.S. manufacturers. Any expansion of the scope of the BIS Regulations, including an increase in the number of companies subject to such regulations or the addition of one or more of our significant customers, could have a material impact on our net sales. We have evaluated and selectively pursued export licenses and authorizations, but there can be no assurances that we will obtain such licenses or authorizations on a timely or cost-effective basis or at all. Products developed and manufactured in our foreign locations are subject to export controls of the applicable foreign nation. Obtaining export licenses can be difficult, costly and time-consuming, and we may not always be successful in obtaining necessary export licenses. Our failure to obtain required import or export approval for our products or limitations on our ability to manufacture or sell our products imposed by these laws may harm our international and domestic revenues. Noncompliance with these laws could have negative consequences, including government investigations, penalties and reputational harm. The absence of comparable restrictions on competitors in other countries may adversely affect our competitive position. Failure to obtain export licenses for technology relating to our products or having one or more of our customers be restricted from receiving exports from us could significantly reduce our net sales and materially and adversely affect our business, financial condition and results of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currency exchange rates may adversely affect our business, financial condition, results of operations and cash flows.</w:t>
      </w:r>
    </w:p>
    <w:p>
      <w:pPr>
        <w:spacing w:after="0" w:line="78"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We have operations and assets in the U.S. as well as foreign jurisdictions and prepare our consolidated financial statements in U.S. dollars, but a portion of our earnings and expenditures are denominated in other currencies. Therefore, we must translate our foreign assets, liabilities, revenue and expenses into U.S. dollars at applicable exchange rates. Consequently, fluctuations in the value of foreign currencies relative to the U.S. dollar may negatively affect the value of these items in our financial statements. In addition, since many of our sales in foreign jurisdictions are denominated in U.S. dollars, a decrease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 currency exchange rates can be volatile, and such currency fluctuations may make it difficult for us to predict our results of operations. It is possible that government policy changes and uncertainty about such changes could increase currency exchange rate fluctuations. If we fail to manage our foreign currency exposure adequately, we may suffer losses in the value of our net foreign currency investment, and our business, financial condition, results of operations and cash flows may be negatively affected.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 and could prevent us from executing our growth strategy.</w:t>
      </w:r>
    </w:p>
    <w:p>
      <w:pPr>
        <w:spacing w:after="0" w:line="91"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Our ability to operate and expand our business depends on the availability of adequate capital, which in turn depends on cash flow generated by our business and the availability of borrowings under our credit facilities and other debt, equity or other applicable financing arrangements. We believe that our existing cash resources and our access to the capital markets will be sufficient to finance our continued operations, growth strategy, and planned capital expenditures for at least the next 12 months. However, we have based this estimate on our current operating plans and expectations, which are subject to change, and cannot assure you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 market acceptance of our products; the need to adapt to changing technologies and technical requirements; the existence of opportunities for expansion; and access to and availability of sufficient management, technical, marketing and financial personnel. In addition, it is possible that government policy changes and uncertainty about such changes could increase market volatility, which may lead to adverse changes in the availability, terms and cost of capital.</w:t>
      </w:r>
    </w:p>
    <w:p>
      <w:pPr>
        <w:spacing w:after="0" w:line="42"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If our capital resources are insufficient to satisfy our liquidity requirements, we may seek to sell additional equity securities or debt securities or obtain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Interest rates may remain elevated or rise, making the cost of incurring new debt obligations more expensive to the Company.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may limit our flexibility to operate our business and adversely affect our financial health and competitive position.</w:t>
      </w:r>
    </w:p>
    <w:p>
      <w:pPr>
        <w:spacing w:after="0" w:line="91"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As of March 27, 2026, we had $285.0 million in aggregate principal amount of debt outstanding under our 2026 Refinanced Loans (as defined herein), no debt outstanding under our revolving credit facility and $256.0 million of additional borrowings available thereunder. To service this indebtedness, and any additional indebtedness or other long-term obligations we may incur in the future, we need to generate sufficient levels of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levels of cash from operations or that future borrowing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or financing will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will place us at a competitive disadvantage compared to our competitors that have less indebtedness.</w:t>
      </w:r>
    </w:p>
    <w:p>
      <w:pPr>
        <w:spacing w:after="0" w:line="46"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In addition, the 2023 Revolving Credit Agreement contains, and any agreements evidencing or governing other future indebtedness may also contain, certain covenants that limit our and our restricted subsidiaries’ ability to engage in certain transactions that may be in our long-term best interests. Subject to certain limited exceptions, these covenants include limitations on additional indebtedness, liens, various fundamental changes, dividends and distributions, investments (including acquisitions), transactions with affiliates, asset sales, prepayment of junior financing, changes in business and other limitations customary in senior secured credit facilities. Further, we are required to maintain a Total Net Leverage Ratio (as defined in the 2023 Revolving Credit Agreement) of no more than 4.00 to 1.00 at the end of each fiscal quarter, which may, subject to certain limitations, be increased to 4.50 to 1.00 for any quarter in which an acquisition in excess of $500.0 million is conducted and for the three subsequent quarters. Our ability to comply with these covenants may be affected by events and factors beyond our control. If we were to breach one or more covenants, the administrative agent with the consent of, or at the request of, the holders of more than 50% in principal amounts of the loans and commitments, may terminate the commitments and accelerate the maturity of the loans and enforce certain other remedies. The occurrence of any of these events could have a material adverse effect on our business, financial condition and results of operations.</w:t>
      </w:r>
    </w:p>
    <w:p>
      <w:pPr>
        <w:spacing w:after="0" w:line="39"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In addition, we may be able to incur significant additional indebtedness in the future. While the 2023 Revolving Credit Agreement generally restricts our and our restricted subsidiaries’ ability to incur additional indebtedness, these restrictions are subject to important and significant exceptions and limitations. Also, these agreements generally do not prohibit us from incurring obligations that do not constitute indebtedness as defined therein. To the extent that we incur additional indebtedness or such other obligations, the risks associated with our indebtedness described above could increase.</w:t>
      </w:r>
    </w:p>
    <w:p>
      <w:pPr>
        <w:spacing w:after="0" w:line="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depend on key and highly skilled personnel to operate our business, and if we are unable to retain our current personnel and hire additional personnel, our ability to achieve our long-term strategic business and financial objectives and execute our business plan could be harmed, which in turn could adversely affect our financial results.</w:t>
      </w:r>
    </w:p>
    <w:p>
      <w:pPr>
        <w:spacing w:after="0" w:line="41" w:lineRule="exact"/>
        <w:rPr>
          <w:sz w:val="20"/>
          <w:szCs w:val="20"/>
          <w:color w:val="auto"/>
        </w:rPr>
      </w:pPr>
    </w:p>
    <w:p>
      <w:pPr>
        <w:jc w:val="both"/>
        <w:ind w:firstLine="569"/>
        <w:spacing w:after="0" w:line="249" w:lineRule="auto"/>
        <w:rPr>
          <w:sz w:val="20"/>
          <w:szCs w:val="20"/>
          <w:color w:val="auto"/>
        </w:rPr>
      </w:pPr>
      <w:r>
        <w:rPr>
          <w:rFonts w:ascii="Times New Roman" w:cs="Times New Roman" w:eastAsia="Times New Roman" w:hAnsi="Times New Roman"/>
          <w:sz w:val="18"/>
          <w:szCs w:val="18"/>
          <w:color w:val="auto"/>
        </w:rPr>
        <w:t>Our success depends upon the continued services of our executive officers, managers and skilled personnel, including our development engineers. From time to time, including over the past year, we have experienced changes in our executive management team and other key personnel, which is disruptive to our business. Generally, our employees, including executive management are not bound by obligations that require them to continue to work for us for any specified period and, therefore, they could terminate their employment with us at any time. Moreover, our employees, including executive management, are generally not subject to non-competition agreements. Given these limitations, we may not be able to continue to attract, retain and motivate the qualified personnel necessary for our business. In addition, we recruit from a limited pool of engineers with expertise in analog mixed-signal semiconductor design, and the competition for such personnel can be intense. As we expand into markets that we have not traditionally served, our future growth and success will depend on hiring key employees with expertise in these industries. Our future performance depends on the continued services and continuing contributions of our executive management to execute our business plan and to identify and pursue new opportunities and product innovations. The loss of one or more of our executive officers or other key personnel or our inability to locate suitable or qualified replacements could be significantly detrimental to our operations or product development efforts and could have a material adverse effect on our business, financial condition and results of operations. We also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U.S. are impacted by laws, regulations, policies, procedures and enforcement practices of various government agencies. Changes in immigration laws, regulations, policies or procedures may adversely affect our ability to hire or retain such workers, increase our operating expenses and negatively impact our ability to deliver our products and services, any of which would adversely affect our business, financial condition and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large stockholders, or the possibility of such sales, may cause the trading price of our common stock to decline.</w:t>
      </w:r>
    </w:p>
    <w:p>
      <w:pPr>
        <w:spacing w:after="0" w:line="7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Future sales of substantial amounts of our common stock in the public market by our largest stockholders, or the perception that these sales could occur, could cause the market price of our common stock to decline and impair our ability to raise capital through the sale of additional shares.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could be harmed as the result of undertaking restructuring activities.</w:t>
      </w:r>
    </w:p>
    <w:p>
      <w:pPr>
        <w:spacing w:after="0" w:line="78"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We have initiated and implemented strategies to reduce costs, including workforce reductions and office closures, and incurred related restructuring costs in anticipation of realizing cost savings in the future. We may not realize, in full or in part, the anticipated benefits, savings and improvements from the reductions of our workforce and other restructuring activities if our revenue and profits decline beyond our current projections. Any future restructuring would require substantial management time and attention and may divert management from other important work. If we are unable to effectively manage or efficiently implement these strategies and/or restructuring initiatives, we may not realize the expected operational efficiencies and cost savings of such strategies and initiatives, and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our operating results and financial condition would be adversely affected as a result.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Information Technology, Intellectual Property (“IP”), AI Technologies, and Data Security and Privacy</w:t>
      </w:r>
    </w:p>
    <w:p>
      <w:pPr>
        <w:spacing w:after="0" w:line="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technology and inventions, our ability to compete successfully and our financial results could be adversely impacted.</w:t>
      </w:r>
    </w:p>
    <w:p>
      <w:pPr>
        <w:spacing w:after="0" w:line="12"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We seek to protect our proprietary technology and inventions, particularly those relating to the design of our products, through the use of patents. As of March 27, 2026, we owned approximately 1,860 active patents, including 1,005 U.S. patents (with expiration dates between 2026 and 2044), with approximately 440 pending patent applications, including 250 U.S. patent applications. Maintenance of patent portfolios, particularly outside of the U.S., is expensive, and the process of seeking patent protection is lengthy and costly. While we intend to maintain our patents supporting our products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 Additionally, it is difficult and costly to monitor the use of our IP. It may be the case that our IP is already being infringed, and infringement may occur in the future without our knowledge. The difficulty and failure to identify any violations of our IP rights could materially and adversely affect our business, financial condition and result of operations and hurt our competitive advantage.</w:t>
      </w:r>
    </w:p>
    <w:p>
      <w:pPr>
        <w:spacing w:after="0" w:line="59" w:lineRule="exact"/>
        <w:rPr>
          <w:sz w:val="20"/>
          <w:szCs w:val="20"/>
          <w:color w:val="auto"/>
        </w:rPr>
      </w:pPr>
    </w:p>
    <w:p>
      <w:pPr>
        <w:jc w:val="both"/>
        <w:ind w:firstLine="569"/>
        <w:spacing w:after="0" w:line="267" w:lineRule="auto"/>
        <w:rPr>
          <w:sz w:val="20"/>
          <w:szCs w:val="20"/>
          <w:color w:val="auto"/>
        </w:rPr>
      </w:pPr>
      <w:r>
        <w:rPr>
          <w:rFonts w:ascii="Times New Roman" w:cs="Times New Roman" w:eastAsia="Times New Roman" w:hAnsi="Times New Roman"/>
          <w:sz w:val="17"/>
          <w:szCs w:val="17"/>
          <w:color w:val="auto"/>
        </w:rPr>
        <w:t>Our use of AI Technologies in product development and software coding presents additional IP risks, including uncertainty regarding the protectability of AI-generated inventions and code, potential infringement claims arising from AI-generated outputs substantially similar to third-party or open-source materials, and possible third-party provider rights in code generated using their tools. See “Risk Factors—We are exposed to risks related to the use of AI Technologies by us and others.” We also seek to protect our proprietary technology and inventions, particularly those relating to our manufacturing processes, as trade secrets. Under the trade secret laws of both the United States and applicable non-U.S. countries, protection of our proprietary information as trade secrets requires us to take steps to prevent unauthorized disclosure to third parties or misappropriation by third parties. While we require our officers, employees, consultants, distributors, and existing and prospective customers to sign confidentiality agreements and take security measures to protect unauthorized disclosure and misappropriation of our trade secrets, we cannot assure or predict that these measures will be sufficient. The semiconductor industry is generally subject to high employee turnover,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compete successfully depends in part on our ability to commercialize our products without infringing the patent, trade secret or other IP rights of others.</w:t>
      </w:r>
    </w:p>
    <w:p>
      <w:pPr>
        <w:spacing w:after="0" w:line="12"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Our competitors and other third parties actively seek to protect their technology and inventions with patents and trade secrets. We have no means of knowing the content of patent applications filed by third parties until they are published. It is also difficult and costly to continuously monitor the IP portfolios of our competitors to ensure our technologies do not violate the IP rights of any third parties. Patent assertion entities are common in the semiconductor industry, which is characterized by frequent litigation regarding patent and other IP rights. From time to time, we receive communications from third parties that allege that our products or technologies infringe their patent or other IP rights, and we may receive more or similar communications in the future. Lawsuits or other proceedings resulting from allegations of infringement, including claims arising from our use of AI Technologies in our development process, could subject us to significant liability for damages, invalidate our proprietary rights and adversely affect our business. If a third party succeeds in asserting a valid claim against us or our customers, we could be forced to do one or more of the following: discontinue selling, importing or using certain technologies that contain the allegedly infringing IP, which could cause us to stop manufacturing certain products; seek to develop non-infringing technologies, which may be infeasible; incur significant legal expenses; pay substantial monetary damages to the party whose IP rights we may be found to be infringing; or seek licenses for the infringed technology that may not be available on commercially reasonable terms, if at all. If a third party causes us to discontinue the use of any of our technologies, we could be required to design around those technologies, which could be costly and time-consuming and have an adverse effect on our financial results. Any significant impairments of our IP rights from any litigation we face could materially and adversely impact our business, financial condition, results of operations and our ability to compete in our industry.</w:t>
      </w:r>
    </w:p>
    <w:p>
      <w:pPr>
        <w:spacing w:after="0" w:line="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that we or our critical third-party service providers experience could irreparably damage our reputation and business and materially affect our operating results and financial condition.</w:t>
      </w:r>
    </w:p>
    <w:p>
      <w:pPr>
        <w:spacing w:after="0" w:line="12"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We rely on computer systems, hardware, software, technology infrastructure and online sites and networks for both internal and external operations (collectively, “IT Systems”) that are critical to our business. We own and manage some of these IT systems but also rely on third parties for a range of IT Systems and other products and services. In conducting our business, we routinely collect and store sensitive data, including proprietary technology and information and personal information related to our business and our customers, suppliers and business partners, as well as proprietary technology and information owned by our customers (collectively, “Confidential Information”). The secure processing, maintenance and transmission of Confidential Information is critical to our operations and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31" w:name="page32"/>
    <w:bookmarkEnd w:id="31"/>
    <w:p>
      <w:pPr>
        <w:jc w:val="both"/>
        <w:spacing w:after="0" w:line="251" w:lineRule="auto"/>
        <w:rPr>
          <w:sz w:val="20"/>
          <w:szCs w:val="20"/>
          <w:color w:val="auto"/>
        </w:rPr>
      </w:pPr>
      <w:r>
        <w:rPr>
          <w:rFonts w:ascii="Times New Roman" w:cs="Times New Roman" w:eastAsia="Times New Roman" w:hAnsi="Times New Roman"/>
          <w:sz w:val="18"/>
          <w:szCs w:val="18"/>
          <w:color w:val="auto"/>
        </w:rPr>
        <w:t>business strategy. We face numerous, evolving cybersecurity risks that threaten the confidentiality, integrity and availability of our IT Systems and Confidential Information. We and our third-party service providers are exposed to a range of cyberattack vectors, including computer viruses, malware (including ransomware), illegal hacking, criminal fraud or impersonation, acts of vandalism or terrorism, employee or contractor error or malfeasance, social engineering or phishing, or software-related errors, bugs or other vulnerabilities. We and certain of our service providers have experienced and will continue to experience cyberattacks and other incidents to varying degrees. While to date no incidents have materially impacted our operations or results, there is no guarantee that material incidents will not occur in the future. Security measures that we, our third-party service providers and our customers have implemented cannot detect or prevent all cybersecurity attacks, disruptions or security breaches. Our scanning tools regularly identify vulnerabilities in our and third-party software used in our IT environment, but we cannot comprehensively apply patches or mitigate all vulnerabilities before a threat actor exploits them. There can also be no assurance that our cybersecurity risk management program, including our policies, controls or procedures, will be fully implemented, complied with or effective in protecting our IT Systems and Confidential Information.</w:t>
      </w:r>
    </w:p>
    <w:p>
      <w:pPr>
        <w:spacing w:after="0" w:line="55"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Threat actors are increasingly sophisticated and using techniques and tools that circumvent controls, evade detection and remove forensic evidence, including the use of AI and machine learning to launch more automated, convincing, targeted and coordinated attacks, which means that effectively anticipating, containing and recovering from attacks and incidents in a timely manner is and will continue to be challenging, and may require us to incur material costs. Any attack, breach or misuse of Confidential Information, whether experienced by us or a third-party service provider or in our supply chain, could materially harm our reputation by deterring existing or prospective customers from using our products and applications, increasing our operating expenses in order to contain and remediate the incident, exposing us to unbudgeted or uninsured liability, disrupting our operations, diverting management focus away from other priorities, increasing our regulatory and litigation (including class action) exposure, and/or resulting in the imposition of material penalties and fines under state, federal and foreign laws. Any such incidents could irreparably damage our reputation and business, which could have a material adverse effect on our results of operations. While we maintain various insurance policies, we cannot be certain that any or all cybersecurity or privacy-related losses or costs will be covered in whole or in part by our policies. Risks associated with our and our employees’ use of AI Technologies are further described under ‘Risk Factors—We are exposed to risks related to the use of AI Technologies by us and others.’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the use of AI Technologies by us and others.</w:t>
      </w:r>
    </w:p>
    <w:p>
      <w:pPr>
        <w:spacing w:after="0" w:line="78"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We are increasingly incorporating AI tools and capabilities into our business operations, including our chip design lifecycle, manufacturing operations, and administrative functions, which subjects us to significant competitive, legal, regulatory, and other risks. Our competitors may be more successful in their development of AI Technologies, including by developing superior products or improving their operations. Our use of AI Technologies may also expose us to risks related to the loss of confidential information or IP rights, IP infringement or misappropriation, data privacy, cybersecurity, and the unauthorized use of Company data. In particular, if the models underlying the AI Technologies we use are poorly designed, trained on inadequate, biased or improperly licensed data, deployed without sufficient governance, or affected by defects or cybersecurity threats, the performance of our products and services and our reputation could suffer, and we could incur liability under applicable law or contract.</w:t>
      </w:r>
    </w:p>
    <w:p>
      <w:pPr>
        <w:spacing w:after="0" w:line="51"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We use third-party AI Technologies in our operations, and our ability to continue to use such technologies at the scale we need may depend on access to specific third-party software and infrastructure. If any such third-party AI Technologies become incompatible with the other technologies we use in our business or unavailable for use (including due to service disruptions or outages beyond our control), or if the providers of such models unfavorably change their terms or terminate their relationship with us, our operations could be materially adversely affected. Additionally, the jurisdictions in which we operate have adopted and may adopt laws and regulations related to AI, which could cause us to incur greater compliance costs, limit our use of AI Technologies, or subject us to legal liabilities. See “Risk Factors—Risks Related to Regulatory Compliance.”</w:t>
      </w:r>
    </w:p>
    <w:p>
      <w:pPr>
        <w:spacing w:after="0" w:line="3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 and other legal obligations, particularly related to privacy, data protection and information security, and consumer protection laws across different markets where we conduct our business. Our actual or perceived failure to comply with such obligations could harm our business.</w:t>
      </w:r>
    </w:p>
    <w:p>
      <w:pPr>
        <w:spacing w:after="0" w:line="27"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In the United States and other jurisdictions in which we operate, we are subject to various consumer protection, data privacy and information security laws and related regulations. These laws and regulations impose significant compliance requirements in relation to our IT Systems and Confidential Information, and in some instances, expose us to private rights of action and statutory damages for certain types of events. A serious breach of such laws or regulations may expose us to material litigation, fines, civil and/or criminal penalties, adverse publicity resulting in significant customer loss, and/or require us to change our business practices in a manner that materially impacts our financial condition. As a U.S.-based company operating in many countries around the world, we are subject not only to U.S. federal and varying U.S. state privacy, data protection, information security, and consumer protection laws and regulations, but also to numerous foreign laws and regulations, including the EU General Data Protection Regulation and the Data Security Law of the People’s Republic of China. Complying with these laws and regulations is costly and time-consuming, and as these laws and regulations are being interpreted broadly and in potentially conflicting ways by global regulators, we are subject to increased compliance obligations and regulatory scrutiny, litigation and reputational risks, which could have a material adverse impact on our operations and financial results. Additionally, restrictions on the collection, use, sharing or disclosure of personal information or additional requirements and liability for security and data integrity could require us to modify our solutions and features, possibly in a material manner, and limit our ability to develop new products and features.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the large body of laws and regulations to which we are subject could adversely impact our business.</w:t>
      </w:r>
    </w:p>
    <w:p>
      <w:pPr>
        <w:spacing w:after="0" w:line="78"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We are subject to regulation by various governmental agencies in the United States and other jurisdictions in which we operate. These laws and regulations include: antitrust regulatory activities; consumer protection laws; AI, data privacy and cybersecurity laws; import/export regulatory activities; product safety regulatory activities; worker health and safety; environmental protection; employment matters; and tax and other regulations in each of the areas in which we conduct business. In certain jurisdictions, regulatory requirements in one or more of these areas may be more stringent than or inconsistent with those of the United States, which could force us to incur greater compliance costs, while also exposing us to increased litigation or other risks. Any material increase in our costs as a result could have a material adverse effect on our business, financial condition, results of operations and liquidity. In the area of employment matters, noncompliance with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Such enforcement actions could have a materially adverse effect on our business. If any governmental sanctions are imposed, or if we do not prevail in any possible civil or criminal litigation, our business, financial condition and results of operations could be materially and adversely affected. In addition, responding to any action will likely result in a significant diversion of management’s attention and resources and an increase in professional fees.</w:t>
      </w:r>
    </w:p>
    <w:p>
      <w:pPr>
        <w:spacing w:after="0" w:line="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use of AI subjects us to a legal framework that is rapidly evolving and our failure to monitor and comply with the laws and regulations to which we are or may become subject could have a material adverse effect on our business and operations.</w:t>
      </w:r>
    </w:p>
    <w:p>
      <w:pPr>
        <w:spacing w:after="0" w:line="2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legal and regulatory framework governing AI Technologies is rapidly evolving in the United States, the European Union and other jurisdictions in which we conduct business, with certain existing regimes (such as data privacy laws) already regulating aspects of AI and additional AI-specific laws and regulations enacted or under consideration. These laws and regulations, as well as related enforcement practices and judicial interpretations, may be amended, rescinded, enjoined or applied in ways we cannot predict, which could increase our compliance costs, limit our use of AI Technologies or expose us to legal liability.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comply with anti-corruption and anti-bribery laws could subject us to penalties and other adverse consequences.</w:t>
      </w:r>
    </w:p>
    <w:p>
      <w:pPr>
        <w:spacing w:after="0" w:line="78"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Anti-bribery and anti-corruption laws in jurisdictions in which we do business generally prohibit companies and their intermediaries from making improper payments to government officials for the purpose of obtaining or retaining business. These laws and regulations can be subject to varying interpretations and enforcement practices, increasing the risk of unintentional non-compliance. Our policies mandate compliance with these anti-bribery laws, and we train our staff on anti-bribery laws and have established procedures and controls to monitor internal and external compliance. However, there can be no assurance that our internal controls and procedures will protect us from reckless or criminal acts committed by our employees or agents, nor do we have third-party attestation to the effectiveness of our internal controls related to fraud and corruption. There can be no guarantee that our efforts will prevent violations or allegations of violations, which could result in costly investigations, civil or criminal penalties, and reputational damage and which could have a material adverse effect on our business and operating results.</w:t>
      </w:r>
    </w:p>
    <w:p>
      <w:pPr>
        <w:spacing w:after="0" w:line="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In order to comply with environmental and occupational health and safety laws and regulations, we may need to modify our activities or incur substantial costs, and such laws and regulations, including any failure to comply with such laws and regulations, could subject us to substantial costs, liabilities, obligations and fines, or require our suppliers to alter their processes.</w:t>
      </w:r>
    </w:p>
    <w:p>
      <w:pPr>
        <w:spacing w:after="0" w:line="27" w:lineRule="exact"/>
        <w:rPr>
          <w:sz w:val="20"/>
          <w:szCs w:val="20"/>
          <w:color w:val="auto"/>
        </w:rPr>
      </w:pPr>
    </w:p>
    <w:p>
      <w:pPr>
        <w:jc w:val="both"/>
        <w:ind w:firstLine="569"/>
        <w:spacing w:after="0" w:line="249" w:lineRule="auto"/>
        <w:rPr>
          <w:sz w:val="20"/>
          <w:szCs w:val="20"/>
          <w:color w:val="auto"/>
        </w:rPr>
      </w:pPr>
      <w:r>
        <w:rPr>
          <w:rFonts w:ascii="Times New Roman" w:cs="Times New Roman" w:eastAsia="Times New Roman" w:hAnsi="Times New Roman"/>
          <w:sz w:val="18"/>
          <w:szCs w:val="18"/>
          <w:color w:val="auto"/>
        </w:rPr>
        <w:t>The semiconductor industry is subject to a variety of international, federal, state, local and non-U.S. laws and regulations governing pollution, environmental protection and occupational health and safety, including those relating to hazardous and toxic materials, product composition, and the investigation and cleanup of contaminated sites, including sites we currently or formerly owned or operated, due to the release of hazardous materials, regardless of whether we caused such release. In addition, we may be strictly liable for joint and several costs associated with investigation and remediation of sites at which we have arranged for the disposal of hazardous wastes if such sites become contaminated, even if we fully comply with applicable environmental laws and regulations. Failure to comply with such laws and regulations could subject us to significant fines or other civil or criminal costs, obligations, sanctions or property damage or personal injury claims, or suspension of our facilities’ operating permits. Compliance with current or future environmental and occupational health and safety laws and regulations could restrict our ability to expand our business or require us to modify processes or incur other substantial expenses which could harm our business. In the event of an incident involving hazardous materials, we could be liable for damages, and such liability could exceed the amount of any liability insurance coverage and the resources of our business. In addition, in the event of the discovery of contaminants or the imposition of clean up obligations for which we are responsible, we may be required to take remedial or other measures which could have a material adverse effect on our business, financial condition and results of operations. In response to environmental concerns, some customers and government agencies impose requirements for the elimination and/or labeling of hazardous substances, such as lead (which is widely used in soldering connections in the process of semiconductor packaging and assembly), in electronic equipment, as well as requirements related to the take-back of products discarded by customers. For example, the EU adopted its RoHS, which prohibits, with specified exceptions, the sale in the EU market of electrical and electronic equipment containing more than agreed levels of lead or other hazardous materials, and China has enacted similar regulations. Globally, environmental and occupational health and safety laws and regulations have tended to become more stringent over time, causing a need to redesign technologies, imposing greater compliance costs and increasing risks and penalties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associated with violations, which could seriously harm our business.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changes in tax rates or the adoption of new tax legislation, whether in or out of the United States, or could otherwise have exposure to additional tax liabilities, which could adversely affect our results of operations or financial condition.</w:t>
      </w:r>
    </w:p>
    <w:p>
      <w:pPr>
        <w:spacing w:after="0" w:line="12" w:lineRule="exact"/>
        <w:rPr>
          <w:sz w:val="20"/>
          <w:szCs w:val="20"/>
          <w:color w:val="auto"/>
        </w:rPr>
      </w:pPr>
    </w:p>
    <w:p>
      <w:pPr>
        <w:jc w:val="both"/>
        <w:ind w:firstLine="569"/>
        <w:spacing w:after="0" w:line="249" w:lineRule="auto"/>
        <w:rPr>
          <w:sz w:val="20"/>
          <w:szCs w:val="20"/>
          <w:color w:val="auto"/>
        </w:rPr>
      </w:pPr>
      <w:r>
        <w:rPr>
          <w:rFonts w:ascii="Times New Roman" w:cs="Times New Roman" w:eastAsia="Times New Roman" w:hAnsi="Times New Roman"/>
          <w:sz w:val="18"/>
          <w:szCs w:val="18"/>
          <w:color w:val="auto"/>
        </w:rPr>
        <w:t>As a multinational business, we are subject to income and other taxes in both the U.S. and various foreign jurisdictions. Changes to tax laws or regulations in such jurisdictions, or in the interpretation of such laws or regulations, could significantly increase our effective tax rate and reduce our cash flow from operating activities, and otherwise adversely affect our financial condition. For example, in October 2021, a global consortium of countries agreed to establish a new framework for international tax reform, including a new global minimum tax of 15% (“Pillar Two Minimum Tax”). In December 2022, European Union member states voted unanimously to implement rules for the Pillar Two Minimum Tax. Since implementation, many member states have enacted minimum tax legislation and others, including non-EU members, are considering similar law changes. In general, if a jurisdiction has an effective income tax rate (“ETR”) below 15%, the Pillar Two Minimum Tax may impute an additional alternative minimum “top-up tax.” The Company is subject to the Pillar Two Minimum Tax rules. If Pillar Two proposals are enacted into law in the U.S. or other countries in which we operate, it is possible that such proposals could increase our tax uncertainty and may adversely affect our provision for income taxes in the future. The Financial Accounting Standards Board considers the Pillar Two Minimum Tax an alternative minimum tax; therefore, deferred tax assets and liabilities are not recognized or adjusted for any estimated future effects. In addition, recently enacted U.S. federal tax legislation, such as the One Big Beautiful Bill Act (the “OBBB”), has modified U.S. corporate income tax, including provisions related to the Corporate Alternative Minimum Tax (“CAMT”). Future changes in our financial results, business operations or in the interpretation and implementation of the OBBB could result in a CAMT liability in subsequent periods. Moreover, the U.S. or other jurisdictions may consider novel tax proposals in the future, such as the imposition of value-based fees or taxes on patents or other IP that could increase our operating costs and have a material and adverse impact on our business.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ETR and/or valuation of our deferred tax assets and liabilities.</w:t>
      </w:r>
    </w:p>
    <w:p>
      <w:pPr>
        <w:spacing w:after="0" w:line="66"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Our tax filings are subject to review or audit by the U.S. Internal Revenue Service (the “IRS”) and state, local and foreign taxing authorities. We exercise significant judgment in determining our worldwide provision for taxes and, in the ordinary course of our business, there may be transactions and calculations where the proper tax treatment is uncertain.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have a material adverse effect on our business, financial condition, results of operations and cash flows.</w:t>
      </w:r>
    </w:p>
    <w:p>
      <w:pPr>
        <w:spacing w:after="0" w:line="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requirements to maintain effective internal control over financial reporting could have a material adverse effect on our business and stock price.</w:t>
      </w:r>
    </w:p>
    <w:p>
      <w:pPr>
        <w:spacing w:after="0" w:line="12"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We have significant requirements for financial reporting and internal controls. If we are unable to maintain appropriate internal financial reporting controls and procedures, it could cause us to fail to meet our reporting obligations on a timely basis, result in material misstatements in our consolidated financial statements and adversely affect our operating results. In addition, we are required, pursuant to Section 404 of the Sarbanes-Oxley Act of 2002 (“Section 404”), to furnish a report by our management on, among other things, the effectiveness of our internal control over financial reporting. This assessment needs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and testing. Testing and maintaining internal controls may divert our management’s attention from other matters that are important to our business. In addition, pursuant to Section 404, we are required to include in the annual reports that we file with the SEC an attestation report on our internal control over financial reporting issued by our independent registered public accounting firm, and the costs and burdens of complying with Section 404 could be significant.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Sustained inflation could have a material adverse effect on our business, financial condition, results of operations and liquidity.</w:t>
      </w:r>
    </w:p>
    <w:p>
      <w:pPr>
        <w:spacing w:after="0" w:line="78"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Inflation rates in the markets in which we operate have remained elevated, and this may continue in the future or inflation rates may increase. Inflation has caused and may continue to cause us to experience higher costs, including higher labor costs, cost of raw materials such as gold, wafer and other costs for supplier materials, and transportation and energy costs. Due to inflation, our suppliers have raised prices and may continue to do so, and in the competitive markets in which we operate, we may not be able to make corresponding price increases to preserve our gross margins and profitability. If inflation rates remain elevated or rise for a sustained period of time, they could have a material adverse effect on our business, financial condition, results of operations and liquidity.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18"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informed by the National Institute of Standards and Technology Cybersecurity Framework and other applicable industry standards and intended to protect the confidentiality, integrity, and availability of our critical systems and information.</w:t>
      </w:r>
    </w:p>
    <w:p>
      <w:pPr>
        <w:spacing w:after="0" w:line="68"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include:</w:t>
      </w:r>
    </w:p>
    <w:p>
      <w:pPr>
        <w:spacing w:after="0" w:line="60" w:lineRule="exact"/>
        <w:rPr>
          <w:sz w:val="20"/>
          <w:szCs w:val="20"/>
          <w:color w:val="auto"/>
        </w:rPr>
      </w:pPr>
    </w:p>
    <w:p>
      <w:pPr>
        <w:ind w:left="760" w:hanging="379"/>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and information;</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formal IT risk register documenting and mitigating identified risks, reviewed by management on a quarterly basis;</w:t>
      </w:r>
    </w:p>
    <w:p>
      <w:pPr>
        <w:spacing w:after="0" w:line="60" w:lineRule="exact"/>
        <w:rPr>
          <w:rFonts w:ascii="Times New Roman" w:cs="Times New Roman" w:eastAsia="Times New Roman" w:hAnsi="Times New Roman"/>
          <w:sz w:val="18"/>
          <w:szCs w:val="18"/>
          <w:color w:val="auto"/>
        </w:rPr>
      </w:pPr>
    </w:p>
    <w:p>
      <w:pPr>
        <w:ind w:left="760" w:hanging="379"/>
        <w:spacing w:after="0" w:line="278"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1" w:lineRule="exact"/>
        <w:rPr>
          <w:rFonts w:ascii="Times New Roman" w:cs="Times New Roman" w:eastAsia="Times New Roman" w:hAnsi="Times New Roman"/>
          <w:sz w:val="18"/>
          <w:szCs w:val="18"/>
          <w:color w:val="auto"/>
        </w:rPr>
      </w:pPr>
    </w:p>
    <w:p>
      <w:pPr>
        <w:ind w:left="760" w:hanging="379"/>
        <w:spacing w:after="0" w:line="278"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regular use of external service providers to independently assess and test security posture, as well as to otherwise assist with aspects of our security processes on an as needed basis;</w:t>
      </w:r>
    </w:p>
    <w:p>
      <w:pPr>
        <w:spacing w:after="0" w:line="1"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including incident response personnel and senior management;</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cybersecurity incident response plan that includes procedures for responding to cybersecurity incidents;</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tabletop exercises conducted by outside firms to evaluate our incident response plan and response capabilities; and</w:t>
      </w:r>
    </w:p>
    <w:p>
      <w:pPr>
        <w:spacing w:after="0" w:line="60" w:lineRule="exact"/>
        <w:rPr>
          <w:rFonts w:ascii="Times New Roman" w:cs="Times New Roman" w:eastAsia="Times New Roman" w:hAnsi="Times New Roman"/>
          <w:sz w:val="18"/>
          <w:szCs w:val="18"/>
          <w:color w:val="auto"/>
        </w:rPr>
      </w:pPr>
    </w:p>
    <w:p>
      <w:pPr>
        <w:ind w:left="760" w:hanging="379"/>
        <w:spacing w:after="0" w:line="278"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key service providers based on our assessment of their criticality to our operations and respective risk profile.</w:t>
      </w:r>
    </w:p>
    <w:p>
      <w:pPr>
        <w:spacing w:after="0" w:line="55"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which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“Risk Factors— Risks Related to our Information Technology, Intellectual Property, AI Technologies, and Data Security and Privacy.”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18"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(the “Committee”) oversight of risk assessment and risk management, including cybersecurity and other information technology risks. The Committee oversees management’s implementation of our cybersecurity risk management program.</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Committee receives periodic reports from management on our cybersecurity risks. These presentations may cover a range of topics, including:</w:t>
      </w:r>
    </w:p>
    <w:p>
      <w:pPr>
        <w:spacing w:after="0" w:line="114" w:lineRule="exact"/>
        <w:rPr>
          <w:sz w:val="20"/>
          <w:szCs w:val="20"/>
          <w:color w:val="auto"/>
        </w:rPr>
      </w:pPr>
    </w:p>
    <w:p>
      <w:pPr>
        <w:ind w:left="760" w:hanging="379"/>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cybersecurity landscape and emerging threats;</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on cybersecurity projects;</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about cybersecurity incidents it considers significant or potentially significant;</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lessons learned from past events; and</w:t>
      </w:r>
    </w:p>
    <w:p>
      <w:pPr>
        <w:spacing w:after="0" w:line="6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adherence to regulatory requirements and/or industry standards, as appropriate.</w:t>
      </w:r>
    </w:p>
    <w:p>
      <w:pPr>
        <w:spacing w:after="0" w:line="114"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The Committee reports to the full Board regarding its activities, including those related to cybersecurity. The full Board also periodically receives briefings from management on our cyber risk management program. Board members receive presentations on cybersecurity topics from our Chief Digital and Information Officer.</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35" w:name="page36"/>
    <w:bookmarkEnd w:id="35"/>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Our Chief Digital and Information Officer is primarily responsible for assessing and managing material risks from cybersecurity threats. Our Chief Digital and Information Officer also has primary responsibility for our overall cybersecurity risk management program and supervises both our internal cybersecurity personnel and our retained external cybersecurity consultants. Our Chief Digital and Information Officer has more than 30 years of experience in information technology, including prior experience in cybersecurity architecture. We have an operational information security team with a broad range of backgrounds, years of experience and levels of information security certifications, including Certified Information Systems Security Professional and ISO27001 certified lead auditor.</w:t>
      </w:r>
    </w:p>
    <w:p>
      <w:pPr>
        <w:spacing w:after="0" w:line="77"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Our management team works closely with our Chief Digital and Information Officer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Operations and Facilities</w:t>
      </w:r>
    </w:p>
    <w:p>
      <w:pPr>
        <w:spacing w:after="0" w:line="118"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Our corporate headquarters is located in Manchester, New Hampshire, and we have a global footprint with 27 locations across four continents. As of the end of fiscal year 2026, our operations are primarily conducted at the locations shown below. Our AMPI subsidiary in Manila, Philippines operates as our primary internal assembly and testing facility.</w:t>
      </w:r>
    </w:p>
    <w:p>
      <w:pPr>
        <w:sectPr>
          <w:pgSz w:w="11900" w:h="16838" w:orient="portrait"/>
          <w:cols w:equalWidth="0" w:num="1">
            <w:col w:w="11240"/>
          </w:cols>
          <w:pgMar w:left="320" w:top="1080" w:right="339" w:bottom="1440" w:gutter="0" w:footer="0" w:header="0"/>
        </w:sectPr>
      </w:pP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120" w:type="dxa"/>
            <w:vAlign w:val="bottom"/>
          </w:tcPr>
          <w:p>
            <w:pPr>
              <w:spacing w:after="0"/>
              <w:rPr>
                <w:sz w:val="20"/>
                <w:szCs w:val="20"/>
                <w:color w:val="auto"/>
              </w:rPr>
            </w:pPr>
          </w:p>
        </w:tc>
        <w:tc>
          <w:tcPr>
            <w:tcW w:w="27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Facility Function</w:t>
            </w:r>
          </w:p>
        </w:tc>
        <w:tc>
          <w:tcPr>
            <w:tcW w:w="120" w:type="dxa"/>
            <w:vAlign w:val="bottom"/>
          </w:tcPr>
          <w:p>
            <w:pPr>
              <w:spacing w:after="0"/>
              <w:rPr>
                <w:sz w:val="20"/>
                <w:szCs w:val="20"/>
                <w:color w:val="auto"/>
              </w:rPr>
            </w:pPr>
          </w:p>
        </w:tc>
        <w:tc>
          <w:tcPr>
            <w:tcW w:w="27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Facility Size</w:t>
            </w:r>
          </w:p>
        </w:tc>
        <w:tc>
          <w:tcPr>
            <w:tcW w:w="0" w:type="dxa"/>
            <w:vAlign w:val="bottom"/>
          </w:tcPr>
          <w:p>
            <w:pPr>
              <w:spacing w:after="0"/>
              <w:rPr>
                <w:sz w:val="1"/>
                <w:szCs w:val="1"/>
                <w:color w:val="auto"/>
              </w:rPr>
            </w:pPr>
          </w:p>
        </w:tc>
      </w:tr>
      <w:tr>
        <w:trPr>
          <w:trHeight w:val="189"/>
        </w:trPr>
        <w:tc>
          <w:tcPr>
            <w:tcW w:w="2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Manila, Philippines</w:t>
            </w:r>
          </w:p>
        </w:tc>
        <w:tc>
          <w:tcPr>
            <w:tcW w:w="120" w:type="dxa"/>
            <w:vAlign w:val="bottom"/>
          </w:tcPr>
          <w:p>
            <w:pPr>
              <w:spacing w:after="0"/>
              <w:rPr>
                <w:sz w:val="16"/>
                <w:szCs w:val="16"/>
                <w:color w:val="auto"/>
              </w:rPr>
            </w:pPr>
          </w:p>
        </w:tc>
        <w:tc>
          <w:tcPr>
            <w:tcW w:w="2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Manufacturing - Assembly, Test,</w:t>
            </w:r>
          </w:p>
        </w:tc>
        <w:tc>
          <w:tcPr>
            <w:tcW w:w="120" w:type="dxa"/>
            <w:vAlign w:val="bottom"/>
          </w:tcPr>
          <w:p>
            <w:pPr>
              <w:spacing w:after="0"/>
              <w:rPr>
                <w:sz w:val="16"/>
                <w:szCs w:val="16"/>
                <w:color w:val="auto"/>
              </w:rPr>
            </w:pPr>
          </w:p>
        </w:tc>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Approximately 440,000 square feet</w:t>
            </w:r>
          </w:p>
        </w:tc>
        <w:tc>
          <w:tcPr>
            <w:tcW w:w="0" w:type="dxa"/>
            <w:vAlign w:val="bottom"/>
          </w:tcPr>
          <w:p>
            <w:pPr>
              <w:spacing w:after="0"/>
              <w:rPr>
                <w:sz w:val="1"/>
                <w:szCs w:val="1"/>
                <w:color w:val="auto"/>
              </w:rPr>
            </w:pPr>
          </w:p>
        </w:tc>
      </w:tr>
      <w:tr>
        <w:trPr>
          <w:trHeight w:val="126"/>
        </w:trPr>
        <w:tc>
          <w:tcPr>
            <w:tcW w:w="2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Finish</w:t>
            </w:r>
          </w:p>
        </w:tc>
        <w:tc>
          <w:tcPr>
            <w:tcW w:w="120" w:type="dxa"/>
            <w:vAlign w:val="bottom"/>
          </w:tcPr>
          <w:p>
            <w:pPr>
              <w:spacing w:after="0"/>
              <w:rPr>
                <w:sz w:val="10"/>
                <w:szCs w:val="10"/>
                <w:color w:val="auto"/>
              </w:rPr>
            </w:pPr>
          </w:p>
        </w:tc>
        <w:tc>
          <w:tcPr>
            <w:tcW w:w="2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Muntinlupa City, Philippines</w:t>
            </w:r>
          </w:p>
        </w:tc>
        <w:tc>
          <w:tcPr>
            <w:tcW w:w="1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Approximately 40,000 square feet</w:t>
            </w:r>
          </w:p>
        </w:tc>
        <w:tc>
          <w:tcPr>
            <w:tcW w:w="0" w:type="dxa"/>
            <w:vAlign w:val="bottom"/>
          </w:tcPr>
          <w:p>
            <w:pPr>
              <w:spacing w:after="0"/>
              <w:rPr>
                <w:sz w:val="1"/>
                <w:szCs w:val="1"/>
                <w:color w:val="auto"/>
              </w:rPr>
            </w:pPr>
          </w:p>
        </w:tc>
      </w:tr>
      <w:tr>
        <w:trPr>
          <w:trHeight w:val="126"/>
        </w:trPr>
        <w:tc>
          <w:tcPr>
            <w:tcW w:w="2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120" w:type="dxa"/>
            <w:vAlign w:val="bottom"/>
          </w:tcPr>
          <w:p>
            <w:pPr>
              <w:spacing w:after="0"/>
              <w:rPr>
                <w:sz w:val="10"/>
                <w:szCs w:val="10"/>
                <w:color w:val="auto"/>
              </w:rPr>
            </w:pPr>
          </w:p>
        </w:tc>
        <w:tc>
          <w:tcPr>
            <w:tcW w:w="2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Manchester, New Hampshire</w:t>
            </w:r>
          </w:p>
        </w:tc>
        <w:tc>
          <w:tcPr>
            <w:tcW w:w="1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Corporate Headquarters, Research</w:t>
            </w:r>
          </w:p>
        </w:tc>
        <w:tc>
          <w:tcPr>
            <w:tcW w:w="120" w:type="dxa"/>
            <w:vAlign w:val="bottom"/>
          </w:tcPr>
          <w:p>
            <w:pPr>
              <w:spacing w:after="0"/>
              <w:rPr>
                <w:sz w:val="18"/>
                <w:szCs w:val="18"/>
                <w:color w:val="auto"/>
              </w:rPr>
            </w:pPr>
          </w:p>
        </w:tc>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Approximately 125,000 square feet</w:t>
            </w:r>
          </w:p>
        </w:tc>
        <w:tc>
          <w:tcPr>
            <w:tcW w:w="0" w:type="dxa"/>
            <w:vAlign w:val="bottom"/>
          </w:tcPr>
          <w:p>
            <w:pPr>
              <w:spacing w:after="0"/>
              <w:rPr>
                <w:sz w:val="1"/>
                <w:szCs w:val="1"/>
                <w:color w:val="auto"/>
              </w:rPr>
            </w:pPr>
          </w:p>
        </w:tc>
      </w:tr>
      <w:tr>
        <w:trPr>
          <w:trHeight w:val="126"/>
        </w:trPr>
        <w:tc>
          <w:tcPr>
            <w:tcW w:w="2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and Development, Administrative</w:t>
            </w:r>
          </w:p>
        </w:tc>
        <w:tc>
          <w:tcPr>
            <w:tcW w:w="120" w:type="dxa"/>
            <w:vAlign w:val="bottom"/>
          </w:tcPr>
          <w:p>
            <w:pPr>
              <w:spacing w:after="0"/>
              <w:rPr>
                <w:sz w:val="10"/>
                <w:szCs w:val="10"/>
                <w:color w:val="auto"/>
              </w:rPr>
            </w:pPr>
          </w:p>
        </w:tc>
        <w:tc>
          <w:tcPr>
            <w:tcW w:w="2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-814705</wp:posOffset>
            </wp:positionV>
            <wp:extent cx="7133590" cy="271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3590" cy="271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-271145</wp:posOffset>
            </wp:positionV>
            <wp:extent cx="7133590" cy="271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271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1673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73225" cy="8255"/>
                    </a:xfrm>
                    <a:prstGeom prst="rect">
                      <a:avLst/>
                    </a:prstGeom>
                    <a:noFill/>
                  </pic:spPr>
                </pic:pic>
              </a:graphicData>
            </a:graphic>
          </wp:anchor>
        </w:drawing>
      </w:r>
    </w:p>
    <w:p>
      <w:pPr>
        <w:spacing w:after="0" w:line="1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Owned</w:t>
      </w:r>
    </w:p>
    <w:p>
      <w:pPr>
        <w:spacing w:after="0" w:line="114" w:lineRule="exact"/>
        <w:rPr>
          <w:sz w:val="20"/>
          <w:szCs w:val="20"/>
          <w:color w:val="auto"/>
        </w:rPr>
      </w:pPr>
    </w:p>
    <w:p>
      <w:pPr>
        <w:ind w:right="160" w:firstLine="45"/>
        <w:spacing w:after="0" w:line="278" w:lineRule="auto"/>
        <w:rPr>
          <w:sz w:val="20"/>
          <w:szCs w:val="20"/>
          <w:color w:val="auto"/>
        </w:rPr>
      </w:pPr>
      <w:r>
        <w:rPr>
          <w:rFonts w:ascii="Times New Roman" w:cs="Times New Roman" w:eastAsia="Times New Roman" w:hAnsi="Times New Roman"/>
          <w:sz w:val="18"/>
          <w:szCs w:val="18"/>
          <w:color w:val="auto"/>
        </w:rPr>
        <w:t>Leased (Five-year lease expires in 2028)</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Owned</w:t>
      </w:r>
    </w:p>
    <w:p>
      <w:pPr>
        <w:spacing w:after="0" w:line="220" w:lineRule="exact"/>
        <w:rPr>
          <w:sz w:val="20"/>
          <w:szCs w:val="20"/>
          <w:color w:val="auto"/>
        </w:rPr>
      </w:pPr>
    </w:p>
    <w:p>
      <w:pPr>
        <w:sectPr>
          <w:pgSz w:w="11900" w:h="16838" w:orient="portrait"/>
          <w:cols w:equalWidth="0" w:num="2">
            <w:col w:w="8500" w:space="100"/>
            <w:col w:w="2640"/>
          </w:cols>
          <w:pgMar w:left="320" w:top="1080" w:right="339" w:bottom="1440" w:gutter="0" w:footer="0" w:header="0"/>
          <w:type w:val="continuous"/>
        </w:sect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We also lease design and applications support centers in the Americas, Asia and Europe. Our decision to open and maintain additional design centers is based on several factors, including the ability to employ talented engineers at efficient costs and to better serve our local customer base.</w:t>
      </w:r>
    </w:p>
    <w:p>
      <w:pPr>
        <w:spacing w:after="0" w:line="55"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Our manufacturing strategy consists of a combined internal and external sourcing strategy. This approach enhances security of supply by providing capacity throughout the manufacturing process and has enabled us to reduce capital requirements and reduce fixed costs, access additional capacity during periods of high demand and establish wafer process technology collaborations.</w:t>
      </w:r>
    </w:p>
    <w:p>
      <w:pPr>
        <w:spacing w:after="0" w:line="68"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We have a fabless business model that provides us with enhanced security of supply and manufacturing flexibility. Our primary fab partners currently include UMC, PSL, Tower and TSMC. We have master service agreements with all primary foundry partners, and we have also engaged in long-term supply agreements with some of our foundry partners.</w:t>
      </w:r>
    </w:p>
    <w:p>
      <w:pPr>
        <w:spacing w:after="0" w:line="68"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AMPI is our primary internal assembly and testing facility for our sensor and power products, with packaging capabilities and quality standards that meet stringent automotive safety and reliability specification requirements. We also supplement AMPI’s assembly capabilities with subcontractors throughout Asia, and approximately 51%, 45% and 47% of our assembly was outsourced in fiscal years 2026, 2025 and 2024, respectively. We continue to make progress expanding our regional manufacturing capabilities in Asia. During fiscal year 2026, we began shipping to regional customers from additional OSAT partners in Asia.</w:t>
      </w:r>
    </w:p>
    <w:p>
      <w:pPr>
        <w:spacing w:after="0" w:line="77"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While our principal test operations are performed at AMPI, additional test capabilities are available at our Manchester, New Hampshire facility, and a small portion of testing is outsourced, including the addition of OSAT partners in Asia as part of our regional manufacturing strategy.</w:t>
      </w:r>
    </w:p>
    <w:p>
      <w:pPr>
        <w:spacing w:after="0" w:line="55"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We are committed to manufacturing products of the highest quality and performance. We strive to have a “zero-defect” quality culture focused on meeting or exceeding demanding high-temperature automotive quality standards. We strive to comply with industry standards such as IATF 16949:2016 (the automotive sector-specific quality management system standard) and ISO 14001 (a voluntary standard for environmental management published by the International Standards Organization), and we also strive to comply with ISO 26262 ASIL product development standards, RoHS and similar environmental product requirements. Leading global automotive, industrial, and consumer manufacturers regularly audit our facilities for compliance with these standards, as well as with their own customer-specific standards.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18"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From time to time, we may be involved in claims, regulatory examinations or investigations and legal proceedings arising in the ordinary course of our business. The outcome of any such claims or proceedings, regardless of the merits, and the Company’s ultimate liability, if any, is inherently uncertain. These claims, even if not meritorious, could result in the expenditure of significant financial and managerial resources.</w:t>
      </w:r>
    </w:p>
    <w:p>
      <w:pPr>
        <w:spacing w:after="0" w:line="68" w:lineRule="exact"/>
        <w:rPr>
          <w:sz w:val="20"/>
          <w:szCs w:val="20"/>
          <w:color w:val="auto"/>
        </w:rPr>
      </w:pPr>
    </w:p>
    <w:p>
      <w:pPr>
        <w:jc w:val="both"/>
        <w:ind w:right="20" w:firstLine="569"/>
        <w:spacing w:after="0" w:line="278" w:lineRule="auto"/>
        <w:rPr>
          <w:sz w:val="20"/>
          <w:szCs w:val="20"/>
          <w:color w:val="auto"/>
        </w:rPr>
      </w:pPr>
      <w:r>
        <w:rPr>
          <w:rFonts w:ascii="Times New Roman" w:cs="Times New Roman" w:eastAsia="Times New Roman" w:hAnsi="Times New Roman"/>
          <w:sz w:val="18"/>
          <w:szCs w:val="18"/>
          <w:color w:val="auto"/>
        </w:rPr>
        <w:t>We are not currently party to any material legal proceedings, and we are not aware of any pending or threatened legal proceeding against us that we believe could have a material adverse effect on our business, operating results, cash flows or financial condition.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21"/>
          <w:szCs w:val="21"/>
          <w:b w:val="1"/>
          <w:bCs w:val="1"/>
          <w:color w:val="auto"/>
        </w:rPr>
        <w:t>PART II</w:t>
      </w:r>
    </w:p>
    <w:p>
      <w:pPr>
        <w:spacing w:after="0" w:line="222" w:lineRule="exact"/>
        <w:rPr>
          <w:sz w:val="20"/>
          <w:szCs w:val="20"/>
          <w:color w:val="auto"/>
        </w:rPr>
      </w:pPr>
    </w:p>
    <w:p>
      <w:pPr>
        <w:ind w:right="2000"/>
        <w:spacing w:after="0" w:line="374"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firstLine="562"/>
        <w:spacing w:after="0" w:line="263"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“ALGM.” As of May 18, 2026, there were 186,222,406 shares of our common stock held by approximately 6 holders of record, which does not include beneficial owners of common stock whose shares are held in the names of various securities brokers, dealers and registered clearing agencies.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8"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and the repayment of outstanding debt. Therefore, we do not anticipate declaring or paying any cash dividends on our common stock in the foreseeable future.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18"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The following Stock Price Performance Graph and related information include comparisons required by the SEC. The graph does not constitute “soliciting material” and should not be deemed “filed” or incorporated by reference into any other filings under the Securities Act of 1933, as amended, or the Exchange Act, except to the extent we specifically incorporate this information by reference into such filing.</w:t>
      </w:r>
    </w:p>
    <w:p>
      <w:pPr>
        <w:spacing w:after="0" w:line="6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following line graph compares, for the past five years, the cumulative total stockholder returns for our common stock, the Nasdaq Composite Index and the Philadelphia Semiconductor Index, and assumes reinvestment of any dividends. The stockholder return in the graph below is not necessarily indicative of, nor is it intended to forecast, the potential future performance of our common stock, and we do not make or endorse any predictions as to future stockholder returns. We selected these comparative groups due to industry similarities and the fact that they include several direct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1244600</wp:posOffset>
            </wp:positionH>
            <wp:positionV relativeFrom="paragraph">
              <wp:posOffset>142875</wp:posOffset>
            </wp:positionV>
            <wp:extent cx="4662170" cy="27597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62170" cy="2759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March 26,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March 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March 27,</w:t>
            </w:r>
          </w:p>
        </w:tc>
      </w:tr>
      <w:tr>
        <w:trPr>
          <w:trHeight w:val="172"/>
        </w:trPr>
        <w:tc>
          <w:tcPr>
            <w:tcW w:w="3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07"/>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Allegro MicroSystems, Inc.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115.47</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189.91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106.69</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98.38</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119.19</w:t>
            </w:r>
          </w:p>
        </w:tc>
      </w:tr>
      <w:tr>
        <w:trPr>
          <w:trHeight w:val="214"/>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Composite Index</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107.84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93.02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124.67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131.85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159.44</w:t>
            </w:r>
          </w:p>
        </w:tc>
      </w:tr>
      <w:tr>
        <w:trPr>
          <w:trHeight w:val="214"/>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Philadelphia Semiconductor Index</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113.49</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104.01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157.91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137.94</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240.08</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w:t>
      </w:r>
    </w:p>
    <w:p>
      <w:pPr>
        <w:spacing w:after="0" w:line="1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080"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consolidated</w:t>
      </w:r>
    </w:p>
    <w:p>
      <w:pPr>
        <w:spacing w:after="0" w:line="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financial statements and related notes and other information included elsewhere in this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“Risk Factors” and “Forward-Looking Statements” included elsewhere in this Annual Report. Additionally, our historical results are not necessarily indicative of the results that may be expected for any period in the future.</w:t>
      </w:r>
    </w:p>
    <w:p>
      <w:pPr>
        <w:spacing w:after="0" w:line="74"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We operate on a 52- or 53-week fiscal year ending on the last Friday of March. Each fiscal quarter has 13 weeks, except in a 53-week year, when the fourth fiscal quarter has 14 weeks. All references to “2026,” “fiscal year 2026” or similar references relate to the 52-week period ended March 27, 2026. All references to “2025,” “fiscal year 2025” or similar references relate to the 52-week period ended March 28, 2025.</w:t>
      </w:r>
    </w:p>
    <w:p>
      <w:pPr>
        <w:spacing w:after="0" w:line="68" w:lineRule="exact"/>
        <w:rPr>
          <w:sz w:val="20"/>
          <w:szCs w:val="20"/>
          <w:color w:val="auto"/>
        </w:rPr>
      </w:pPr>
    </w:p>
    <w:p>
      <w:pPr>
        <w:jc w:val="both"/>
        <w:ind w:firstLine="569"/>
        <w:spacing w:after="0" w:line="285" w:lineRule="auto"/>
        <w:rPr>
          <w:sz w:val="20"/>
          <w:szCs w:val="20"/>
          <w:color w:val="auto"/>
        </w:rPr>
      </w:pPr>
      <w:r>
        <w:rPr>
          <w:rFonts w:ascii="Times New Roman" w:cs="Times New Roman" w:eastAsia="Times New Roman" w:hAnsi="Times New Roman"/>
          <w:sz w:val="17"/>
          <w:szCs w:val="17"/>
          <w:color w:val="auto"/>
        </w:rPr>
        <w:t>This section discusses items pertaining to and comparisons of financial results between 2026 and 2025. A discussion of 2024 items and comparisons between 2025 and 2024 financial results can be found in “Management’s Discussion and Analysis of Financial Condition and Results of Operations” in Part II, Item 7. of the Company’s Annual Report on Form 10-K for the fiscal year ended March 28, 2025, filed with the SEC on May 22,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Allegro MicroSystems, Inc. is a global leader in the design, development, and marketing of sensor ICs and application-specific power ICs, that enable the sensing, motion control, and power management functions of complex electromechanical or power conversion systems. We primarily serve automotive and industrial markets, including advanced industrial markets such as AI data centers, robotics, and energy infrastructure, where our solutions enable customers to sense, move, and manage power with efficiency, precision, and reliability.</w:t>
      </w:r>
    </w:p>
    <w:p>
      <w:pPr>
        <w:spacing w:after="0" w:line="73"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Our sensor ICs provide critical feedback for motion, position, speed, and electrical current sensing, while our power ICs control motors and manage power conversion and regulation across a wide range of applications. By embedding system-level intelligence directly into our products, we reduce the number of components required in a customer’s design while improving performance, energy efficiency, safety, and reliability. We believe our deep application knowledge, differentiated technology, and strong customer relationships enable us to deliver solutions that are more integrated, intelligent, and efficient than typical ICs.</w:t>
      </w:r>
    </w:p>
    <w:p>
      <w:pPr>
        <w:spacing w:after="0" w:line="77"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We are headquartered in Manchester, New Hampshire and have a global footprint with 27 locations across four continents. Our portfolio includes more than 1,500 products, and we ship approximately 2.1 billion units annually to more than 15,000 customers worldwide. During fiscal years 2026 and 2025, we generated $890.1 million and $725.0 million in total net sales, respectively, with $14.7 million and $72.8 million in net loss, respectively.</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Initiatives to Improve Results of Operations</w:t>
      </w:r>
    </w:p>
    <w:p>
      <w:pPr>
        <w:spacing w:after="0" w:line="118" w:lineRule="exact"/>
        <w:rPr>
          <w:sz w:val="20"/>
          <w:szCs w:val="20"/>
          <w:color w:val="auto"/>
        </w:rPr>
      </w:pPr>
    </w:p>
    <w:p>
      <w:pPr>
        <w:jc w:val="both"/>
        <w:ind w:right="20" w:firstLine="569"/>
        <w:spacing w:after="0" w:line="278" w:lineRule="auto"/>
        <w:rPr>
          <w:sz w:val="20"/>
          <w:szCs w:val="20"/>
          <w:color w:val="auto"/>
        </w:rPr>
      </w:pPr>
      <w:r>
        <w:rPr>
          <w:rFonts w:ascii="Times New Roman" w:cs="Times New Roman" w:eastAsia="Times New Roman" w:hAnsi="Times New Roman"/>
          <w:sz w:val="18"/>
          <w:szCs w:val="18"/>
          <w:color w:val="auto"/>
        </w:rPr>
        <w:t>We implemented several initiatives during fiscal years 2025 and 2026 that were designed to improve our operating results during those fiscal years and going forward.</w:t>
      </w:r>
    </w:p>
    <w:p>
      <w:pPr>
        <w:spacing w:after="0" w:line="55" w:lineRule="exact"/>
        <w:rPr>
          <w:sz w:val="20"/>
          <w:szCs w:val="20"/>
          <w:color w:val="auto"/>
        </w:rPr>
      </w:pPr>
    </w:p>
    <w:p>
      <w:pPr>
        <w:jc w:val="both"/>
        <w:ind w:firstLine="569"/>
        <w:spacing w:after="0" w:line="277" w:lineRule="auto"/>
        <w:rPr>
          <w:sz w:val="20"/>
          <w:szCs w:val="20"/>
          <w:color w:val="auto"/>
        </w:rPr>
      </w:pPr>
      <w:r>
        <w:rPr>
          <w:rFonts w:ascii="Times New Roman" w:cs="Times New Roman" w:eastAsia="Times New Roman" w:hAnsi="Times New Roman"/>
          <w:sz w:val="17"/>
          <w:szCs w:val="17"/>
          <w:color w:val="auto"/>
        </w:rPr>
        <w:t>We continue our efforts to leverage our fixed costs and operating margin improvements. Efficiencies may be achieved through cost structure improvements, streamlining of manufacturing and support processes, and further utilization of existing capacity. These manufacturing efficiencies may allow us to leverage higher volumes when demand increases across most of our applications, which would increase the absorption of our fixed costs. Although these initiatives can result in gross margin and operating income improvements, we cannot ensure that these trends will occur or continue over the long-term.</w:t>
      </w:r>
    </w:p>
    <w:p>
      <w:pPr>
        <w:spacing w:after="0" w:line="60"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On July 23, 2024, we entered into a share repurchase agreement with Sanken (the “Share Repurchase Agreement”) pursuant to which we agreed to repurchase 38,767,315 shares of our common stock from Sanken in a privately negotiated transaction at a price per share equal to the price per share at which the underwriters in a public underwritten equity offering of shares of our common stock would purchase the shares (the “Equity Offering”). The repurchase of shares of common stock occurred in two separate closings, with the first closing taking place after the closing of the Equity Offering (the “First Closing”) and the second closing (the “Second Closing”) occurring after the receipt of the proceeds from borrowings under the Refinanced 2023 Term Loan Facility (as defined below). The First Closing of the share repurchase was conditioned upon the closing of the Equity Offering and certain other conditions, and the Second Closing of the share repurchase was conditioned upon the receipt of net proceeds of no less than $300.0 million from incremental term loans under the Refinanced 2023 Term Loan Facility. Pursuant to the terms of the Share Repurchase Agreement, Sanken reimbursed us for the expenses incurred by us in connection with the transactions contemplated by the Share Repurchase Agreement, and paid 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facilitation fee of $35.0 million, which was recorded within additional paid-in-capital with the consolidated statements of changes in equity.</w:t>
      </w:r>
    </w:p>
    <w:p>
      <w:pPr>
        <w:spacing w:after="0" w:line="114"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To fund the First Closing, we entered into an underwriting agreement (the “Underwriting Agreement”) with Barclays Capital Inc. and Morgan Stanley &amp; Co. LLC, as representatives of the several underwriters (the “Underwriters”), on July 24, 2024, pursuant to which we agreed to sell 25,000,000 shares of our common stock to the Underwriters at a price of $23.16 per share. Under the terms of the Underwriting Agreement, we granted the Underwriters a 30-day option to purchase up to an additional 3,750,000 shares of our common stock at the same purchase price, which option was exercised in full prior to the closing of the Equity Offering.</w:t>
      </w:r>
    </w:p>
    <w:p>
      <w:pPr>
        <w:spacing w:after="0" w:line="77"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On July 26, 2024, we completed the Equity Offering pursuant to the Underwriting Agreement of 28,750,000 shares of our common stock at a public offering price of $24.00 per share resulting in net proceeds to us of approximately $665.9 million, after deducting $24.2 million of underwriting discounts. As described above, we used the net proceeds of the Equity Offering to complete the First Closing under the Share Repurchase Agreement.</w:t>
      </w:r>
    </w:p>
    <w:p>
      <w:pPr>
        <w:spacing w:after="0" w:line="68"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On July 29, 2024, we completed the First Closing under the Share Repurchase Agreement, repurchasing 28,750,000 shares of our common stock for aggregate consideration of $628.3 million, which was the Equity Offering price, less the facilitation fee of $35.0 million, underwriting discounts, and reimbursable transaction expenses. The shares repurchased in the First Closing were retired.</w:t>
      </w:r>
    </w:p>
    <w:p>
      <w:pPr>
        <w:spacing w:after="0" w:line="68"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On August 6, 2024, we entered into Amendment No. 2 (the “Second Amendment”) to the revolving facility credit agreement dated June 21, 2023 by and among the Company, the Company’s wholly owned subsidiary Allegro MicroSystems, LLC (“AML”) Morgan Stanley Senior Funding, Inc., as administrative agent, collateral agent, a letter of credit issuer and a lender, and the other agents, lenders and letter of credit issuers parties thereto (as amended, restated, supplemented or otherwise modified, refinanced or replaced from time to time, the “2023 Revolving Credit Agreement”). The Second Amendment increased the total capacity of the revolving credit facility thereunder to $256.0 million.</w:t>
      </w:r>
    </w:p>
    <w:p>
      <w:pPr>
        <w:spacing w:after="0" w:line="77" w:lineRule="exact"/>
        <w:rPr>
          <w:sz w:val="20"/>
          <w:szCs w:val="20"/>
          <w:color w:val="auto"/>
        </w:rPr>
      </w:pPr>
    </w:p>
    <w:p>
      <w:pPr>
        <w:jc w:val="both"/>
        <w:ind w:firstLine="569"/>
        <w:spacing w:after="0" w:line="270" w:lineRule="auto"/>
        <w:rPr>
          <w:sz w:val="20"/>
          <w:szCs w:val="20"/>
          <w:color w:val="auto"/>
        </w:rPr>
      </w:pPr>
      <w:r>
        <w:rPr>
          <w:rFonts w:ascii="Times New Roman" w:cs="Times New Roman" w:eastAsia="Times New Roman" w:hAnsi="Times New Roman"/>
          <w:sz w:val="17"/>
          <w:szCs w:val="17"/>
          <w:color w:val="auto"/>
        </w:rPr>
        <w:t>The Second Amendment also provided for a new $400.0 million tranche of term loans maturing in 2030 (the “Refinanced 2023 Term Loan Facility”), the proceeds of which were primarily used to (i) repurchase a portion of our common stock in connection with the Second Closing, (ii) refinance the Company’s $250.0 million term loan maturing in 2030 entered into on October 31, 2023, (iii) pay fees and expenses in connection with the foregoing and</w:t>
      </w:r>
    </w:p>
    <w:p>
      <w:pPr>
        <w:spacing w:after="0" w:line="1" w:lineRule="exact"/>
        <w:rPr>
          <w:sz w:val="20"/>
          <w:szCs w:val="20"/>
          <w:color w:val="auto"/>
        </w:rPr>
      </w:pPr>
    </w:p>
    <w:p>
      <w:pPr>
        <w:jc w:val="both"/>
        <w:ind w:firstLine="7"/>
        <w:spacing w:after="0" w:line="250" w:lineRule="auto"/>
        <w:tabs>
          <w:tab w:leader="none" w:pos="3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general corporate purposes. The Refinanced 2023 Term Loan Facility amortized at a rate of 1.00% per annum. The Refinanced 2023 Term Loan Facility bore interest, at our option, at a rate equal to (i) Term SOFR (as defined in the 2023 Revolving Credit Agreement) in effect from time to time plus 2.25% or (ii) the highest of (x) the Federal funds rate, as published by the Federal Reserve Bank of New York, plus 0.50%, (y) the prime lending rate or (z) the one-month Term SOFR plus 1.0% in effect from time to time plus 1.25%. In conjunction with this refinancing, we recognized $3.6 million as a debt discount, which will be amortized to interest expense over the remaining term using the effective interest method.</w:t>
      </w:r>
    </w:p>
    <w:p>
      <w:pPr>
        <w:spacing w:after="0" w:line="80"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A payment of $25.0 million was applied to the term loan balance on October 31, 2024, which eliminated future required minimum quarterly payments.</w:t>
      </w:r>
    </w:p>
    <w:p>
      <w:pPr>
        <w:spacing w:after="0" w:line="55"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On August 7, 2024, we completed the Second Closing under the Share Repurchase Agreement, repurchasing 10,017,315 shares of our common stock for aggregate cash consideration of $225.5 million, which was the Equity Offering price, less underwriting discounts and reimbursable transaction expenses. We used a portion of the proceeds from the Refinanced 2023 Term Loan Facility and existing cash on hand to complete the Second Closing. The shares repurchased in the Second Closing were retired.</w:t>
      </w:r>
    </w:p>
    <w:p>
      <w:pPr>
        <w:spacing w:after="0" w:line="73"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Share Repurchase Agreement was accounted for as a forward repurchase contract as there were certain terms that could have caused the obligation not to be fulfilled. Accordingly, the contract was initially recorded as a liability at its fair value with subsequent remeasurements recognized in loss on change in fair value of forward repurchase contract until the completion of the First Closing and Second Closing. We recognized a loss of $34.8 million as a result of the fair value forward repurchase contract in the consolidated statements of operations.</w:t>
      </w:r>
    </w:p>
    <w:p>
      <w:pPr>
        <w:spacing w:after="0" w:line="73"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In connection with the Share Repurchase Agreement, we entered into a Second Amended and Restated Stockholders Agreement with Sanken (the “Second Amended and Restated Stockholders Agreement”), which amended and restated the Amended and Restated Stockholders Agreement, dated as of June 16, 2022, by and among us, Sanken and OEP SKNA, L.P. (“OEP”). The Second Amended and Restated Stockholders Agreement, which became effective in accordance with its terms on July 29, 2024, removed OEP as a party and amended certain rights and obligations of us and Sanken.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41" w:name="page42"/>
    <w:bookmarkEnd w:id="41"/>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On September 20, 2024, we, along with Sanken, PSL, and PS Investment Aggregator, L.P. (“Subscriber”), completed the transaction (the “PSL Closing”) contemplated by a Sale and Subscription Agreement that we, Sanken, PSL and Subscriber entered into on April 25, 2024 (the “PSL Agreement” and the transaction thereunder, the “PSL Transaction”). As contemplated by the PSL Agreement, Subscriber and certain of its affiliates agreed to make capital contributions to PSL of $175.0 million in exchange for an equity interest in PSL, and we agreed to discharge the PSL Promissory Notes (as defined in Note 21, “Related Party Transactions” to the audited consolidated financial statements) held by us for a value of $10.4 million in exchange for PSL equity interests. Following the PSL Closing, we owned approximately 10.2% of PSL. As a result of PSL's share issuance to Subscriber, we recognized a net loss of $2.8 million related to the difference between the selling price per share and its carrying amount per share and after a gain from the conversion of the PSL Promissory Notes. The loss is included in Other income (expense), net in the consolidated statements of operations.</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At the PSL Closing, we, Sanken and Subscriber entered into an amended and restated limited partnership agreement (the “Limited Partnership Agreement”) with Polar Semiconductor GP I, LLC. The Limited Partnership Agreement contains representations, warranties and covenants of the parties customary for a transaction of this type, the reimbursement of expenses and costs, and restrictions on transfers. Also as contemplated by the Limited Partnership Agreement and effective upon the PSL Closing, we, Sanken and Subscriber contributed our equity interests in PSL in exchange for limited partnership interests of a newly formed Delaware limited partnership that is the ultimate parent indirectly holding all of Polar’s issued and outstanding equity units (“PSL Parent”). Immediately following the PSL Closing and associated completion of the recapitalization and reorganization transactions contemplated by the Limited Partnership Agreement, the Company’s ownership of PSL Parent was approximately 10.2%.</w:t>
      </w:r>
    </w:p>
    <w:p>
      <w:pPr>
        <w:spacing w:after="0" w:line="77" w:lineRule="exact"/>
        <w:rPr>
          <w:sz w:val="20"/>
          <w:szCs w:val="20"/>
          <w:color w:val="auto"/>
        </w:rPr>
      </w:pPr>
    </w:p>
    <w:p>
      <w:pPr>
        <w:jc w:val="both"/>
        <w:ind w:firstLine="569"/>
        <w:spacing w:after="0" w:line="270" w:lineRule="auto"/>
        <w:rPr>
          <w:sz w:val="20"/>
          <w:szCs w:val="20"/>
          <w:color w:val="auto"/>
        </w:rPr>
      </w:pPr>
      <w:r>
        <w:rPr>
          <w:rFonts w:ascii="Times New Roman" w:cs="Times New Roman" w:eastAsia="Times New Roman" w:hAnsi="Times New Roman"/>
          <w:sz w:val="17"/>
          <w:szCs w:val="17"/>
          <w:color w:val="auto"/>
        </w:rPr>
        <w:t>On February 6, 2025 we entered into Amendment No. 3 (the “Third Amendment”) to the 2023 Revolving Credit Agreement. The Third Amendment provided for a new $375.0 million tranche of term loans maturing in 2030 (the “2025 Refinanced Loans”), the proceeds of which were used, in relevant part, to (i) refinance all outstanding borrowings under the Refinanced 2023 Term Loan Facility, (ii) pay fees and expenses in connection with the foregoing and</w:t>
      </w:r>
    </w:p>
    <w:p>
      <w:pPr>
        <w:spacing w:after="0" w:line="1" w:lineRule="exact"/>
        <w:rPr>
          <w:sz w:val="20"/>
          <w:szCs w:val="20"/>
          <w:color w:val="auto"/>
        </w:rPr>
      </w:pPr>
    </w:p>
    <w:p>
      <w:pPr>
        <w:jc w:val="both"/>
        <w:ind w:firstLine="7"/>
        <w:spacing w:after="0" w:line="249" w:lineRule="auto"/>
        <w:tabs>
          <w:tab w:leader="none" w:pos="32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general corporate purposes. The 2025 Refinanced Loans amortized at a rate of 0.00% per annum. The 2025 Refinanced Loans bore interest, at the Company’s option, at a rate equal to (i) Term SOFR (as defined in the 2023 Revolving Credit Agreement) in effect from time to time plus 2.00% or (ii) the highest of (x) the Federal funds rate, as published by the Federal Reserve Bank of New York, plus 0.50%, (y) the prime lending rate or (z) the one-month Term SOFR plus 1.00% in effect from time to time plus 1.00%. The 2025 Refinanced Loans were scheduled to mature on October 31, 2030. In conjunction with this financing, we incurred $1.1 million in costs. Borrowings under the 2025 Refinanced Loans were collateralized by substantially all of our assets. Payments of $30.0 million, $25.0 million, $10.0 million and $25.0 million was applied to the outstanding balance of the 2025 Refinanced Loans on February 28, 2025, April 30, 2025, May 30, 2025 and July 31, 2025, respectively.</w:t>
      </w:r>
    </w:p>
    <w:p>
      <w:pPr>
        <w:spacing w:after="0" w:line="83"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In January 2025, we enacted a global restructuring plan that included a repositioning to high-growth and lower cost regions and consolidation of leased facilities in an effort to optimize our cost structure. In June 2025, we undertook additional facility consolidation and further workforce rebalancing as part of this plan. In connection with the restructuring plans, we incurred costs related to severance, annual incentive program and other employee-related benefits, retention incentives, accelerated amortization of right-of-use for certain leases, as well as various professional service charges. The restructuring was substantially completed during fiscal year 2026.</w:t>
      </w:r>
    </w:p>
    <w:p>
      <w:pPr>
        <w:spacing w:after="0" w:line="77" w:lineRule="exact"/>
        <w:rPr>
          <w:sz w:val="20"/>
          <w:szCs w:val="20"/>
          <w:color w:val="auto"/>
        </w:rPr>
      </w:pPr>
    </w:p>
    <w:p>
      <w:pPr>
        <w:jc w:val="both"/>
        <w:ind w:firstLine="569"/>
        <w:spacing w:after="0" w:line="268" w:lineRule="auto"/>
        <w:rPr>
          <w:sz w:val="20"/>
          <w:szCs w:val="20"/>
          <w:color w:val="auto"/>
        </w:rPr>
      </w:pPr>
      <w:r>
        <w:rPr>
          <w:rFonts w:ascii="Times New Roman" w:cs="Times New Roman" w:eastAsia="Times New Roman" w:hAnsi="Times New Roman"/>
          <w:sz w:val="17"/>
          <w:szCs w:val="17"/>
          <w:color w:val="auto"/>
        </w:rPr>
        <w:t>On January 21, 2026, we entered into Amendment No. 4 (the “Fourth Amendment”) to the 2023 Revolving Credit Agreement. The Fourth Amendment provides for a new $285.0 million tranche of term loans maturing in October 2030 (the “2026 Refinanced Loans”), the proceeds of which were used, in relevant part, to refinance all outstanding borrowing under the 2025 Refinanced Loans. The 2026 Refinanced Loans amortize at a rate of 0.00% per annum. The 2026 Refinanced Loans bear interest, at our option, at a rate equal to (i) Term SOFR in effect from time to time plus 1.75% or (ii) the highest of</w:t>
      </w:r>
    </w:p>
    <w:p>
      <w:pPr>
        <w:spacing w:after="0" w:line="2" w:lineRule="exact"/>
        <w:rPr>
          <w:sz w:val="20"/>
          <w:szCs w:val="20"/>
          <w:color w:val="auto"/>
        </w:rPr>
      </w:pPr>
    </w:p>
    <w:p>
      <w:pPr>
        <w:ind w:firstLine="7"/>
        <w:spacing w:after="0" w:line="256" w:lineRule="auto"/>
        <w:tabs>
          <w:tab w:leader="none" w:pos="2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funds rate, as published by the Federal Reserve Bank of New York, plus 0.50%, (y) the prime lending rate or (z) the one-month Term SOFR plus 1.00% in effect from time to time plus 0.75%. The 2026 Refinanced Loans will mature on October 31, 2030.</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Other Key Factors and Trends Affecting our Operating Results</w:t>
      </w:r>
    </w:p>
    <w:p>
      <w:pPr>
        <w:spacing w:after="0" w:line="11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Our financial condition and results of operations have been, and will continue to be, affected by numerous other factors and trends, including the following: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18"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Inflation rates in the markets in which we operate have remained elevated and may continue to rise as a result of cost increases attributable to a rise in global energy and commodity prices and global tariff policies. Inflation in recent quarters has led us to experience higher costs, including higher labor costs, wafer and other costs for materials from suppliers, and transportation and energy costs. Our suppliers have raised their prices and may continue to raise prices, and in the competitive markets in which we operate, we may not be able to make corresponding price increases to preserve our gross margins and profitability. If inflation rates continue to rise or remain elevated for a sustained period of time, they could have a material adverse effect on our business, financial condition, results of operations and liquidity. While we have attempted to offset increases in these costs through various productivity and cost reduction initiatives, as well as adjusting our selling prices and releasing new products with improved gross margins, our ability to increase our average selling prices depends on market conditions and competitive dynamics. Given the timing of our actions compared to the timing of these inflationary pressures, there may be periods during which we are unable to fully recover the increases in our costs.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Wins with New and Existing Customers</w:t>
      </w:r>
    </w:p>
    <w:p>
      <w:pPr>
        <w:spacing w:after="0" w:line="118"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Our end customers continually develop new products in existing and new application areas, and we work closely with our significant OEM customers in most of our target markets to understand their product roadmaps and strategies. For new products, the time from design initiation and manufacturing until we generate sales can be lengthy, typically between two and four years. As a result, our future sales are highly dependent on our continued success at winning design mandates from our customers. Further, despite current inflationary and pricing conditions, we expect the ASPs of our products to decline over time, and we consider design wins to be critical to our future success as they help mitigate declines in ASPs. We anticipate being increasingly dependent on revenue from newer design wins for our newer products. The selection process is typically lengthy and may require us to incur significant design and development expenditures in pursuit of a design win, with no assurance that our solutions will be selected. As a result, the loss of any key design win or any significant delay in the ramp-up of volume production of a customer’s products into which our product is designed could adversely affect our business. In addition, volume production is contingent upon the successful introduction and market acceptance of our customers’ end products, which may be affected by several factors beyond our control.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Demand, Orders and Forecasts</w:t>
      </w:r>
    </w:p>
    <w:p>
      <w:pPr>
        <w:spacing w:after="0" w:line="118"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Demand for our products is highly dependent on market conditions in the end markets in which our customers operate, which are generally subject to seasonality, cyclicality, tariffs and other pricing increases and competitive conditions. In addition, a substantial portion of our total net sales is derived from sales to customers that purchase large volumes of our products. These customers generally provide periodic forecasts of their requirements. However, these forecasts do not commit such customers to minimum purchases, and customers can revise these forecasts without penalty. In addition, as is customary in the semiconductor industry, customers are generally permitted to cancel orders for our products within a specified period. Cancellations of orders could result in the loss of anticipated sales without allowing us sufficient time to reduce our inventory and operating expenses. In addition, changes in forecasts or the timing of orders from customers expose us to the risks of inventory shortages or excess inventory. We are currently operating in an inflationary environment for our products as a result of a rise in global energy and commodity prices and global tariff policies, which also have the potential to reduce end market demand in certain markets. Over the past several quarters, we and other semiconductor companies have experienced an increase in market demand, but historically such periods are often followed by periods of softening demand, primarily driven by lower demand from customers across various markets and digestion of excess accumulated inventory. In addition, factors that cause a reduction in the demand from end users of our OEMs’ or other customers’ products, including as a result of increased prices resulting from a rise in global energy and commodity prices and global trade policies, tariffs or a recessionary environment in the markets in which we operate, may in the future continue to cause our direct customers to significantly reduce the number of products ordered from us.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Costs and Product Mix</w:t>
      </w:r>
    </w:p>
    <w:p>
      <w:pPr>
        <w:spacing w:after="0" w:line="118"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Gross margin has been, and will continue to be, affected by a variety of factors, including the ASPs of our products, product mix in a given period, material costs, yields, manufacturing costs and efficiencies. We believe the primary driver of gross margin is the ASP negotiated between us and our customers relative to material costs and yields. Our pricing and margins depend on the volumes and the features of the products we produce and sell to our customers. As our products mature and unit volumes increase, we expect their ASPs to decline in the long-term. We continually monitor and work to reduce the cost of our products and improve the potential value our solutions provide to our customers, as we target new design win opportunities and manage the product life cycles of our existing customer designs. We also maintain a close relationship with our suppliers and subcontractors to improve quality, increase yields and lower manufacturing costs. As a result, these declines often coincide with improvements in manufacturing yields and lower wafer, assembly, and testing costs, which offset some or all of the margin reduction that results from declining ASPs. However, we expect our gross margin to fluctuate on a quarterly basis as a result of changes in ASPs due to product mix, new product introductions, transitions into volume manufacturing and manufacturing costs. Gross margin generally decreases if production volumes are lower as a result of decreased demand, which leads to a reduced absorption of our fixed manufacturing costs. Gross margin generally increases when the opposite occurs.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Cyclical Nature of the Semiconductor Industry</w:t>
      </w:r>
    </w:p>
    <w:p>
      <w:pPr>
        <w:spacing w:after="0" w:line="118"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The semiconductor industry has historically been highly cyclical and is characterized by increasingly rapid technological change, product obsolescence, competitive pricing pressures, evolving standards, short product life cycles in consumer and other rapidly changing markets and fluctuations in product supply and demand. New technology may result in sudden changes in system designs or platform changes that may render some of our products obsolete and require us to devote significant research and development resources to compete effectively. Periods of rapid growth and capacity expansion are occasionally followed by significant market corrections in which sales decline, inventories accumulate, and facilities go underutilized. Also, expectations and front-loaded investment related to AI and data centers may increase the magnitude and volatility of these cycles, making downturns more abrupt or recoveries more uneven. To the extent that current levels of investment in AI-related infrastructure, products or end-market demand reflect expectations that are not ultimately realized, or if customer spending related to AI or data centers moderates, is delayed, or declines more rapidly than anticipated, the semiconductor industry could experience an accelerated or more pronounced downturn. During periods of expansion, our margins generally improve as fixed costs are spread over higher manufacturing volumes and unit sales. In addition, we may build inventory to meet increasing market demand for our products during these times, which serves to absorb fixed costs further and increase our gross margins. During an expansion cycle, we may increase capital spending and hiring to add to our production capacity. During periods of slower growth or industry contractions, our sales, production and productivity and margins generally decline.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18"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Our total net sales are primarily derived from product sales to direct customers and distributors. We sell products globally through our direct sales force, third-party distributors and independent sales representatives. Sales are derived from products for different applications. Our core applications are focused on the automotive, industrial and other industries.</w:t>
      </w:r>
    </w:p>
    <w:p>
      <w:pPr>
        <w:spacing w:after="0" w:line="68"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We sell magnetic sensor ICs and power ICs in the Americas, EMEA and Asia. Net sales are generally recognized when control of the products is transferred to the customer, which typically occurs at a point in time upon shipment or delivery, depending on the terms of the contract. When we transact with a distributor, our contractual arrangement is with the distributor and not with the end customer. Whether we transact business with and receive the order from a distributor or directly from an end customer through our direct sales force and independent sales representatives, our revenue recognition policy and resulting pattern of revenue recognition for the order are the same. We recognize revenue net of sales returns, price protection adjustments, stock rotation rights and any other discounts or credits offered to our customers.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gross profit and gross margin</w:t>
      </w:r>
    </w:p>
    <w:p>
      <w:pPr>
        <w:spacing w:after="0" w:line="11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Cost of goods sold consists primarily of costs of purchasing raw materials, costs associated with probe, assembly, test and shipping our products, costs of personnel, including stock-based compensation, costs of equipment associated with manufacturing, procurement, planning and management of these processes, costs of depreciation and amortization, costs of logistics and quality assurance, and costs of royalties, value-added taxes, utilities, repairs and maintenance of equipment, and an allocated portion of our facility occupancy costs.</w:t>
      </w:r>
    </w:p>
    <w:p>
      <w:pPr>
        <w:spacing w:after="0" w:line="73"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Gross profit is calculated as total net sales less cost of goods sold, and gross margin is calculated as gross profit divided by net sales. Gross profit is affected by numerous factors, including average selling price, revenue mix by product, channel and customer, foreign exchange rates, seasonality, manufacturing costs and the effective utilization of our facilities. Another factor impacting gross profit is the time required for the expansion of existing facilities to reach full production capacity. As a result, gross profit varies from period to period and year to year.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4" w:name="page45"/>
    <w:bookmarkEnd w:id="44"/>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A significant portion of our costs are fixed, and as a result, costs are generally difficult to adjust or may take time to adjust in response to changes in demand. In addition, our fixed costs increase as we expand our capacity. If we expand capacity faster than required by our sales growth, our gross margin could be negatively affected.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(“R&amp;D”) expenses</w:t>
      </w:r>
    </w:p>
    <w:p>
      <w:pPr>
        <w:spacing w:after="0" w:line="118" w:lineRule="exact"/>
        <w:rPr>
          <w:sz w:val="20"/>
          <w:szCs w:val="20"/>
          <w:color w:val="auto"/>
        </w:rPr>
      </w:pPr>
    </w:p>
    <w:p>
      <w:pPr>
        <w:jc w:val="both"/>
        <w:ind w:firstLine="569"/>
        <w:spacing w:after="0" w:line="271" w:lineRule="auto"/>
        <w:rPr>
          <w:sz w:val="20"/>
          <w:szCs w:val="20"/>
          <w:color w:val="auto"/>
        </w:rPr>
      </w:pPr>
      <w:r>
        <w:rPr>
          <w:rFonts w:ascii="Times New Roman" w:cs="Times New Roman" w:eastAsia="Times New Roman" w:hAnsi="Times New Roman"/>
          <w:sz w:val="17"/>
          <w:szCs w:val="17"/>
          <w:color w:val="auto"/>
        </w:rPr>
        <w:t>R&amp;D expenses consist primarily of personnel-related costs of our research and development organization, including stock-based compensation, costs of development of wafers and masks, license fees for computer-aided design software, costs of development testing and evaluation, costs of developing automated test programs, equipment depreciation and related occupancy and equipment costs. While most of the costs incurred are for new product development, a significant portion of these costs are related to process technology development, and proprietary package development. R&amp;D expenses also include costs for technology development by external parties. We expect further increases in R&amp;D expenses, in absolute dollars, as we continue the development of innovative technologies and processes for new product offerings, as well as increase the headcount of our R&amp;D personnel in future years.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18"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SG&amp;A expenses consist primarily of personnel-related costs, including stock-based compensation, and sales commissions to independent sales representatives, professional fees, including the costs of accounting, audit, legal, regulatory and tax compliance. Additionally, costs related to advertising, trade shows, corporate marketing, as well as an allocated portion of our occupancy costs, also comprise SG&amp;A expenses.</w:t>
      </w:r>
    </w:p>
    <w:p>
      <w:pPr>
        <w:spacing w:after="0" w:line="6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We anticipate our selling and marketing expenses will increase in absolute terms as we expand our sales force and increase our sales and marketing activities.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 held for sale</w:t>
      </w:r>
    </w:p>
    <w:p>
      <w:pPr>
        <w:spacing w:after="0" w:line="11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Impairment of assets held for sale consists primarily of charges recorded to reduce the carrying value of certain assets to their estimated fair value, less costs to sell.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18" w:lineRule="exact"/>
        <w:rPr>
          <w:sz w:val="20"/>
          <w:szCs w:val="20"/>
          <w:color w:val="auto"/>
        </w:rPr>
      </w:pPr>
    </w:p>
    <w:p>
      <w:pPr>
        <w:jc w:val="both"/>
        <w:ind w:right="20" w:firstLine="569"/>
        <w:spacing w:after="0" w:line="278" w:lineRule="auto"/>
        <w:rPr>
          <w:sz w:val="20"/>
          <w:szCs w:val="20"/>
          <w:color w:val="auto"/>
        </w:rPr>
      </w:pPr>
      <w:r>
        <w:rPr>
          <w:rFonts w:ascii="Times New Roman" w:cs="Times New Roman" w:eastAsia="Times New Roman" w:hAnsi="Times New Roman"/>
          <w:sz w:val="18"/>
          <w:szCs w:val="18"/>
          <w:color w:val="auto"/>
        </w:rPr>
        <w:t>Impairment of long-lived assets consists primarily of impairment charges related to intangibles assets and other long-lived assets when factors exist that indicate the carrying amounts of these assets may not be recoverable.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Interest expense is from term loan debt and credit facilities that we maintain with various financial institutions.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Interest income is earned on our cash and cash equivalents, consisting primarily of certain investments that have contractual maturities no greater than three months at the time of purchase.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 (loss) gain</w:t>
      </w:r>
    </w:p>
    <w:p>
      <w:pPr>
        <w:spacing w:after="0" w:line="11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We incur transaction gains and losses resulting from intercompany transactions, as well as transactions with customers or vendors, denominated in currencies other than the functional currency of the legal entity in which the transaction is recorded.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income in earnings of equity investment</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(Loss) income in earnings of equity investment is related to our equity investment in PSL (PSL Parent following its recapitalization in September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change in fair value of forward repurchase contract</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Loss on change in fair value of forward repurchase contract is due to the various settlement dates under the Share Repurchase Agreement.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Other income (expense), net includes unrealized (loss) gains on marketable securities from changes in the fair value of equity securities with readily determinable fair values. These investments are measured at fair value with unrealized gains and losses related to changes in the entity’s stock price. Upon the sale of the investments, realized gains and losses are recognized in other income (expense), net. Miscellaneous income and expense items unrelated to our core operations are also within other income (expense), net.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provision</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provision for or benefit from income taxes is based on an estimate of the annual effective tax rate plus the tax impact of discrete items.</w:t>
      </w:r>
    </w:p>
    <w:p>
      <w:pPr>
        <w:spacing w:after="0" w:line="114"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We are subject to tax in the U.S. and various foreign jurisdictions. Our effective income tax rate fluctuates primarily because of: the change in the mix of our U.S. and foreign income; the impact of discrete transactions and law changes; state tax impacts and the difference between the amount of tax benefits generated by the foreign derived intangible income (“FDII”) deduction, including permanent impacts of capitalizing research and development expenses, and research credits, offset by the additional tax costs associated with global intangible low-tax income (“GILTI”), Subpart F income and non-deductible stock-based compensation charges.</w:t>
      </w:r>
    </w:p>
    <w:p>
      <w:pPr>
        <w:spacing w:after="0" w:line="77"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In 2017, the Tax Cuts and Jobs Act (“TCJA”) introduced significant U.S. corporate tax reform to the U.S. Internal Revenue Code (the “Code”), including a requirement to capitalize domestic and foreign research and development expenditures incurred in fiscal years 2023 through 2025 (“174 Capitalization”). The capitalized amounts were required to be amortized over five and 15 years, respectively. On July 4, 2025, the One Big Beautiful Bill Act (“OBBB”) was enacted into law, and it generally extended and modified many of the TCJA provisions of the Code. Specifically, the OBBB provided options to taxpayers such as (i) restoring the ability to immediately expense domestic R&amp;D expenditures, (ii) providing a one-time election to accelerate the deduction of previously capitalized domestic R&amp;D over a two-tax year period (“Accelerated R&amp;D Amortization Election”), (iii) reinstating Section 59(e) of the Code to allow domestic R&amp;D to be capitalized and amortized over 10 years, and (iv) updating Section 280(c) of the Code, which reduces the benefit of the Section 41 research and development tax credit (“R&amp;D Credit”). The OBBB changes, especially the Accelerated R&amp;D Amortization Election, result in a current year reduction of the U.S. cash taxes, FDII deduction, and R&amp;D credit benefits. The Company continues to evaluate the tax impact of the various OBBB provisions, elections, and forthcoming guidance.</w:t>
      </w:r>
    </w:p>
    <w:p>
      <w:pPr>
        <w:spacing w:after="0" w:line="82"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We regularly assess the likelihood of outcomes that could result from the examination of our tax returns by the IRS and other tax authorities to determine the adequacy of our income tax reserves and expense. Should actual events or results differ from our then-current expectations, charges or credits to our provision for income taxes may become necessary. Any such adjustments could have a significant effect on our results of operations.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2026 Compared to Fiscal Year 2025</w:t>
      </w:r>
    </w:p>
    <w:p>
      <w:pPr>
        <w:spacing w:after="0" w:line="11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our results of operations as a percentage of total net sales for the fiscal years ended March 27, 2026 and March 28, 2025.</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Fiscal Year Ended</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124"/>
              <w:spacing w:after="0" w:line="133" w:lineRule="exact"/>
              <w:rPr>
                <w:sz w:val="20"/>
                <w:szCs w:val="20"/>
                <w:color w:val="auto"/>
              </w:rPr>
            </w:pPr>
            <w:r>
              <w:rPr>
                <w:rFonts w:ascii="Times New Roman" w:cs="Times New Roman" w:eastAsia="Times New Roman" w:hAnsi="Times New Roman"/>
                <w:sz w:val="15"/>
                <w:szCs w:val="15"/>
                <w:b w:val="1"/>
                <w:bCs w:val="1"/>
                <w:color w:val="auto"/>
              </w:rPr>
              <w:t>March 27,</w:t>
            </w:r>
          </w:p>
        </w:tc>
        <w:tc>
          <w:tcPr>
            <w:tcW w:w="120" w:type="dxa"/>
            <w:vAlign w:val="bottom"/>
          </w:tcPr>
          <w:p>
            <w:pPr>
              <w:spacing w:after="0"/>
              <w:rPr>
                <w:sz w:val="11"/>
                <w:szCs w:val="11"/>
                <w:color w:val="auto"/>
              </w:rPr>
            </w:pPr>
          </w:p>
        </w:tc>
        <w:tc>
          <w:tcPr>
            <w:tcW w:w="960" w:type="dxa"/>
            <w:vAlign w:val="bottom"/>
          </w:tcPr>
          <w:p>
            <w:pPr>
              <w:jc w:val="right"/>
              <w:ind w:right="204"/>
              <w:spacing w:after="0" w:line="133" w:lineRule="exact"/>
              <w:rPr>
                <w:sz w:val="20"/>
                <w:szCs w:val="20"/>
                <w:color w:val="auto"/>
              </w:rPr>
            </w:pPr>
            <w:r>
              <w:rPr>
                <w:rFonts w:ascii="Times New Roman" w:cs="Times New Roman" w:eastAsia="Times New Roman" w:hAnsi="Times New Roman"/>
                <w:sz w:val="15"/>
                <w:szCs w:val="15"/>
                <w:b w:val="1"/>
                <w:bCs w:val="1"/>
                <w:color w:val="auto"/>
              </w:rPr>
              <w:t>As a %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144"/>
              <w:spacing w:after="0" w:line="133" w:lineRule="exact"/>
              <w:rPr>
                <w:sz w:val="20"/>
                <w:szCs w:val="20"/>
                <w:color w:val="auto"/>
              </w:rPr>
            </w:pPr>
            <w:r>
              <w:rPr>
                <w:rFonts w:ascii="Times New Roman" w:cs="Times New Roman" w:eastAsia="Times New Roman" w:hAnsi="Times New Roman"/>
                <w:sz w:val="15"/>
                <w:szCs w:val="15"/>
                <w:b w:val="1"/>
                <w:bCs w:val="1"/>
                <w:color w:val="auto"/>
              </w:rPr>
              <w:t>March 28,</w:t>
            </w:r>
          </w:p>
        </w:tc>
        <w:tc>
          <w:tcPr>
            <w:tcW w:w="100" w:type="dxa"/>
            <w:vAlign w:val="bottom"/>
          </w:tcPr>
          <w:p>
            <w:pPr>
              <w:spacing w:after="0"/>
              <w:rPr>
                <w:sz w:val="11"/>
                <w:szCs w:val="11"/>
                <w:color w:val="auto"/>
              </w:rPr>
            </w:pPr>
          </w:p>
        </w:tc>
        <w:tc>
          <w:tcPr>
            <w:tcW w:w="980" w:type="dxa"/>
            <w:vAlign w:val="bottom"/>
          </w:tcPr>
          <w:p>
            <w:pPr>
              <w:jc w:val="right"/>
              <w:ind w:right="224"/>
              <w:spacing w:after="0" w:line="133" w:lineRule="exact"/>
              <w:rPr>
                <w:sz w:val="20"/>
                <w:szCs w:val="20"/>
                <w:color w:val="auto"/>
              </w:rPr>
            </w:pPr>
            <w:r>
              <w:rPr>
                <w:rFonts w:ascii="Times New Roman" w:cs="Times New Roman" w:eastAsia="Times New Roman" w:hAnsi="Times New Roman"/>
                <w:sz w:val="15"/>
                <w:szCs w:val="15"/>
                <w:b w:val="1"/>
                <w:bCs w:val="1"/>
                <w:color w:val="auto"/>
              </w:rPr>
              <w:t>As a %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vMerge w:val="restart"/>
          </w:tcPr>
          <w:p>
            <w:pPr>
              <w:jc w:val="right"/>
              <w:ind w:right="54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82"/>
        </w:trPr>
        <w:tc>
          <w:tcPr>
            <w:tcW w:w="4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Net Sales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Net Sales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b w:val="1"/>
                <w:bCs w:val="1"/>
                <w:color w:val="auto"/>
              </w:rPr>
              <w:t>(Dollars in</w:t>
            </w:r>
          </w:p>
        </w:tc>
        <w:tc>
          <w:tcPr>
            <w:tcW w:w="100" w:type="dxa"/>
            <w:vAlign w:val="bottom"/>
          </w:tcPr>
          <w:p>
            <w:pPr>
              <w:spacing w:after="0"/>
              <w:rPr>
                <w:sz w:val="13"/>
                <w:szCs w:val="13"/>
                <w:color w:val="auto"/>
              </w:rPr>
            </w:pPr>
          </w:p>
        </w:tc>
        <w:tc>
          <w:tcPr>
            <w:tcW w:w="980" w:type="dxa"/>
            <w:vAlign w:val="bottom"/>
          </w:tcPr>
          <w:p>
            <w:pPr>
              <w:jc w:val="right"/>
              <w:ind w:right="244"/>
              <w:spacing w:after="0" w:line="154" w:lineRule="exact"/>
              <w:rPr>
                <w:sz w:val="20"/>
                <w:szCs w:val="20"/>
                <w:color w:val="auto"/>
              </w:rPr>
            </w:pPr>
            <w:r>
              <w:rPr>
                <w:rFonts w:ascii="Times New Roman" w:cs="Times New Roman" w:eastAsia="Times New Roman" w:hAnsi="Times New Roman"/>
                <w:sz w:val="15"/>
                <w:szCs w:val="15"/>
                <w:b w:val="1"/>
                <w:bCs w:val="1"/>
                <w:color w:val="auto"/>
                <w:w w:val="91"/>
              </w:rPr>
              <w:t>thousands)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8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5"/>
                <w:szCs w:val="15"/>
                <w:color w:val="auto"/>
              </w:rPr>
              <w:t>Total net sales</w:t>
            </w:r>
          </w:p>
        </w:tc>
        <w:tc>
          <w:tcPr>
            <w:tcW w:w="560" w:type="dxa"/>
            <w:vAlign w:val="bottom"/>
            <w:gridSpan w:val="2"/>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890,096</w:t>
            </w:r>
          </w:p>
        </w:tc>
        <w:tc>
          <w:tcPr>
            <w:tcW w:w="1080" w:type="dxa"/>
            <w:vAlign w:val="bottom"/>
            <w:gridSpan w:val="2"/>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100.0%</w:t>
            </w:r>
          </w:p>
        </w:tc>
        <w:tc>
          <w:tcPr>
            <w:tcW w:w="200" w:type="dxa"/>
            <w:vAlign w:val="bottom"/>
            <w:gridSpan w:val="2"/>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725,006</w:t>
            </w:r>
          </w:p>
        </w:tc>
        <w:tc>
          <w:tcPr>
            <w:tcW w:w="1080" w:type="dxa"/>
            <w:vAlign w:val="bottom"/>
            <w:gridSpan w:val="2"/>
            <w:shd w:val="clear" w:color="auto" w:fill="CFF0FC"/>
          </w:tcPr>
          <w:p>
            <w:pPr>
              <w:jc w:val="right"/>
              <w:ind w:right="4"/>
              <w:spacing w:after="0" w:line="161" w:lineRule="exact"/>
              <w:rPr>
                <w:sz w:val="20"/>
                <w:szCs w:val="20"/>
                <w:color w:val="auto"/>
              </w:rPr>
            </w:pPr>
            <w:r>
              <w:rPr>
                <w:rFonts w:ascii="Times New Roman" w:cs="Times New Roman" w:eastAsia="Times New Roman" w:hAnsi="Times New Roman"/>
                <w:sz w:val="15"/>
                <w:szCs w:val="15"/>
                <w:color w:val="auto"/>
              </w:rPr>
              <w:t>100.0%</w:t>
            </w:r>
          </w:p>
        </w:tc>
        <w:tc>
          <w:tcPr>
            <w:tcW w:w="320" w:type="dxa"/>
            <w:vAlign w:val="bottom"/>
            <w:gridSpan w:val="2"/>
            <w:shd w:val="clear" w:color="auto" w:fill="CFF0FC"/>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165,090</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
              <w:spacing w:after="0" w:line="161" w:lineRule="exact"/>
              <w:rPr>
                <w:sz w:val="20"/>
                <w:szCs w:val="20"/>
                <w:color w:val="auto"/>
              </w:rPr>
            </w:pPr>
            <w:r>
              <w:rPr>
                <w:rFonts w:ascii="Times New Roman" w:cs="Times New Roman" w:eastAsia="Times New Roman" w:hAnsi="Times New Roman"/>
                <w:sz w:val="15"/>
                <w:szCs w:val="15"/>
                <w:color w:val="auto"/>
              </w:rPr>
              <w:t>22.8%</w:t>
            </w:r>
          </w:p>
        </w:tc>
        <w:tc>
          <w:tcPr>
            <w:tcW w:w="0" w:type="dxa"/>
            <w:vAlign w:val="bottom"/>
          </w:tcPr>
          <w:p>
            <w:pPr>
              <w:spacing w:after="0"/>
              <w:rPr>
                <w:sz w:val="1"/>
                <w:szCs w:val="1"/>
                <w:color w:val="auto"/>
              </w:rPr>
            </w:pPr>
          </w:p>
        </w:tc>
      </w:tr>
      <w:tr>
        <w:trPr>
          <w:trHeight w:val="160"/>
        </w:trPr>
        <w:tc>
          <w:tcPr>
            <w:tcW w:w="418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Cost of goods sold</w:t>
            </w: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478,126</w:t>
            </w:r>
          </w:p>
        </w:tc>
        <w:tc>
          <w:tcPr>
            <w:tcW w:w="1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53.7%</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403,479</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right"/>
              <w:ind w:right="4"/>
              <w:spacing w:after="0" w:line="161" w:lineRule="exact"/>
              <w:rPr>
                <w:sz w:val="20"/>
                <w:szCs w:val="20"/>
                <w:color w:val="auto"/>
              </w:rPr>
            </w:pPr>
            <w:r>
              <w:rPr>
                <w:rFonts w:ascii="Times New Roman" w:cs="Times New Roman" w:eastAsia="Times New Roman" w:hAnsi="Times New Roman"/>
                <w:sz w:val="15"/>
                <w:szCs w:val="15"/>
                <w:color w:val="auto"/>
              </w:rPr>
              <w:t>55.7%</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74,647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jc w:val="right"/>
              <w:ind w:right="4"/>
              <w:spacing w:after="0" w:line="161" w:lineRule="exact"/>
              <w:rPr>
                <w:sz w:val="20"/>
                <w:szCs w:val="20"/>
                <w:color w:val="auto"/>
              </w:rPr>
            </w:pPr>
            <w:r>
              <w:rPr>
                <w:rFonts w:ascii="Times New Roman" w:cs="Times New Roman" w:eastAsia="Times New Roman" w:hAnsi="Times New Roman"/>
                <w:sz w:val="15"/>
                <w:szCs w:val="15"/>
                <w:color w:val="auto"/>
              </w:rPr>
              <w:t>18.5%</w:t>
            </w:r>
          </w:p>
        </w:tc>
        <w:tc>
          <w:tcPr>
            <w:tcW w:w="0" w:type="dxa"/>
            <w:vAlign w:val="bottom"/>
          </w:tcPr>
          <w:p>
            <w:pPr>
              <w:spacing w:after="0"/>
              <w:rPr>
                <w:sz w:val="1"/>
                <w:szCs w:val="1"/>
                <w:color w:val="auto"/>
              </w:rPr>
            </w:pPr>
          </w:p>
        </w:tc>
      </w:tr>
      <w:tr>
        <w:trPr>
          <w:trHeight w:val="154"/>
        </w:trPr>
        <w:tc>
          <w:tcPr>
            <w:tcW w:w="4180" w:type="dxa"/>
            <w:vAlign w:val="bottom"/>
            <w:shd w:val="clear" w:color="auto" w:fill="CFF0FC"/>
          </w:tcPr>
          <w:p>
            <w:pPr>
              <w:ind w:left="100"/>
              <w:spacing w:after="0" w:line="154" w:lineRule="exact"/>
              <w:rPr>
                <w:sz w:val="20"/>
                <w:szCs w:val="20"/>
                <w:color w:val="auto"/>
              </w:rPr>
            </w:pPr>
            <w:r>
              <w:rPr>
                <w:rFonts w:ascii="Times New Roman" w:cs="Times New Roman" w:eastAsia="Times New Roman" w:hAnsi="Times New Roman"/>
                <w:sz w:val="15"/>
                <w:szCs w:val="15"/>
                <w:color w:val="auto"/>
              </w:rPr>
              <w:t>Gross profit</w:t>
            </w: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4"/>
              <w:spacing w:after="0" w:line="154" w:lineRule="exact"/>
              <w:rPr>
                <w:sz w:val="20"/>
                <w:szCs w:val="20"/>
                <w:color w:val="auto"/>
              </w:rPr>
            </w:pPr>
            <w:r>
              <w:rPr>
                <w:rFonts w:ascii="Times New Roman" w:cs="Times New Roman" w:eastAsia="Times New Roman" w:hAnsi="Times New Roman"/>
                <w:sz w:val="15"/>
                <w:szCs w:val="15"/>
                <w:color w:val="auto"/>
              </w:rPr>
              <w:t>411,970</w:t>
            </w:r>
          </w:p>
        </w:tc>
        <w:tc>
          <w:tcPr>
            <w:tcW w:w="1080" w:type="dxa"/>
            <w:vAlign w:val="bottom"/>
            <w:gridSpan w:val="2"/>
            <w:shd w:val="clear" w:color="auto" w:fill="CFF0FC"/>
          </w:tcPr>
          <w:p>
            <w:pPr>
              <w:jc w:val="right"/>
              <w:spacing w:after="0" w:line="154" w:lineRule="exact"/>
              <w:rPr>
                <w:sz w:val="20"/>
                <w:szCs w:val="20"/>
                <w:color w:val="auto"/>
              </w:rPr>
            </w:pPr>
            <w:r>
              <w:rPr>
                <w:rFonts w:ascii="Times New Roman" w:cs="Times New Roman" w:eastAsia="Times New Roman" w:hAnsi="Times New Roman"/>
                <w:sz w:val="15"/>
                <w:szCs w:val="15"/>
                <w:color w:val="auto"/>
              </w:rPr>
              <w:t>46.3%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44"/>
              <w:spacing w:after="0" w:line="154" w:lineRule="exact"/>
              <w:rPr>
                <w:sz w:val="20"/>
                <w:szCs w:val="20"/>
                <w:color w:val="auto"/>
              </w:rPr>
            </w:pPr>
            <w:r>
              <w:rPr>
                <w:rFonts w:ascii="Times New Roman" w:cs="Times New Roman" w:eastAsia="Times New Roman" w:hAnsi="Times New Roman"/>
                <w:sz w:val="15"/>
                <w:szCs w:val="15"/>
                <w:color w:val="auto"/>
              </w:rPr>
              <w:t>321,527</w:t>
            </w:r>
          </w:p>
        </w:tc>
        <w:tc>
          <w:tcPr>
            <w:tcW w:w="1080" w:type="dxa"/>
            <w:vAlign w:val="bottom"/>
            <w:gridSpan w:val="2"/>
            <w:shd w:val="clear" w:color="auto" w:fill="CFF0FC"/>
          </w:tcPr>
          <w:p>
            <w:pPr>
              <w:jc w:val="right"/>
              <w:ind w:right="4"/>
              <w:spacing w:after="0" w:line="154" w:lineRule="exact"/>
              <w:rPr>
                <w:sz w:val="20"/>
                <w:szCs w:val="20"/>
                <w:color w:val="auto"/>
              </w:rPr>
            </w:pPr>
            <w:r>
              <w:rPr>
                <w:rFonts w:ascii="Times New Roman" w:cs="Times New Roman" w:eastAsia="Times New Roman" w:hAnsi="Times New Roman"/>
                <w:sz w:val="15"/>
                <w:szCs w:val="15"/>
                <w:color w:val="auto"/>
              </w:rPr>
              <w:t>44.3%</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44"/>
              <w:spacing w:after="0" w:line="154" w:lineRule="exact"/>
              <w:rPr>
                <w:sz w:val="20"/>
                <w:szCs w:val="20"/>
                <w:color w:val="auto"/>
              </w:rPr>
            </w:pPr>
            <w:r>
              <w:rPr>
                <w:rFonts w:ascii="Times New Roman" w:cs="Times New Roman" w:eastAsia="Times New Roman" w:hAnsi="Times New Roman"/>
                <w:sz w:val="15"/>
                <w:szCs w:val="15"/>
                <w:color w:val="auto"/>
              </w:rPr>
              <w:t>90,443</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
              <w:spacing w:after="0" w:line="154" w:lineRule="exact"/>
              <w:rPr>
                <w:sz w:val="20"/>
                <w:szCs w:val="20"/>
                <w:color w:val="auto"/>
              </w:rPr>
            </w:pPr>
            <w:r>
              <w:rPr>
                <w:rFonts w:ascii="Times New Roman" w:cs="Times New Roman" w:eastAsia="Times New Roman" w:hAnsi="Times New Roman"/>
                <w:sz w:val="15"/>
                <w:szCs w:val="15"/>
                <w:color w:val="auto"/>
              </w:rPr>
              <w:t>28.1%</w:t>
            </w:r>
          </w:p>
        </w:tc>
        <w:tc>
          <w:tcPr>
            <w:tcW w:w="0" w:type="dxa"/>
            <w:vAlign w:val="bottom"/>
          </w:tcPr>
          <w:p>
            <w:pPr>
              <w:spacing w:after="0"/>
              <w:rPr>
                <w:sz w:val="1"/>
                <w:szCs w:val="1"/>
                <w:color w:val="auto"/>
              </w:rPr>
            </w:pPr>
          </w:p>
        </w:tc>
      </w:tr>
      <w:tr>
        <w:trPr>
          <w:trHeight w:val="160"/>
        </w:trPr>
        <w:tc>
          <w:tcPr>
            <w:tcW w:w="418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Operating expenses: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80" w:type="dxa"/>
            <w:vAlign w:val="bottom"/>
            <w:shd w:val="clear" w:color="auto" w:fill="CFF0FC"/>
          </w:tcPr>
          <w:p>
            <w:pPr>
              <w:ind w:left="100"/>
              <w:spacing w:after="0" w:line="161" w:lineRule="exact"/>
              <w:rPr>
                <w:sz w:val="20"/>
                <w:szCs w:val="20"/>
                <w:color w:val="auto"/>
              </w:rPr>
            </w:pPr>
            <w:r>
              <w:rPr>
                <w:rFonts w:ascii="Times New Roman" w:cs="Times New Roman" w:eastAsia="Times New Roman" w:hAnsi="Times New Roman"/>
                <w:sz w:val="15"/>
                <w:szCs w:val="15"/>
                <w:color w:val="auto"/>
              </w:rPr>
              <w:t>Research and development</w:t>
            </w: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205,804</w:t>
            </w:r>
          </w:p>
        </w:tc>
        <w:tc>
          <w:tcPr>
            <w:tcW w:w="1080" w:type="dxa"/>
            <w:vAlign w:val="bottom"/>
            <w:gridSpan w:val="2"/>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23.1%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179,649</w:t>
            </w:r>
          </w:p>
        </w:tc>
        <w:tc>
          <w:tcPr>
            <w:tcW w:w="1080" w:type="dxa"/>
            <w:vAlign w:val="bottom"/>
            <w:gridSpan w:val="2"/>
            <w:shd w:val="clear" w:color="auto" w:fill="CFF0FC"/>
          </w:tcPr>
          <w:p>
            <w:pPr>
              <w:jc w:val="right"/>
              <w:ind w:right="4"/>
              <w:spacing w:after="0" w:line="161" w:lineRule="exact"/>
              <w:rPr>
                <w:sz w:val="20"/>
                <w:szCs w:val="20"/>
                <w:color w:val="auto"/>
              </w:rPr>
            </w:pPr>
            <w:r>
              <w:rPr>
                <w:rFonts w:ascii="Times New Roman" w:cs="Times New Roman" w:eastAsia="Times New Roman" w:hAnsi="Times New Roman"/>
                <w:sz w:val="15"/>
                <w:szCs w:val="15"/>
                <w:color w:val="auto"/>
              </w:rPr>
              <w:t>24.8%</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26,155</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
              <w:spacing w:after="0" w:line="161" w:lineRule="exact"/>
              <w:rPr>
                <w:sz w:val="20"/>
                <w:szCs w:val="20"/>
                <w:color w:val="auto"/>
              </w:rPr>
            </w:pPr>
            <w:r>
              <w:rPr>
                <w:rFonts w:ascii="Times New Roman" w:cs="Times New Roman" w:eastAsia="Times New Roman" w:hAnsi="Times New Roman"/>
                <w:sz w:val="15"/>
                <w:szCs w:val="15"/>
                <w:color w:val="auto"/>
              </w:rPr>
              <w:t>14.6%</w:t>
            </w:r>
          </w:p>
        </w:tc>
        <w:tc>
          <w:tcPr>
            <w:tcW w:w="0" w:type="dxa"/>
            <w:vAlign w:val="bottom"/>
          </w:tcPr>
          <w:p>
            <w:pPr>
              <w:spacing w:after="0"/>
              <w:rPr>
                <w:sz w:val="1"/>
                <w:szCs w:val="1"/>
                <w:color w:val="auto"/>
              </w:rPr>
            </w:pPr>
          </w:p>
        </w:tc>
      </w:tr>
      <w:tr>
        <w:trPr>
          <w:trHeight w:val="160"/>
        </w:trPr>
        <w:tc>
          <w:tcPr>
            <w:tcW w:w="4180" w:type="dxa"/>
            <w:vAlign w:val="bottom"/>
          </w:tcPr>
          <w:p>
            <w:pPr>
              <w:ind w:left="100"/>
              <w:spacing w:after="0" w:line="161" w:lineRule="exact"/>
              <w:rPr>
                <w:sz w:val="20"/>
                <w:szCs w:val="20"/>
                <w:color w:val="auto"/>
              </w:rPr>
            </w:pPr>
            <w:r>
              <w:rPr>
                <w:rFonts w:ascii="Times New Roman" w:cs="Times New Roman" w:eastAsia="Times New Roman" w:hAnsi="Times New Roman"/>
                <w:sz w:val="15"/>
                <w:szCs w:val="15"/>
                <w:color w:val="auto"/>
              </w:rPr>
              <w:t>Selling, general and administrative</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181,089</w:t>
            </w:r>
          </w:p>
        </w:tc>
        <w:tc>
          <w:tcPr>
            <w:tcW w:w="108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auto"/>
              </w:rPr>
              <w:t>20.3%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161,680</w:t>
            </w:r>
          </w:p>
        </w:tc>
        <w:tc>
          <w:tcPr>
            <w:tcW w:w="1080" w:type="dxa"/>
            <w:vAlign w:val="bottom"/>
            <w:gridSpan w:val="2"/>
          </w:tcPr>
          <w:p>
            <w:pPr>
              <w:jc w:val="right"/>
              <w:ind w:right="4"/>
              <w:spacing w:after="0" w:line="161" w:lineRule="exact"/>
              <w:rPr>
                <w:sz w:val="20"/>
                <w:szCs w:val="20"/>
                <w:color w:val="auto"/>
              </w:rPr>
            </w:pPr>
            <w:r>
              <w:rPr>
                <w:rFonts w:ascii="Times New Roman" w:cs="Times New Roman" w:eastAsia="Times New Roman" w:hAnsi="Times New Roman"/>
                <w:sz w:val="15"/>
                <w:szCs w:val="15"/>
                <w:color w:val="auto"/>
              </w:rPr>
              <w:t>22.3%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19,409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jc w:val="right"/>
              <w:ind w:right="4"/>
              <w:spacing w:after="0" w:line="161" w:lineRule="exact"/>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160"/>
        </w:trPr>
        <w:tc>
          <w:tcPr>
            <w:tcW w:w="4180" w:type="dxa"/>
            <w:vAlign w:val="bottom"/>
            <w:tcBorders>
              <w:bottom w:val="single" w:sz="8" w:color="CFF0FC"/>
            </w:tcBorders>
            <w:shd w:val="clear" w:color="auto" w:fill="CFF0FC"/>
          </w:tcPr>
          <w:p>
            <w:pPr>
              <w:ind w:left="100"/>
              <w:spacing w:after="0" w:line="161" w:lineRule="exact"/>
              <w:rPr>
                <w:sz w:val="20"/>
                <w:szCs w:val="20"/>
                <w:color w:val="auto"/>
              </w:rPr>
            </w:pPr>
            <w:r>
              <w:rPr>
                <w:rFonts w:ascii="Times New Roman" w:cs="Times New Roman" w:eastAsia="Times New Roman" w:hAnsi="Times New Roman"/>
                <w:sz w:val="15"/>
                <w:szCs w:val="15"/>
                <w:color w:val="auto"/>
              </w:rPr>
              <w:t>Impairment of assets held for sale</w:t>
            </w:r>
          </w:p>
        </w:tc>
        <w:tc>
          <w:tcPr>
            <w:tcW w:w="4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6,590</w:t>
            </w:r>
          </w:p>
        </w:tc>
        <w:tc>
          <w:tcPr>
            <w:tcW w:w="12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0.7%</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6,590</w:t>
            </w:r>
          </w:p>
        </w:tc>
        <w:tc>
          <w:tcPr>
            <w:tcW w:w="10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jc w:val="right"/>
              <w:ind w:right="4"/>
              <w:spacing w:after="0" w:line="161"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4"/>
        </w:trPr>
        <w:tc>
          <w:tcPr>
            <w:tcW w:w="4180" w:type="dxa"/>
            <w:vAlign w:val="bottom"/>
          </w:tcPr>
          <w:p>
            <w:pPr>
              <w:ind w:left="180"/>
              <w:spacing w:after="0" w:line="154" w:lineRule="exact"/>
              <w:rPr>
                <w:sz w:val="20"/>
                <w:szCs w:val="20"/>
                <w:color w:val="auto"/>
              </w:rPr>
            </w:pPr>
            <w:r>
              <w:rPr>
                <w:rFonts w:ascii="Times New Roman" w:cs="Times New Roman" w:eastAsia="Times New Roman" w:hAnsi="Times New Roman"/>
                <w:sz w:val="15"/>
                <w:szCs w:val="15"/>
                <w:color w:val="auto"/>
              </w:rPr>
              <w:t>Total operating expenses</w:t>
            </w: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4"/>
              <w:spacing w:after="0" w:line="154" w:lineRule="exact"/>
              <w:rPr>
                <w:sz w:val="20"/>
                <w:szCs w:val="20"/>
                <w:color w:val="auto"/>
              </w:rPr>
            </w:pPr>
            <w:r>
              <w:rPr>
                <w:rFonts w:ascii="Times New Roman" w:cs="Times New Roman" w:eastAsia="Times New Roman" w:hAnsi="Times New Roman"/>
                <w:sz w:val="15"/>
                <w:szCs w:val="15"/>
                <w:color w:val="auto"/>
              </w:rPr>
              <w:t>393,483</w:t>
            </w:r>
          </w:p>
        </w:tc>
        <w:tc>
          <w:tcPr>
            <w:tcW w:w="1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5"/>
                <w:szCs w:val="15"/>
                <w:color w:val="auto"/>
              </w:rPr>
              <w:t>44.2%</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4"/>
              <w:spacing w:after="0" w:line="154" w:lineRule="exact"/>
              <w:rPr>
                <w:sz w:val="20"/>
                <w:szCs w:val="20"/>
                <w:color w:val="auto"/>
              </w:rPr>
            </w:pPr>
            <w:r>
              <w:rPr>
                <w:rFonts w:ascii="Times New Roman" w:cs="Times New Roman" w:eastAsia="Times New Roman" w:hAnsi="Times New Roman"/>
                <w:sz w:val="15"/>
                <w:szCs w:val="15"/>
                <w:color w:val="auto"/>
              </w:rPr>
              <w:t>341,329</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right"/>
              <w:ind w:right="4"/>
              <w:spacing w:after="0" w:line="154" w:lineRule="exact"/>
              <w:rPr>
                <w:sz w:val="20"/>
                <w:szCs w:val="20"/>
                <w:color w:val="auto"/>
              </w:rPr>
            </w:pPr>
            <w:r>
              <w:rPr>
                <w:rFonts w:ascii="Times New Roman" w:cs="Times New Roman" w:eastAsia="Times New Roman" w:hAnsi="Times New Roman"/>
                <w:sz w:val="15"/>
                <w:szCs w:val="15"/>
                <w:color w:val="auto"/>
              </w:rPr>
              <w:t>47.1%</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4"/>
              <w:spacing w:after="0" w:line="154" w:lineRule="exact"/>
              <w:rPr>
                <w:sz w:val="20"/>
                <w:szCs w:val="20"/>
                <w:color w:val="auto"/>
              </w:rPr>
            </w:pPr>
            <w:r>
              <w:rPr>
                <w:rFonts w:ascii="Times New Roman" w:cs="Times New Roman" w:eastAsia="Times New Roman" w:hAnsi="Times New Roman"/>
                <w:sz w:val="15"/>
                <w:szCs w:val="15"/>
                <w:color w:val="auto"/>
              </w:rPr>
              <w:t>52,154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jc w:val="right"/>
              <w:ind w:right="4"/>
              <w:spacing w:after="0" w:line="154" w:lineRule="exact"/>
              <w:rPr>
                <w:sz w:val="20"/>
                <w:szCs w:val="20"/>
                <w:color w:val="auto"/>
              </w:rPr>
            </w:pPr>
            <w:r>
              <w:rPr>
                <w:rFonts w:ascii="Times New Roman" w:cs="Times New Roman" w:eastAsia="Times New Roman" w:hAnsi="Times New Roman"/>
                <w:sz w:val="15"/>
                <w:szCs w:val="15"/>
                <w:color w:val="auto"/>
              </w:rPr>
              <w:t>15.3%</w:t>
            </w:r>
          </w:p>
        </w:tc>
        <w:tc>
          <w:tcPr>
            <w:tcW w:w="0" w:type="dxa"/>
            <w:vAlign w:val="bottom"/>
          </w:tcPr>
          <w:p>
            <w:pPr>
              <w:spacing w:after="0"/>
              <w:rPr>
                <w:sz w:val="1"/>
                <w:szCs w:val="1"/>
                <w:color w:val="auto"/>
              </w:rPr>
            </w:pPr>
          </w:p>
        </w:tc>
      </w:tr>
      <w:tr>
        <w:trPr>
          <w:trHeight w:val="154"/>
        </w:trPr>
        <w:tc>
          <w:tcPr>
            <w:tcW w:w="4180" w:type="dxa"/>
            <w:vAlign w:val="bottom"/>
            <w:shd w:val="clear" w:color="auto" w:fill="CFF0FC"/>
          </w:tcPr>
          <w:p>
            <w:pPr>
              <w:spacing w:after="0" w:line="154" w:lineRule="exact"/>
              <w:rPr>
                <w:sz w:val="20"/>
                <w:szCs w:val="20"/>
                <w:color w:val="auto"/>
              </w:rPr>
            </w:pPr>
            <w:r>
              <w:rPr>
                <w:rFonts w:ascii="Times New Roman" w:cs="Times New Roman" w:eastAsia="Times New Roman" w:hAnsi="Times New Roman"/>
                <w:sz w:val="15"/>
                <w:szCs w:val="15"/>
                <w:color w:val="auto"/>
              </w:rPr>
              <w:t>Operating income (loss)</w:t>
            </w: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4"/>
              <w:spacing w:after="0" w:line="154" w:lineRule="exact"/>
              <w:rPr>
                <w:sz w:val="20"/>
                <w:szCs w:val="20"/>
                <w:color w:val="auto"/>
              </w:rPr>
            </w:pPr>
            <w:r>
              <w:rPr>
                <w:rFonts w:ascii="Times New Roman" w:cs="Times New Roman" w:eastAsia="Times New Roman" w:hAnsi="Times New Roman"/>
                <w:sz w:val="15"/>
                <w:szCs w:val="15"/>
                <w:color w:val="auto"/>
              </w:rPr>
              <w:t>18,487</w:t>
            </w:r>
          </w:p>
        </w:tc>
        <w:tc>
          <w:tcPr>
            <w:tcW w:w="1080" w:type="dxa"/>
            <w:vAlign w:val="bottom"/>
            <w:gridSpan w:val="2"/>
            <w:shd w:val="clear" w:color="auto" w:fill="CFF0FC"/>
          </w:tcPr>
          <w:p>
            <w:pPr>
              <w:jc w:val="right"/>
              <w:spacing w:after="0" w:line="154" w:lineRule="exact"/>
              <w:rPr>
                <w:sz w:val="20"/>
                <w:szCs w:val="20"/>
                <w:color w:val="auto"/>
              </w:rPr>
            </w:pPr>
            <w:r>
              <w:rPr>
                <w:rFonts w:ascii="Times New Roman" w:cs="Times New Roman" w:eastAsia="Times New Roman" w:hAnsi="Times New Roman"/>
                <w:sz w:val="15"/>
                <w:szCs w:val="15"/>
                <w:color w:val="auto"/>
              </w:rPr>
              <w:t>2.1%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4" w:lineRule="exact"/>
              <w:rPr>
                <w:sz w:val="20"/>
                <w:szCs w:val="20"/>
                <w:color w:val="auto"/>
              </w:rPr>
            </w:pPr>
            <w:r>
              <w:rPr>
                <w:rFonts w:ascii="Times New Roman" w:cs="Times New Roman" w:eastAsia="Times New Roman" w:hAnsi="Times New Roman"/>
                <w:sz w:val="15"/>
                <w:szCs w:val="15"/>
                <w:color w:val="auto"/>
              </w:rPr>
              <w:t>(19,802)</w:t>
            </w:r>
          </w:p>
        </w:tc>
        <w:tc>
          <w:tcPr>
            <w:tcW w:w="1080" w:type="dxa"/>
            <w:vAlign w:val="bottom"/>
            <w:gridSpan w:val="2"/>
            <w:shd w:val="clear" w:color="auto" w:fill="CFF0FC"/>
          </w:tcPr>
          <w:p>
            <w:pPr>
              <w:jc w:val="right"/>
              <w:spacing w:after="0" w:line="154" w:lineRule="exact"/>
              <w:rPr>
                <w:sz w:val="20"/>
                <w:szCs w:val="20"/>
                <w:color w:val="auto"/>
              </w:rPr>
            </w:pPr>
            <w:r>
              <w:rPr>
                <w:rFonts w:ascii="Times New Roman" w:cs="Times New Roman" w:eastAsia="Times New Roman" w:hAnsi="Times New Roman"/>
                <w:sz w:val="15"/>
                <w:szCs w:val="15"/>
                <w:color w:val="auto"/>
              </w:rPr>
              <w:t>(2.7)%</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44"/>
              <w:spacing w:after="0" w:line="154" w:lineRule="exact"/>
              <w:rPr>
                <w:sz w:val="20"/>
                <w:szCs w:val="20"/>
                <w:color w:val="auto"/>
              </w:rPr>
            </w:pPr>
            <w:r>
              <w:rPr>
                <w:rFonts w:ascii="Times New Roman" w:cs="Times New Roman" w:eastAsia="Times New Roman" w:hAnsi="Times New Roman"/>
                <w:sz w:val="15"/>
                <w:szCs w:val="15"/>
                <w:color w:val="auto"/>
              </w:rPr>
              <w:t>38,289</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4" w:lineRule="exact"/>
              <w:rPr>
                <w:sz w:val="20"/>
                <w:szCs w:val="20"/>
                <w:color w:val="auto"/>
              </w:rPr>
            </w:pPr>
            <w:r>
              <w:rPr>
                <w:rFonts w:ascii="Times New Roman" w:cs="Times New Roman" w:eastAsia="Times New Roman" w:hAnsi="Times New Roman"/>
                <w:sz w:val="15"/>
                <w:szCs w:val="15"/>
                <w:color w:val="auto"/>
              </w:rPr>
              <w:t>(193.4)%</w:t>
            </w:r>
          </w:p>
        </w:tc>
        <w:tc>
          <w:tcPr>
            <w:tcW w:w="0" w:type="dxa"/>
            <w:vAlign w:val="bottom"/>
          </w:tcPr>
          <w:p>
            <w:pPr>
              <w:spacing w:after="0"/>
              <w:rPr>
                <w:sz w:val="1"/>
                <w:szCs w:val="1"/>
                <w:color w:val="auto"/>
              </w:rPr>
            </w:pPr>
          </w:p>
        </w:tc>
      </w:tr>
      <w:tr>
        <w:trPr>
          <w:trHeight w:val="160"/>
        </w:trPr>
        <w:tc>
          <w:tcPr>
            <w:tcW w:w="418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Other (expense) income:</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80" w:type="dxa"/>
            <w:vAlign w:val="bottom"/>
            <w:shd w:val="clear" w:color="auto" w:fill="CFF0FC"/>
          </w:tcPr>
          <w:p>
            <w:pPr>
              <w:ind w:left="100"/>
              <w:spacing w:after="0" w:line="161" w:lineRule="exact"/>
              <w:rPr>
                <w:sz w:val="20"/>
                <w:szCs w:val="20"/>
                <w:color w:val="auto"/>
              </w:rPr>
            </w:pPr>
            <w:r>
              <w:rPr>
                <w:rFonts w:ascii="Times New Roman" w:cs="Times New Roman" w:eastAsia="Times New Roman" w:hAnsi="Times New Roman"/>
                <w:sz w:val="15"/>
                <w:szCs w:val="15"/>
                <w:color w:val="auto"/>
              </w:rPr>
              <w:t>Interest expense</w:t>
            </w: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(22,135)</w:t>
            </w:r>
          </w:p>
        </w:tc>
        <w:tc>
          <w:tcPr>
            <w:tcW w:w="1080" w:type="dxa"/>
            <w:vAlign w:val="bottom"/>
            <w:gridSpan w:val="2"/>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(2.5)%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(30,366)</w:t>
            </w:r>
          </w:p>
        </w:tc>
        <w:tc>
          <w:tcPr>
            <w:tcW w:w="1080" w:type="dxa"/>
            <w:vAlign w:val="bottom"/>
            <w:gridSpan w:val="2"/>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(4.2)%</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8,231</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(27.1)%</w:t>
            </w:r>
          </w:p>
        </w:tc>
        <w:tc>
          <w:tcPr>
            <w:tcW w:w="0" w:type="dxa"/>
            <w:vAlign w:val="bottom"/>
          </w:tcPr>
          <w:p>
            <w:pPr>
              <w:spacing w:after="0"/>
              <w:rPr>
                <w:sz w:val="1"/>
                <w:szCs w:val="1"/>
                <w:color w:val="auto"/>
              </w:rPr>
            </w:pPr>
          </w:p>
        </w:tc>
      </w:tr>
      <w:tr>
        <w:trPr>
          <w:trHeight w:val="160"/>
        </w:trPr>
        <w:tc>
          <w:tcPr>
            <w:tcW w:w="4180" w:type="dxa"/>
            <w:vAlign w:val="bottom"/>
          </w:tcPr>
          <w:p>
            <w:pPr>
              <w:ind w:left="100"/>
              <w:spacing w:after="0" w:line="161" w:lineRule="exact"/>
              <w:rPr>
                <w:sz w:val="20"/>
                <w:szCs w:val="20"/>
                <w:color w:val="auto"/>
              </w:rPr>
            </w:pPr>
            <w:r>
              <w:rPr>
                <w:rFonts w:ascii="Times New Roman" w:cs="Times New Roman" w:eastAsia="Times New Roman" w:hAnsi="Times New Roman"/>
                <w:sz w:val="15"/>
                <w:szCs w:val="15"/>
                <w:color w:val="auto"/>
              </w:rPr>
              <w:t>Interest income</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776</w:t>
            </w:r>
          </w:p>
        </w:tc>
        <w:tc>
          <w:tcPr>
            <w:tcW w:w="108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1,524</w:t>
            </w:r>
          </w:p>
        </w:tc>
        <w:tc>
          <w:tcPr>
            <w:tcW w:w="1080" w:type="dxa"/>
            <w:vAlign w:val="bottom"/>
            <w:gridSpan w:val="2"/>
          </w:tcPr>
          <w:p>
            <w:pPr>
              <w:jc w:val="right"/>
              <w:ind w:right="4"/>
              <w:spacing w:after="0" w:line="161" w:lineRule="exact"/>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(748)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(49.1)%</w:t>
            </w:r>
          </w:p>
        </w:tc>
        <w:tc>
          <w:tcPr>
            <w:tcW w:w="0" w:type="dxa"/>
            <w:vAlign w:val="bottom"/>
          </w:tcPr>
          <w:p>
            <w:pPr>
              <w:spacing w:after="0"/>
              <w:rPr>
                <w:sz w:val="1"/>
                <w:szCs w:val="1"/>
                <w:color w:val="auto"/>
              </w:rPr>
            </w:pPr>
          </w:p>
        </w:tc>
      </w:tr>
      <w:tr>
        <w:trPr>
          <w:trHeight w:val="160"/>
        </w:trPr>
        <w:tc>
          <w:tcPr>
            <w:tcW w:w="4180" w:type="dxa"/>
            <w:vAlign w:val="bottom"/>
            <w:shd w:val="clear" w:color="auto" w:fill="CFF0FC"/>
          </w:tcPr>
          <w:p>
            <w:pPr>
              <w:ind w:left="100"/>
              <w:spacing w:after="0" w:line="161" w:lineRule="exact"/>
              <w:rPr>
                <w:sz w:val="20"/>
                <w:szCs w:val="20"/>
                <w:color w:val="auto"/>
              </w:rPr>
            </w:pPr>
            <w:r>
              <w:rPr>
                <w:rFonts w:ascii="Times New Roman" w:cs="Times New Roman" w:eastAsia="Times New Roman" w:hAnsi="Times New Roman"/>
                <w:sz w:val="15"/>
                <w:szCs w:val="15"/>
                <w:color w:val="auto"/>
              </w:rPr>
              <w:t>Foreign currency transaction loss</w:t>
            </w: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(3,209)</w:t>
            </w:r>
          </w:p>
        </w:tc>
        <w:tc>
          <w:tcPr>
            <w:tcW w:w="1080" w:type="dxa"/>
            <w:vAlign w:val="bottom"/>
            <w:gridSpan w:val="2"/>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(0.4)%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(2,172)</w:t>
            </w:r>
          </w:p>
        </w:tc>
        <w:tc>
          <w:tcPr>
            <w:tcW w:w="1080" w:type="dxa"/>
            <w:vAlign w:val="bottom"/>
            <w:gridSpan w:val="2"/>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(0.3)%</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(1,037)</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
              <w:spacing w:after="0" w:line="161" w:lineRule="exact"/>
              <w:rPr>
                <w:sz w:val="20"/>
                <w:szCs w:val="20"/>
                <w:color w:val="auto"/>
              </w:rPr>
            </w:pPr>
            <w:r>
              <w:rPr>
                <w:rFonts w:ascii="Times New Roman" w:cs="Times New Roman" w:eastAsia="Times New Roman" w:hAnsi="Times New Roman"/>
                <w:sz w:val="15"/>
                <w:szCs w:val="15"/>
                <w:color w:val="auto"/>
              </w:rPr>
              <w:t>47.7%</w:t>
            </w:r>
          </w:p>
        </w:tc>
        <w:tc>
          <w:tcPr>
            <w:tcW w:w="0" w:type="dxa"/>
            <w:vAlign w:val="bottom"/>
          </w:tcPr>
          <w:p>
            <w:pPr>
              <w:spacing w:after="0"/>
              <w:rPr>
                <w:sz w:val="1"/>
                <w:szCs w:val="1"/>
                <w:color w:val="auto"/>
              </w:rPr>
            </w:pPr>
          </w:p>
        </w:tc>
      </w:tr>
      <w:tr>
        <w:trPr>
          <w:trHeight w:val="160"/>
        </w:trPr>
        <w:tc>
          <w:tcPr>
            <w:tcW w:w="4180" w:type="dxa"/>
            <w:vAlign w:val="bottom"/>
          </w:tcPr>
          <w:p>
            <w:pPr>
              <w:ind w:left="100"/>
              <w:spacing w:after="0" w:line="161" w:lineRule="exact"/>
              <w:rPr>
                <w:sz w:val="20"/>
                <w:szCs w:val="20"/>
                <w:color w:val="auto"/>
              </w:rPr>
            </w:pPr>
            <w:r>
              <w:rPr>
                <w:rFonts w:ascii="Times New Roman" w:cs="Times New Roman" w:eastAsia="Times New Roman" w:hAnsi="Times New Roman"/>
                <w:sz w:val="15"/>
                <w:szCs w:val="15"/>
                <w:color w:val="auto"/>
              </w:rPr>
              <w:t>(Loss) income in earnings of equity investment</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(9,399)</w:t>
            </w:r>
          </w:p>
        </w:tc>
        <w:tc>
          <w:tcPr>
            <w:tcW w:w="108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1,176</w:t>
            </w:r>
          </w:p>
        </w:tc>
        <w:tc>
          <w:tcPr>
            <w:tcW w:w="1080" w:type="dxa"/>
            <w:vAlign w:val="bottom"/>
            <w:gridSpan w:val="2"/>
          </w:tcPr>
          <w:p>
            <w:pPr>
              <w:jc w:val="right"/>
              <w:ind w:right="4"/>
              <w:spacing w:after="0" w:line="161" w:lineRule="exact"/>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(10,575)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(899.2)%</w:t>
            </w:r>
          </w:p>
        </w:tc>
        <w:tc>
          <w:tcPr>
            <w:tcW w:w="0" w:type="dxa"/>
            <w:vAlign w:val="bottom"/>
          </w:tcPr>
          <w:p>
            <w:pPr>
              <w:spacing w:after="0"/>
              <w:rPr>
                <w:sz w:val="1"/>
                <w:szCs w:val="1"/>
                <w:color w:val="auto"/>
              </w:rPr>
            </w:pPr>
          </w:p>
        </w:tc>
      </w:tr>
      <w:tr>
        <w:trPr>
          <w:trHeight w:val="160"/>
        </w:trPr>
        <w:tc>
          <w:tcPr>
            <w:tcW w:w="4180" w:type="dxa"/>
            <w:vAlign w:val="bottom"/>
            <w:shd w:val="clear" w:color="auto" w:fill="CFF0FC"/>
          </w:tcPr>
          <w:p>
            <w:pPr>
              <w:ind w:left="100"/>
              <w:spacing w:after="0" w:line="161" w:lineRule="exact"/>
              <w:rPr>
                <w:sz w:val="20"/>
                <w:szCs w:val="20"/>
                <w:color w:val="auto"/>
              </w:rPr>
            </w:pPr>
            <w:r>
              <w:rPr>
                <w:rFonts w:ascii="Times New Roman" w:cs="Times New Roman" w:eastAsia="Times New Roman" w:hAnsi="Times New Roman"/>
                <w:sz w:val="15"/>
                <w:szCs w:val="15"/>
                <w:color w:val="auto"/>
              </w:rPr>
              <w:t>Loss on change in fair value of forward repurchase contract</w:t>
            </w: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(34,752)</w:t>
            </w:r>
          </w:p>
        </w:tc>
        <w:tc>
          <w:tcPr>
            <w:tcW w:w="1080" w:type="dxa"/>
            <w:vAlign w:val="bottom"/>
            <w:gridSpan w:val="2"/>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(4.8)%</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34,752</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160"/>
        </w:trPr>
        <w:tc>
          <w:tcPr>
            <w:tcW w:w="4180" w:type="dxa"/>
            <w:vAlign w:val="bottom"/>
          </w:tcPr>
          <w:p>
            <w:pPr>
              <w:ind w:left="100"/>
              <w:spacing w:after="0" w:line="161" w:lineRule="exact"/>
              <w:rPr>
                <w:sz w:val="20"/>
                <w:szCs w:val="20"/>
                <w:color w:val="auto"/>
              </w:rPr>
            </w:pPr>
            <w:r>
              <w:rPr>
                <w:rFonts w:ascii="Times New Roman" w:cs="Times New Roman" w:eastAsia="Times New Roman" w:hAnsi="Times New Roman"/>
                <w:sz w:val="15"/>
                <w:szCs w:val="15"/>
                <w:color w:val="auto"/>
              </w:rPr>
              <w:t>Other income (expense), net</w:t>
            </w: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579</w:t>
            </w:r>
          </w:p>
        </w:tc>
        <w:tc>
          <w:tcPr>
            <w:tcW w:w="1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(1,304)</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1,883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(144.4)%</w:t>
            </w:r>
          </w:p>
        </w:tc>
        <w:tc>
          <w:tcPr>
            <w:tcW w:w="0" w:type="dxa"/>
            <w:vAlign w:val="bottom"/>
          </w:tcPr>
          <w:p>
            <w:pPr>
              <w:spacing w:after="0"/>
              <w:rPr>
                <w:sz w:val="1"/>
                <w:szCs w:val="1"/>
                <w:color w:val="auto"/>
              </w:rPr>
            </w:pPr>
          </w:p>
        </w:tc>
      </w:tr>
      <w:tr>
        <w:trPr>
          <w:trHeight w:val="154"/>
        </w:trPr>
        <w:tc>
          <w:tcPr>
            <w:tcW w:w="4180" w:type="dxa"/>
            <w:vAlign w:val="bottom"/>
            <w:shd w:val="clear" w:color="auto" w:fill="CFF0FC"/>
          </w:tcPr>
          <w:p>
            <w:pPr>
              <w:spacing w:after="0" w:line="154" w:lineRule="exact"/>
              <w:rPr>
                <w:sz w:val="20"/>
                <w:szCs w:val="20"/>
                <w:color w:val="auto"/>
              </w:rPr>
            </w:pPr>
            <w:r>
              <w:rPr>
                <w:rFonts w:ascii="Times New Roman" w:cs="Times New Roman" w:eastAsia="Times New Roman" w:hAnsi="Times New Roman"/>
                <w:sz w:val="15"/>
                <w:szCs w:val="15"/>
                <w:color w:val="auto"/>
              </w:rPr>
              <w:t>Loss before income taxes</w:t>
            </w: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4" w:lineRule="exact"/>
              <w:rPr>
                <w:sz w:val="20"/>
                <w:szCs w:val="20"/>
                <w:color w:val="auto"/>
              </w:rPr>
            </w:pPr>
            <w:r>
              <w:rPr>
                <w:rFonts w:ascii="Times New Roman" w:cs="Times New Roman" w:eastAsia="Times New Roman" w:hAnsi="Times New Roman"/>
                <w:sz w:val="15"/>
                <w:szCs w:val="15"/>
                <w:color w:val="auto"/>
              </w:rPr>
              <w:t>(14,901)</w:t>
            </w:r>
          </w:p>
        </w:tc>
        <w:tc>
          <w:tcPr>
            <w:tcW w:w="1080" w:type="dxa"/>
            <w:vAlign w:val="bottom"/>
            <w:gridSpan w:val="2"/>
            <w:shd w:val="clear" w:color="auto" w:fill="CFF0FC"/>
          </w:tcPr>
          <w:p>
            <w:pPr>
              <w:jc w:val="right"/>
              <w:spacing w:after="0" w:line="154" w:lineRule="exact"/>
              <w:rPr>
                <w:sz w:val="20"/>
                <w:szCs w:val="20"/>
                <w:color w:val="auto"/>
              </w:rPr>
            </w:pPr>
            <w:r>
              <w:rPr>
                <w:rFonts w:ascii="Times New Roman" w:cs="Times New Roman" w:eastAsia="Times New Roman" w:hAnsi="Times New Roman"/>
                <w:sz w:val="15"/>
                <w:szCs w:val="15"/>
                <w:color w:val="auto"/>
              </w:rPr>
              <w:t>(1.7)%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4" w:lineRule="exact"/>
              <w:rPr>
                <w:sz w:val="20"/>
                <w:szCs w:val="20"/>
                <w:color w:val="auto"/>
              </w:rPr>
            </w:pPr>
            <w:r>
              <w:rPr>
                <w:rFonts w:ascii="Times New Roman" w:cs="Times New Roman" w:eastAsia="Times New Roman" w:hAnsi="Times New Roman"/>
                <w:sz w:val="15"/>
                <w:szCs w:val="15"/>
                <w:color w:val="auto"/>
              </w:rPr>
              <w:t>(85,696)</w:t>
            </w:r>
          </w:p>
        </w:tc>
        <w:tc>
          <w:tcPr>
            <w:tcW w:w="1080" w:type="dxa"/>
            <w:vAlign w:val="bottom"/>
            <w:gridSpan w:val="2"/>
            <w:shd w:val="clear" w:color="auto" w:fill="CFF0FC"/>
          </w:tcPr>
          <w:p>
            <w:pPr>
              <w:jc w:val="right"/>
              <w:spacing w:after="0" w:line="154" w:lineRule="exact"/>
              <w:rPr>
                <w:sz w:val="20"/>
                <w:szCs w:val="20"/>
                <w:color w:val="auto"/>
              </w:rPr>
            </w:pPr>
            <w:r>
              <w:rPr>
                <w:rFonts w:ascii="Times New Roman" w:cs="Times New Roman" w:eastAsia="Times New Roman" w:hAnsi="Times New Roman"/>
                <w:sz w:val="15"/>
                <w:szCs w:val="15"/>
                <w:color w:val="auto"/>
              </w:rPr>
              <w:t>(11.8)%</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44"/>
              <w:spacing w:after="0" w:line="154" w:lineRule="exact"/>
              <w:rPr>
                <w:sz w:val="20"/>
                <w:szCs w:val="20"/>
                <w:color w:val="auto"/>
              </w:rPr>
            </w:pPr>
            <w:r>
              <w:rPr>
                <w:rFonts w:ascii="Times New Roman" w:cs="Times New Roman" w:eastAsia="Times New Roman" w:hAnsi="Times New Roman"/>
                <w:sz w:val="15"/>
                <w:szCs w:val="15"/>
                <w:color w:val="auto"/>
              </w:rPr>
              <w:t>70,795</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4" w:lineRule="exact"/>
              <w:rPr>
                <w:sz w:val="20"/>
                <w:szCs w:val="20"/>
                <w:color w:val="auto"/>
              </w:rPr>
            </w:pPr>
            <w:r>
              <w:rPr>
                <w:rFonts w:ascii="Times New Roman" w:cs="Times New Roman" w:eastAsia="Times New Roman" w:hAnsi="Times New Roman"/>
                <w:sz w:val="15"/>
                <w:szCs w:val="15"/>
                <w:color w:val="auto"/>
              </w:rPr>
              <w:t>(82.6)%</w:t>
            </w:r>
          </w:p>
        </w:tc>
        <w:tc>
          <w:tcPr>
            <w:tcW w:w="0" w:type="dxa"/>
            <w:vAlign w:val="bottom"/>
          </w:tcPr>
          <w:p>
            <w:pPr>
              <w:spacing w:after="0"/>
              <w:rPr>
                <w:sz w:val="1"/>
                <w:szCs w:val="1"/>
                <w:color w:val="auto"/>
              </w:rPr>
            </w:pPr>
          </w:p>
        </w:tc>
      </w:tr>
      <w:tr>
        <w:trPr>
          <w:trHeight w:val="160"/>
        </w:trPr>
        <w:tc>
          <w:tcPr>
            <w:tcW w:w="4180" w:type="dxa"/>
            <w:vAlign w:val="bottom"/>
          </w:tcPr>
          <w:p>
            <w:pPr>
              <w:ind w:left="180"/>
              <w:spacing w:after="0" w:line="161" w:lineRule="exact"/>
              <w:rPr>
                <w:sz w:val="20"/>
                <w:szCs w:val="20"/>
                <w:color w:val="auto"/>
              </w:rPr>
            </w:pPr>
            <w:r>
              <w:rPr>
                <w:rFonts w:ascii="Times New Roman" w:cs="Times New Roman" w:eastAsia="Times New Roman" w:hAnsi="Times New Roman"/>
                <w:sz w:val="15"/>
                <w:szCs w:val="15"/>
                <w:color w:val="auto"/>
              </w:rPr>
              <w:t>Income tax benefit</w:t>
            </w: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(248)</w:t>
            </w:r>
          </w:p>
        </w:tc>
        <w:tc>
          <w:tcPr>
            <w:tcW w:w="1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(0.0)%</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(12,933)</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(1.8)%</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12,685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(98.1)%</w:t>
            </w:r>
          </w:p>
        </w:tc>
        <w:tc>
          <w:tcPr>
            <w:tcW w:w="0" w:type="dxa"/>
            <w:vAlign w:val="bottom"/>
          </w:tcPr>
          <w:p>
            <w:pPr>
              <w:spacing w:after="0"/>
              <w:rPr>
                <w:sz w:val="1"/>
                <w:szCs w:val="1"/>
                <w:color w:val="auto"/>
              </w:rPr>
            </w:pPr>
          </w:p>
        </w:tc>
      </w:tr>
      <w:tr>
        <w:trPr>
          <w:trHeight w:val="154"/>
        </w:trPr>
        <w:tc>
          <w:tcPr>
            <w:tcW w:w="4180" w:type="dxa"/>
            <w:vAlign w:val="bottom"/>
            <w:shd w:val="clear" w:color="auto" w:fill="CFF0FC"/>
          </w:tcPr>
          <w:p>
            <w:pPr>
              <w:spacing w:after="0" w:line="154" w:lineRule="exact"/>
              <w:rPr>
                <w:sz w:val="20"/>
                <w:szCs w:val="20"/>
                <w:color w:val="auto"/>
              </w:rPr>
            </w:pPr>
            <w:r>
              <w:rPr>
                <w:rFonts w:ascii="Times New Roman" w:cs="Times New Roman" w:eastAsia="Times New Roman" w:hAnsi="Times New Roman"/>
                <w:sz w:val="15"/>
                <w:szCs w:val="15"/>
                <w:color w:val="auto"/>
              </w:rPr>
              <w:t>Net loss</w:t>
            </w: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4" w:lineRule="exact"/>
              <w:rPr>
                <w:sz w:val="20"/>
                <w:szCs w:val="20"/>
                <w:color w:val="auto"/>
              </w:rPr>
            </w:pPr>
            <w:r>
              <w:rPr>
                <w:rFonts w:ascii="Times New Roman" w:cs="Times New Roman" w:eastAsia="Times New Roman" w:hAnsi="Times New Roman"/>
                <w:sz w:val="15"/>
                <w:szCs w:val="15"/>
                <w:color w:val="auto"/>
              </w:rPr>
              <w:t>(14,653)</w:t>
            </w:r>
          </w:p>
        </w:tc>
        <w:tc>
          <w:tcPr>
            <w:tcW w:w="1080" w:type="dxa"/>
            <w:vAlign w:val="bottom"/>
            <w:gridSpan w:val="2"/>
            <w:shd w:val="clear" w:color="auto" w:fill="CFF0FC"/>
          </w:tcPr>
          <w:p>
            <w:pPr>
              <w:jc w:val="right"/>
              <w:spacing w:after="0" w:line="154" w:lineRule="exact"/>
              <w:rPr>
                <w:sz w:val="20"/>
                <w:szCs w:val="20"/>
                <w:color w:val="auto"/>
              </w:rPr>
            </w:pPr>
            <w:r>
              <w:rPr>
                <w:rFonts w:ascii="Times New Roman" w:cs="Times New Roman" w:eastAsia="Times New Roman" w:hAnsi="Times New Roman"/>
                <w:sz w:val="15"/>
                <w:szCs w:val="15"/>
                <w:color w:val="auto"/>
              </w:rPr>
              <w:t>(1.6)%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4" w:lineRule="exact"/>
              <w:rPr>
                <w:sz w:val="20"/>
                <w:szCs w:val="20"/>
                <w:color w:val="auto"/>
              </w:rPr>
            </w:pPr>
            <w:r>
              <w:rPr>
                <w:rFonts w:ascii="Times New Roman" w:cs="Times New Roman" w:eastAsia="Times New Roman" w:hAnsi="Times New Roman"/>
                <w:sz w:val="15"/>
                <w:szCs w:val="15"/>
                <w:color w:val="auto"/>
              </w:rPr>
              <w:t>(72,763)</w:t>
            </w:r>
          </w:p>
        </w:tc>
        <w:tc>
          <w:tcPr>
            <w:tcW w:w="1080" w:type="dxa"/>
            <w:vAlign w:val="bottom"/>
            <w:gridSpan w:val="2"/>
            <w:shd w:val="clear" w:color="auto" w:fill="CFF0FC"/>
          </w:tcPr>
          <w:p>
            <w:pPr>
              <w:jc w:val="right"/>
              <w:spacing w:after="0" w:line="154" w:lineRule="exact"/>
              <w:rPr>
                <w:sz w:val="20"/>
                <w:szCs w:val="20"/>
                <w:color w:val="auto"/>
              </w:rPr>
            </w:pPr>
            <w:r>
              <w:rPr>
                <w:rFonts w:ascii="Times New Roman" w:cs="Times New Roman" w:eastAsia="Times New Roman" w:hAnsi="Times New Roman"/>
                <w:sz w:val="15"/>
                <w:szCs w:val="15"/>
                <w:color w:val="auto"/>
              </w:rPr>
              <w:t>(10.0)%</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44"/>
              <w:spacing w:after="0" w:line="154" w:lineRule="exact"/>
              <w:rPr>
                <w:sz w:val="20"/>
                <w:szCs w:val="20"/>
                <w:color w:val="auto"/>
              </w:rPr>
            </w:pPr>
            <w:r>
              <w:rPr>
                <w:rFonts w:ascii="Times New Roman" w:cs="Times New Roman" w:eastAsia="Times New Roman" w:hAnsi="Times New Roman"/>
                <w:sz w:val="15"/>
                <w:szCs w:val="15"/>
                <w:color w:val="auto"/>
              </w:rPr>
              <w:t>58,110</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4" w:lineRule="exact"/>
              <w:rPr>
                <w:sz w:val="20"/>
                <w:szCs w:val="20"/>
                <w:color w:val="auto"/>
              </w:rPr>
            </w:pPr>
            <w:r>
              <w:rPr>
                <w:rFonts w:ascii="Times New Roman" w:cs="Times New Roman" w:eastAsia="Times New Roman" w:hAnsi="Times New Roman"/>
                <w:sz w:val="15"/>
                <w:szCs w:val="15"/>
                <w:color w:val="auto"/>
              </w:rPr>
              <w:t>(79.9)%</w:t>
            </w:r>
          </w:p>
        </w:tc>
        <w:tc>
          <w:tcPr>
            <w:tcW w:w="0" w:type="dxa"/>
            <w:vAlign w:val="bottom"/>
          </w:tcPr>
          <w:p>
            <w:pPr>
              <w:spacing w:after="0"/>
              <w:rPr>
                <w:sz w:val="1"/>
                <w:szCs w:val="1"/>
                <w:color w:val="auto"/>
              </w:rPr>
            </w:pPr>
          </w:p>
        </w:tc>
      </w:tr>
      <w:tr>
        <w:trPr>
          <w:trHeight w:val="160"/>
        </w:trPr>
        <w:tc>
          <w:tcPr>
            <w:tcW w:w="418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Net income attributable to non-controlling interests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244</w:t>
            </w:r>
          </w:p>
        </w:tc>
        <w:tc>
          <w:tcPr>
            <w:tcW w:w="108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color w:val="auto"/>
              </w:rPr>
              <w:t>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247</w:t>
            </w:r>
          </w:p>
        </w:tc>
        <w:tc>
          <w:tcPr>
            <w:tcW w:w="1080" w:type="dxa"/>
            <w:vAlign w:val="bottom"/>
            <w:gridSpan w:val="2"/>
          </w:tcPr>
          <w:p>
            <w:pPr>
              <w:jc w:val="right"/>
              <w:ind w:right="4"/>
              <w:spacing w:after="0" w:line="161" w:lineRule="exact"/>
              <w:rPr>
                <w:sz w:val="20"/>
                <w:szCs w:val="20"/>
                <w:color w:val="auto"/>
              </w:rPr>
            </w:pPr>
            <w:r>
              <w:rPr>
                <w:rFonts w:ascii="Times New Roman" w:cs="Times New Roman" w:eastAsia="Times New Roman" w:hAnsi="Times New Roman"/>
                <w:sz w:val="15"/>
                <w:szCs w:val="15"/>
                <w:color w:val="auto"/>
              </w:rPr>
              <w:t>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94"/>
        </w:trPr>
        <w:tc>
          <w:tcPr>
            <w:tcW w:w="4180" w:type="dxa"/>
            <w:vAlign w:val="bottom"/>
            <w:tcBorders>
              <w:bottom w:val="single" w:sz="8" w:color="CFF0FC"/>
            </w:tcBorders>
            <w:shd w:val="clear" w:color="auto" w:fill="CFF0FC"/>
          </w:tcPr>
          <w:p>
            <w:pPr>
              <w:spacing w:after="0" w:line="154" w:lineRule="exact"/>
              <w:rPr>
                <w:sz w:val="20"/>
                <w:szCs w:val="20"/>
                <w:color w:val="auto"/>
              </w:rPr>
            </w:pPr>
            <w:r>
              <w:rPr>
                <w:rFonts w:ascii="Times New Roman" w:cs="Times New Roman" w:eastAsia="Times New Roman" w:hAnsi="Times New Roman"/>
                <w:sz w:val="15"/>
                <w:szCs w:val="15"/>
                <w:color w:val="auto"/>
              </w:rPr>
              <w:t>Net loss attributable to Allegro MicroSystems, Inc.</w:t>
            </w:r>
          </w:p>
        </w:tc>
        <w:tc>
          <w:tcPr>
            <w:tcW w:w="4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5"/>
                <w:szCs w:val="15"/>
                <w:color w:val="auto"/>
              </w:rPr>
              <w:t>(14,897)</w:t>
            </w:r>
          </w:p>
        </w:tc>
        <w:tc>
          <w:tcPr>
            <w:tcW w:w="1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5"/>
                <w:szCs w:val="15"/>
                <w:color w:val="auto"/>
              </w:rPr>
              <w:t>(1.7)%</w:t>
            </w: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5"/>
                <w:szCs w:val="15"/>
                <w:color w:val="auto"/>
              </w:rPr>
              <w:t>(73,010)</w:t>
            </w:r>
          </w:p>
        </w:tc>
        <w:tc>
          <w:tcPr>
            <w:tcW w:w="10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Times New Roman" w:cs="Times New Roman" w:eastAsia="Times New Roman" w:hAnsi="Times New Roman"/>
                <w:sz w:val="15"/>
                <w:szCs w:val="15"/>
                <w:color w:val="auto"/>
              </w:rPr>
              <w:t>(10.1)%</w:t>
            </w:r>
          </w:p>
        </w:tc>
        <w:tc>
          <w:tcPr>
            <w:tcW w:w="1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jc w:val="right"/>
              <w:ind w:right="64"/>
              <w:spacing w:after="0" w:line="141"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FF0FC"/>
          </w:tcPr>
          <w:p>
            <w:pPr>
              <w:jc w:val="right"/>
              <w:ind w:right="44"/>
              <w:spacing w:after="0" w:line="141" w:lineRule="exact"/>
              <w:rPr>
                <w:sz w:val="20"/>
                <w:szCs w:val="20"/>
                <w:color w:val="auto"/>
              </w:rPr>
            </w:pPr>
            <w:r>
              <w:rPr>
                <w:rFonts w:ascii="Times New Roman" w:cs="Times New Roman" w:eastAsia="Times New Roman" w:hAnsi="Times New Roman"/>
                <w:sz w:val="15"/>
                <w:szCs w:val="15"/>
                <w:color w:val="auto"/>
              </w:rPr>
              <w:t>58,113</w:t>
            </w:r>
          </w:p>
        </w:tc>
        <w:tc>
          <w:tcPr>
            <w:tcW w:w="1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jc w:val="right"/>
              <w:spacing w:after="0" w:line="154" w:lineRule="exact"/>
              <w:rPr>
                <w:sz w:val="20"/>
                <w:szCs w:val="20"/>
                <w:color w:val="auto"/>
              </w:rPr>
            </w:pPr>
            <w:r>
              <w:rPr>
                <w:rFonts w:ascii="Times New Roman" w:cs="Times New Roman" w:eastAsia="Times New Roman" w:hAnsi="Times New Roman"/>
                <w:sz w:val="15"/>
                <w:szCs w:val="15"/>
                <w:color w:val="auto"/>
              </w:rPr>
              <w:t>(79.6)%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-1494155</wp:posOffset>
            </wp:positionV>
            <wp:extent cx="679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-1494155</wp:posOffset>
            </wp:positionV>
            <wp:extent cx="679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-1494155</wp:posOffset>
            </wp:positionV>
            <wp:extent cx="679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-1494155</wp:posOffset>
            </wp:positionV>
            <wp:extent cx="679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-1494155</wp:posOffset>
            </wp:positionV>
            <wp:extent cx="679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-24765</wp:posOffset>
            </wp:positionV>
            <wp:extent cx="679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-7620</wp:posOffset>
            </wp:positionV>
            <wp:extent cx="679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-24765</wp:posOffset>
            </wp:positionV>
            <wp:extent cx="679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-7620</wp:posOffset>
            </wp:positionV>
            <wp:extent cx="679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-24765</wp:posOffset>
            </wp:positionV>
            <wp:extent cx="679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-7620</wp:posOffset>
            </wp:positionV>
            <wp:extent cx="679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-24765</wp:posOffset>
            </wp:positionV>
            <wp:extent cx="679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-7620</wp:posOffset>
            </wp:positionV>
            <wp:extent cx="679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79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79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net sales</w:t>
      </w:r>
    </w:p>
    <w:p>
      <w:pPr>
        <w:spacing w:after="0" w:line="118" w:lineRule="exact"/>
        <w:rPr>
          <w:sz w:val="20"/>
          <w:szCs w:val="20"/>
          <w:color w:val="auto"/>
        </w:rPr>
      </w:pPr>
    </w:p>
    <w:p>
      <w:pPr>
        <w:jc w:val="both"/>
        <w:ind w:firstLine="569"/>
        <w:spacing w:after="0" w:line="285" w:lineRule="auto"/>
        <w:rPr>
          <w:sz w:val="20"/>
          <w:szCs w:val="20"/>
          <w:color w:val="auto"/>
        </w:rPr>
      </w:pPr>
      <w:r>
        <w:rPr>
          <w:rFonts w:ascii="Times New Roman" w:cs="Times New Roman" w:eastAsia="Times New Roman" w:hAnsi="Times New Roman"/>
          <w:sz w:val="17"/>
          <w:szCs w:val="17"/>
          <w:color w:val="auto"/>
        </w:rPr>
        <w:t>Total net sales increased primarily driven by Focus Auto products, which include ADAS and xEV components, data center applications, industrial automation and robotics products, medical applications, internal combustion engine products, clean energy applications and safety, comfort and convenience applications, partially offset by a decrease in consumer products, broad-based industrial products and personal and industrial transport products.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 by Market</w:t>
      </w:r>
    </w:p>
    <w:p>
      <w:pPr>
        <w:spacing w:after="0" w:line="116"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The following table summarizes total net sales by market. The categorization of net sales by market is based on the characteristics of the end product and application into which our product will be designed.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6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ind w:right="281"/>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ind w:right="301"/>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vMerge w:val="restart"/>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2"/>
        </w:trPr>
        <w:tc>
          <w:tcPr>
            <w:tcW w:w="3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6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20" w:type="dxa"/>
            <w:vAlign w:val="bottom"/>
          </w:tcPr>
          <w:p>
            <w:pPr>
              <w:spacing w:after="0"/>
              <w:rPr>
                <w:sz w:val="12"/>
                <w:szCs w:val="12"/>
                <w:color w:val="auto"/>
              </w:rPr>
            </w:pPr>
          </w:p>
        </w:tc>
        <w:tc>
          <w:tcPr>
            <w:tcW w:w="122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2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628,561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535,205</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93,356</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Industrial and other</w:t>
            </w:r>
          </w:p>
        </w:tc>
        <w:tc>
          <w:tcPr>
            <w:tcW w:w="2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261,535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189,801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71,734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27"/>
        </w:trPr>
        <w:tc>
          <w:tcPr>
            <w:tcW w:w="3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890,096</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725,006</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165,090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-24765</wp:posOffset>
            </wp:positionV>
            <wp:extent cx="850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850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-24765</wp:posOffset>
            </wp:positionV>
            <wp:extent cx="850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-7620</wp:posOffset>
            </wp:positionV>
            <wp:extent cx="850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-24765</wp:posOffset>
            </wp:positionV>
            <wp:extent cx="679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-7620</wp:posOffset>
            </wp:positionV>
            <wp:extent cx="679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69"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Automotive net sales increased primarily due to an increase in demand for Focus Auto products, which include ADAS and xEV components, as well as our internal combustion engine products and safety, comfort and convenience applications.</w:t>
      </w:r>
    </w:p>
    <w:p>
      <w:pPr>
        <w:spacing w:after="0" w:line="55"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Industrial and other net sales increased primarily due to an increase in demand for data center applications, industrial automation and robotics products, medical applications and clean energy applications, partially offset by a decrease in consumer products, broad-based industrial products and personal and industrial transport products.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Net Sales by Product</w:t>
      </w:r>
    </w:p>
    <w:p>
      <w:pPr>
        <w:spacing w:after="0" w:line="1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net sales by product.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1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ind w:right="281"/>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ind w:right="301"/>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vMerge w:val="restart"/>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20" w:type="dxa"/>
            <w:vAlign w:val="bottom"/>
          </w:tcPr>
          <w:p>
            <w:pPr>
              <w:spacing w:after="0"/>
              <w:rPr>
                <w:sz w:val="12"/>
                <w:szCs w:val="12"/>
                <w:color w:val="auto"/>
              </w:rPr>
            </w:pPr>
          </w:p>
        </w:tc>
        <w:tc>
          <w:tcPr>
            <w:tcW w:w="122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Magnetic sensors (“MS”)</w:t>
            </w:r>
          </w:p>
        </w:tc>
        <w:tc>
          <w:tcPr>
            <w:tcW w:w="1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538,538</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474,557</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63,981</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Power integrated circuits (“PIC”)</w:t>
            </w:r>
          </w:p>
        </w:tc>
        <w:tc>
          <w:tcPr>
            <w:tcW w:w="1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351,558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250,449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101,109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7"/>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890,096</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725,006</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165,090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-24765</wp:posOffset>
            </wp:positionV>
            <wp:extent cx="850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850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-24765</wp:posOffset>
            </wp:positionV>
            <wp:extent cx="850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-7620</wp:posOffset>
            </wp:positionV>
            <wp:extent cx="850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-24765</wp:posOffset>
            </wp:positionV>
            <wp:extent cx="679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-7620</wp:posOffset>
            </wp:positionV>
            <wp:extent cx="679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82"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The increase in MS was primarily due to an increase in demand for our current and isolator products, magnetic speed sensors, TMR sensor solutions and magnetic position sensors. The increase in PIC sales was primarily driven by a demand for our motor and high performance power products.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 by Geographic Location</w:t>
      </w:r>
    </w:p>
    <w:p>
      <w:pPr>
        <w:spacing w:after="0" w:line="1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net sales by geographic location based on ship-to location.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right"/>
              <w:ind w:right="276"/>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right"/>
              <w:ind w:right="276"/>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vMerge w:val="restart"/>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2"/>
        </w:trPr>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7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2"/>
                <w:szCs w:val="12"/>
                <w:color w:val="auto"/>
              </w:rPr>
            </w:pPr>
          </w:p>
        </w:tc>
        <w:tc>
          <w:tcPr>
            <w:tcW w:w="122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91,412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92,458</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4"/>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Americas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41,778</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24,851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16,927</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120,562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106,726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13,836</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Asia:</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Greater China</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249,417</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183,033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66,384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4"/>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80" w:type="dxa"/>
            <w:vAlign w:val="bottom"/>
          </w:tcPr>
          <w:p>
            <w:pPr>
              <w:spacing w:after="0"/>
              <w:rPr>
                <w:sz w:val="18"/>
                <w:szCs w:val="18"/>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150,946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153,842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4"/>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South Korea</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77,976</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73,702</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4"/>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Asia</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158,005</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90,394</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67,611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27"/>
        </w:trPr>
        <w:tc>
          <w:tcPr>
            <w:tcW w:w="5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890,096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725,006</w:t>
            </w:r>
          </w:p>
        </w:tc>
        <w:tc>
          <w:tcPr>
            <w:tcW w:w="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165,090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4437380</wp:posOffset>
            </wp:positionH>
            <wp:positionV relativeFrom="paragraph">
              <wp:posOffset>-24765</wp:posOffset>
            </wp:positionV>
            <wp:extent cx="850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-7620</wp:posOffset>
            </wp:positionV>
            <wp:extent cx="850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-24765</wp:posOffset>
            </wp:positionV>
            <wp:extent cx="850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-7620</wp:posOffset>
            </wp:positionV>
            <wp:extent cx="850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-24765</wp:posOffset>
            </wp:positionV>
            <wp:extent cx="679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-7620</wp:posOffset>
            </wp:positionV>
            <wp:extent cx="679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89"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Other Asia net sales increased in data center applications, medical applications and safety, comfort and convenience applications, partially offset by a decrease in consumer products. Greater China net sales increased primarily driven by ADAS and xEV components, industrial automation and robotics products, safety, comfort and convenience applications and data center applications, partially offset by a decrease in consumer products. Other Americas net sales increased in both Automotive and Industrial and Other applications, primarily in ADAS components and clean energy applications. Europe net sales increased primarily in Automotive markets, driven by ADAS and xEV components, as well as growth in industrial automation and robotics and internal combustion engine products, partially offset by decreases in consumer products, clean energy applications, and safety, comfort and convenience applications. South Korea net sales increased primarily in xEV components and safety, comfort and convenience applications, partially offset by a decrease in ADAS components. Japan net sales declined primarily in personal and industrial transport products, and safety, comfort and convenience applications, partially offset by an increase in data center applications and ADAS components.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gross profit and gross margin</w:t>
      </w:r>
    </w:p>
    <w:p>
      <w:pPr>
        <w:spacing w:after="0" w:line="118" w:lineRule="exact"/>
        <w:rPr>
          <w:sz w:val="20"/>
          <w:szCs w:val="20"/>
          <w:color w:val="auto"/>
        </w:rPr>
      </w:pPr>
    </w:p>
    <w:p>
      <w:pPr>
        <w:jc w:val="both"/>
        <w:ind w:right="20" w:firstLine="569"/>
        <w:spacing w:after="0" w:line="278" w:lineRule="auto"/>
        <w:rPr>
          <w:sz w:val="20"/>
          <w:szCs w:val="20"/>
          <w:color w:val="auto"/>
        </w:rPr>
      </w:pPr>
      <w:r>
        <w:rPr>
          <w:rFonts w:ascii="Times New Roman" w:cs="Times New Roman" w:eastAsia="Times New Roman" w:hAnsi="Times New Roman"/>
          <w:sz w:val="18"/>
          <w:szCs w:val="18"/>
          <w:color w:val="auto"/>
        </w:rPr>
        <w:t>Cost of goods sold increased in the fiscal year ended March 27, 2026 compared to the fiscal year ended March 28, 2025. The increase in cost of goods sold was primarily due to higher production volume in support of higher product sales and increase in materials and commodity costs.</w:t>
      </w:r>
    </w:p>
    <w:p>
      <w:pPr>
        <w:spacing w:after="0" w:line="55"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Gross profit increased in the fiscal year ended March 27, 2026 compared to the fiscal year ended March 28, 2025, primarily due to the increase in net sales and a change in product mix.</w:t>
      </w:r>
    </w:p>
    <w:p>
      <w:pPr>
        <w:spacing w:after="0" w:line="55"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Gross margin was 46.3% and 44.3% for the fiscal years ended March 27, 2026 and March 28, 2025, respectively. The increase was primarily due to the increase in net sales and a change in product mix.</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R&amp;D expenses</w:t>
      </w:r>
    </w:p>
    <w:p>
      <w:pPr>
        <w:spacing w:after="0" w:line="11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R&amp;D expenses increased in the fiscal year ended March 27, 2026 compared to the fiscal year ended March 28, 2025. This increase was primarily due to an increase in personnel costs, including the funding of the annual incentive program.</w:t>
      </w:r>
    </w:p>
    <w:p>
      <w:pPr>
        <w:spacing w:after="0" w:line="55"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R&amp;D expenses represented 23.1% of our total net sales for the fiscal year ended March 27, 2026, a decrease from 24.8% of our total net sales for the fiscal year ended March 28, 2025. The decrease as a percentage of total net sales was primarily due to the increase in net sales, partially offset by an increase in the funding of the annual incentive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SG&amp;A expenses</w:t>
      </w:r>
    </w:p>
    <w:p>
      <w:pPr>
        <w:spacing w:after="0" w:line="11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SG&amp;A expenses increased in the fiscal year ended March 27, 2026 compared to the fiscal year ended March 28, 2025. This increase was primarily due to an increase in personnel costs, including the funding of the annual incentive program, outside services and legal fees.</w:t>
      </w:r>
    </w:p>
    <w:p>
      <w:pPr>
        <w:spacing w:after="0" w:line="55"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SG&amp;A expenses represented 20.3% of our total net sales for the fiscal year ended March 27, 2026, representing a decrease from 22.3% of our total net sales for the fiscal year ended March 28, 2025. The decrease as a percentage of total net sales was primarily due to the increase in net sales, partially offset by an increase in the funding of the annual incentive program, outside services and legal fees.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 held for sale</w:t>
      </w:r>
    </w:p>
    <w:p>
      <w:pPr>
        <w:spacing w:after="0" w:line="11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We recorded an impairment of assets held for sale in the fiscal year ended March 27, 2026. We determined that the carrying value of these assets exceeded their fair value, less costs to sell.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8" w:lineRule="exact"/>
        <w:rPr>
          <w:sz w:val="20"/>
          <w:szCs w:val="20"/>
          <w:color w:val="auto"/>
        </w:rPr>
      </w:pPr>
    </w:p>
    <w:p>
      <w:pPr>
        <w:jc w:val="both"/>
        <w:ind w:right="20" w:firstLine="569"/>
        <w:spacing w:after="0" w:line="278" w:lineRule="auto"/>
        <w:rPr>
          <w:sz w:val="20"/>
          <w:szCs w:val="20"/>
          <w:color w:val="auto"/>
        </w:rPr>
      </w:pPr>
      <w:r>
        <w:rPr>
          <w:rFonts w:ascii="Times New Roman" w:cs="Times New Roman" w:eastAsia="Times New Roman" w:hAnsi="Times New Roman"/>
          <w:sz w:val="18"/>
          <w:szCs w:val="18"/>
          <w:color w:val="auto"/>
        </w:rPr>
        <w:t>Interest expense decreased in the fiscal year ended March 27, 2026 compared to the fiscal year ended March 28, 2025. The decrease was primarily due to the voluntary payments applied to the outstanding balance of our Term Loan Facility.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Interest income decreased in the fiscal year ended March 27, 2026 compared to the fiscal year ended March 28, 2025, primarily due to reduced average excess cash balances year over year and lower interest rates realized during the year.</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 (loss) gain</w:t>
      </w:r>
    </w:p>
    <w:p>
      <w:pPr>
        <w:spacing w:after="0" w:line="11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We recorded a foreign currency transaction loss in both fiscal years ended March 27, 2026 and March 28, 2025. The foreign currency transaction loss recorded in the fiscal year ended March 27, 2026 was primarily due to the U.S. Dollar weakening against various currencies, including the Euro and the Philippine Peso. The foreign currency transaction loss recorded in the fiscal year ended March 28, 2025 was primarily due to realized and unrealized losses from our Philippine locations.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income in earnings of equity investment</w:t>
      </w:r>
    </w:p>
    <w:p>
      <w:pPr>
        <w:spacing w:after="0" w:line="11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(Loss) income in earnings of equity investment reflected loss of $9.4 million and income of $1.2 million in the fiscal years ended March 27, 2026 and March 28, 2025, respectively, related to our equity investment in PSL (PSL Parent following its recapitalization in September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change in fair value of forward repurchase contract</w:t>
      </w:r>
    </w:p>
    <w:p>
      <w:pPr>
        <w:spacing w:after="0" w:line="11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We recorded a loss on the change in fair value of a forward repurchase contract in the fiscal year ended March 28, 2025, primarily due to the various settlement dates under the Share Repurchase Agreement with Sanken.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We recorded $1.4 million of gains related to earnings in our money market fund deposits, partially offset by other expense of $0.8 million in the fiscal year ended March 27, 2026. We recorded a net loss of $2.8 million as a result of the PSL Closing in the fiscal year ended March 28, 2025 related to the difference between the selling price per share and its carrying amount per share and after a gain from the conversion of PSL Promissory Notes that we held, partially offset by $1.6 million of gains related to earnings in our money market fund deposits.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provision</w:t>
      </w:r>
    </w:p>
    <w:p>
      <w:pPr>
        <w:spacing w:after="0" w:line="11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For the fiscal years ended March 27, 2026 and March 28, 2025, our income tax benefits and the ETR was $(0.2) million and 1.7%, and $(12.9) million and 15.1%, respectively. The ETR decrease primarily results from (i) lower pre-tax GAAP loss in the fiscal year ended March 27, 2026, which was driven in part, by the $34.8 million nondeductible loss on change in fair value of forward repurchase contract recorded in the fiscal year ended March 28, 2025 and (ii) the OBBB impacts described above in the “Components of Our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8"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As of March 27, 2026, we had $168.8 million of cash and cash equivalents and $357.7 million of working capital, compared to $121.3 million of cash and cash equivalents and $370.8 million of working capital as of March 28, 2025. Working capital is impacted by the timing and extent of our business needs.</w:t>
      </w:r>
    </w:p>
    <w:p>
      <w:pPr>
        <w:spacing w:after="0" w:line="68"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Our primary requirements for liquidity and capital resources besides our growth initiatives, are working capital, capital expenditures, principal and interest payments on our outstanding debt, and other general corporate needs. Historically, these cash requirements have been met through cash provided by operating activities and cash and cash equivalents. Our current capital deployment strategy for fiscal year 2027 is to utilize cash on hand and capacity under our revolving credit facility to support our continued growth initiatives into select markets and planned capital expenditures, as well as consider potential acquisitions. As of March 27, 2026, the Company was not party to any off-balance sheet arrangements that have had or are reasonably likely to have a current or future material effect on our financial condition, results of operations, liquidity, capital expenditures, or capital resources. The cash requirements for the upcoming fiscal year relate to our operating leases, operating and capital purchase commitments, and expected contributions to our defined benefit and contribution plans. Additionally, we expect to continue to strategically invest in expanding our operations in China, Europe, Japan and India in order to directly manage and service our customers in these markets, which could result in increases in our total net sales, cost of goods sold and operating expenses. For information regarding the Company’s expected cash requirements and timing of payments related to leases and noncancellable purchase commitments, see Note 12, “Leases” and Note 16, “Commitments and Contingencies” to the audited consolidated financial statements. See Note 15, “Retirement Plans” to the audited consolidated financial statements for more information related to the Company’s pension and defined contribution plans. Additionally, refer to Note 13, “Debt and Other Borrowings” for information regarding the Company’s management of our third-party debt capacity.</w:t>
      </w:r>
    </w:p>
    <w:p>
      <w:pPr>
        <w:spacing w:after="0" w:line="86"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We believe that our existing cash will be sufficient to finance our continued operations, growth strategy, planned capital expenditures and the additional expenses that we expect to incur during the next 12 months. In order to support and achieve our future growth plans, we may need or advantageously seek to obtain additional funding through equity or debt financing. We believe that our current operating structure will facilitate sufficient cash flows from operations to satisfy our expected long-term liquidity requirements beyond the next 12 months. If these resources are not sufficient to satisfy our liquidity requirements due to changes in circumstances, we may be required to borrow under our revolving credit facility or seek additional financing. If we raise additional funds by issuing equity securities that are not used to repurchase existing shares outstanding,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 Our ability to raise capital in the future may be limited and could prevent us from executing our growth strategy.” We made advance payments on our borrowings in the fiscal year ended March 28, 2025, which has eliminated future minimum quarterly payments.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Investing and Financing Activities</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fiscal years ended 2026 and 2025: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20" w:type="dxa"/>
            <w:vAlign w:val="bottom"/>
            <w:tcBorders>
              <w:bottom w:val="single" w:sz="8" w:color="auto"/>
            </w:tcBorders>
          </w:tcPr>
          <w:p>
            <w:pPr>
              <w:spacing w:after="0"/>
              <w:rPr>
                <w:sz w:val="14"/>
                <w:szCs w:val="14"/>
                <w:color w:val="auto"/>
              </w:rPr>
            </w:pPr>
          </w:p>
        </w:tc>
      </w:tr>
      <w:tr>
        <w:trPr>
          <w:trHeight w:val="116"/>
        </w:trPr>
        <w:tc>
          <w:tcPr>
            <w:tcW w:w="6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jc w:val="right"/>
              <w:ind w:right="499"/>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jc w:val="right"/>
              <w:ind w:right="497"/>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r>
      <w:tr>
        <w:trPr>
          <w:trHeight w:val="172"/>
        </w:trPr>
        <w:tc>
          <w:tcPr>
            <w:tcW w:w="6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0"/>
        </w:trPr>
        <w:tc>
          <w:tcPr>
            <w:tcW w:w="6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60" w:type="dxa"/>
            <w:vAlign w:val="bottom"/>
          </w:tcPr>
          <w:p>
            <w:pPr>
              <w:spacing w:after="0"/>
              <w:rPr>
                <w:sz w:val="12"/>
                <w:szCs w:val="12"/>
                <w:color w:val="auto"/>
              </w:rPr>
            </w:pPr>
          </w:p>
        </w:tc>
        <w:tc>
          <w:tcPr>
            <w:tcW w:w="16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thousands)</w:t>
            </w:r>
          </w:p>
        </w:tc>
      </w:tr>
      <w:tr>
        <w:trPr>
          <w:trHeight w:val="214"/>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163,069</w:t>
            </w:r>
          </w:p>
        </w:tc>
        <w:tc>
          <w:tcPr>
            <w:tcW w:w="6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61,913</w:t>
            </w:r>
          </w:p>
        </w:tc>
      </w:tr>
      <w:tr>
        <w:trPr>
          <w:trHeight w:val="21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(41,717)</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(40,816)</w:t>
            </w:r>
          </w:p>
        </w:tc>
      </w:tr>
      <w:tr>
        <w:trPr>
          <w:trHeight w:val="214"/>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(77,379)</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(112,062)</w:t>
            </w:r>
          </w:p>
        </w:tc>
      </w:tr>
      <w:tr>
        <w:trPr>
          <w:trHeight w:val="21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1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7"/>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44,250</w:t>
            </w:r>
          </w:p>
        </w:tc>
        <w:tc>
          <w:tcPr>
            <w:tcW w:w="6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(91,054)</w:t>
            </w:r>
          </w:p>
        </w:tc>
      </w:tr>
      <w:tr>
        <w:trPr>
          <w:trHeight w:val="623"/>
        </w:trPr>
        <w:tc>
          <w:tcPr>
            <w:tcW w:w="674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48</w:t>
            </w:r>
          </w:p>
        </w:tc>
        <w:tc>
          <w:tcPr>
            <w:tcW w:w="10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755"/>
        </w:trPr>
        <w:tc>
          <w:tcPr>
            <w:tcW w:w="67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-925195</wp:posOffset>
            </wp:positionV>
            <wp:extent cx="1104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-908050</wp:posOffset>
            </wp:positionV>
            <wp:extent cx="1104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18"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was $163.1 million in fiscal year 2026, resulting primarily from a net loss of $14.7 million and non-cash charges of $123.0 million, further adjusted by a net increase in cash from a decrease in net operating assets and liabilities of $54.7 million. Noncash charges primarily include increases for $67.6 million for depreciation and amortization, $47.9 million of stock-based compensation, $10.0 million for provisions for inventory and expected credit losses and $6.6 million for impairment of assets held for sale, partially offset by $12.0 million of deferred income taxes. The decrease in net operating assets and liabilities consisted of a $49.4 million decrease in prepaid expenses and other assets, a $41.3 million decrease in other changes in operating assets and liabilities, net, and a $6.0 million increase in trade accounts payable, partially offset by a $15.0 million increase in payment to related party, a $9.8 million increase in accounts receivable - other, a $9.2 million increase in trade accounts receivable, net, a $6.3 million increase in inventories, and a $1.7 million decrease in net amounts due to related party. The decrease in prepaid expenses and other assets was primarily due to the receipt of a tax refund and the additional planning related to the OBBB. The decrease in other changes in operating assets and liabilities, net was primarily the result of accrued income taxes and accrued personnel costs, including $2.1 million of accrued capital expenditures. Trade accounts payable increased primarily due to the timing of payments to suppliers and vendors, including unpaid capital expenditures of $1.9 million. The increase in payment to related party was primarily the result of advanced payment on products. The increase in accounts receivable - other was primarily related to the timing of tax receipts. The increase in trade accounts receivable, net was primarily a result of increased sales year-over-year and timing of collections. The increase in inventories was primarily the result of the increase in production to support the increase in net sales. The decrease in net amounts due to related party was primarily due to variations in the timing of such payments in the ordinary course of business.</w:t>
      </w:r>
    </w:p>
    <w:p>
      <w:pPr>
        <w:spacing w:after="0" w:line="83"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was $61.9 million in fiscal year 2025, resulting primarily from a net loss of $72.8 million and non-cash charges of $143.5 million, further adjusted by a net decrease in cash from an increase in net operating assets and liabilities of $8.9 million. Noncash charges primarily include increases for $64.5 million of depreciation and amortization, $41.9 million of stock-based compensation, $34.8 million for loss on the change in fair value of a forward repurchase contract, $9.2 million provisions for inventory and expected credit losses and $7.0 million of other non-cash reconciling items, partially offset by $16.3 million of deferred income taxes. The net increase in operating assets and liabilities consisted of a $30.2 million increase in inventories, $16.3 million decrease in other changes in operating assets and liabilities, net and $4.8 million increase in prepaid expenses and other assets, partially offset by a $33.1 million decrease in trade accounts receivable, net, a $4.0 million increase in trade accounts payable and a $5.1 million increase in net amounts due to related party. The decrease in trade accounts receivable, net was primarily a result of decreased sales year-over-year. Trade accounts payable increased primarily due to the timing of payments to suppliers and vendors, including unpaid capital expenditures of $2.2 million. The increase in net amounts due to related party was primarily due to variations in the timing of such payments in the ordinary course of business. The increase in inventories was primarily the result of inventory builds of standard products to support anticipated sales growth. The decrease in prepaid expenses and other assets was mostly due to the timing of tax payments. The decrease in other changes in operating assets and liabilities, net was primarily the result of a reduction in accrued personnel costs due to the timing of payments pursuant to our annual incentive compensation plan.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1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Net cash used in investing activities was $41.7 million in fiscal year 2026, consisting of $38.2 million of purchases of property, plant and equipment and $3.5 million of an investment in debt security.</w:t>
      </w:r>
    </w:p>
    <w:p>
      <w:pPr>
        <w:spacing w:after="0" w:line="55" w:lineRule="exact"/>
        <w:rPr>
          <w:sz w:val="20"/>
          <w:szCs w:val="20"/>
          <w:color w:val="auto"/>
        </w:rPr>
      </w:pPr>
    </w:p>
    <w:p>
      <w:pPr>
        <w:ind w:right="520" w:firstLine="569"/>
        <w:spacing w:after="0" w:line="372" w:lineRule="auto"/>
        <w:rPr>
          <w:sz w:val="20"/>
          <w:szCs w:val="20"/>
          <w:color w:val="auto"/>
        </w:rPr>
      </w:pPr>
      <w:r>
        <w:rPr>
          <w:rFonts w:ascii="Times New Roman" w:cs="Times New Roman" w:eastAsia="Times New Roman" w:hAnsi="Times New Roman"/>
          <w:sz w:val="18"/>
          <w:szCs w:val="18"/>
          <w:color w:val="auto"/>
        </w:rPr>
        <w:t xml:space="preserve">Net cash used in investing activities was $40.8 million in fiscal year 2025, primarily consisting of purchases of property, plant and equipment. </w:t>
      </w:r>
      <w:r>
        <w:rPr>
          <w:rFonts w:ascii="Times New Roman" w:cs="Times New Roman" w:eastAsia="Times New Roman" w:hAnsi="Times New Roman"/>
          <w:sz w:val="18"/>
          <w:szCs w:val="18"/>
          <w:b w:val="1"/>
          <w:bCs w:val="1"/>
          <w:i w:val="1"/>
          <w:iCs w:val="1"/>
          <w:color w:val="auto"/>
        </w:rPr>
        <w:t>Financing Activities</w:t>
      </w: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Net cash used in financing activities was $77.4 million in fiscal year 2026, primarily consisting of $345.0 million of payments on our term loan, $12.6 million of taxes related to the net settlement of equity awards and $5.0 million of payments for intangible assets, partially offset by net proceeds of $285.0 million from our financing activities under the 2023 Revolving Credit Agreement.</w:t>
      </w:r>
    </w:p>
    <w:p>
      <w:pPr>
        <w:spacing w:after="0" w:line="68"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was $112.1 million in fiscal year 2025, consisting of $853.9 million used to repurchase our common stock, $105.0 million of payments on our indebtedness under the 2023 Revolving Credit Agreement and $16.2 million of taxes related to the net settlement of equity awards, partially offset by the issuance of common stock of $665.9 million, net proceeds of $193.1 million from our financing activities under the 2023 Revolving Credit Agreement, proceeds received in connection with the issuance of common stock under our employee stock purchase plan and proceeds received related to the quarterly payment on the PSL Promissory Note (prior to being discharged).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Obligations</w:t>
      </w:r>
    </w:p>
    <w:p>
      <w:pPr>
        <w:spacing w:after="0" w:line="11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See Note 13, “Debt and Other Borrowings” in the consolidated financial statements included elsewhere in this Annual Report for information regarding our debt obligations, including our term loans and credit facilities.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to the consolidated financial statements included elsewhere in this Annual Report for information regarding recent accounting pronouncements.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8"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amounts of assets, liabilities, and disclosures of contingencies at the date of the financial statements and the reported amounts of revenues and expenses during the reporting period. On an ongoing basis, management evaluates its estimates, assumptions and judgments, including those related to the valuation of acquired intangible assets, impairment assessment and valuation of goodwill, intangible assets and tangible long-lived assets, the net realizable value of inventory, income taxes, stock-based compensation, and sales allowances. We base our estimates and assumptions on historical experience and other factors that we believe to be reasonable under the circumstances. Actual results could differ from those estimates, and such differences may be material to our financial statements. We believe that the accounting policies described below require management’s most difficult, subjective or complex judgments. Judgments or uncertainties affecting the application of these policies may result in materially different amounts being reported under different conditions or using different assumptions. Accordingly, we believe these are the most critical to aid in fully understanding and evaluating our financial condition and results of operations. See Note 2, “Summary of Significant Accounting Policies” to the consolidated financial statements included elsewhere in this Annual Report for additional information regarding these and our other significant accounting policies.</w:t>
      </w:r>
    </w:p>
    <w:p>
      <w:pPr>
        <w:spacing w:after="0" w:line="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Sales Allowances</w:t>
      </w:r>
    </w:p>
    <w:p>
      <w:pPr>
        <w:spacing w:after="0" w:line="116"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Sales allowances include sales in which the amount of consideration that we will receive is unknown as of the end of a reporting period. Such consideration primarily includes price protection provisions provided to distributors. We estimate potential future returns, credits, and sales allowances based on historical return rates, anticipated customer claims, credits issued, and changes in product sales to customers. Historical experience can change over time. As a result, estimated sales allowances may differ significantly from amounts recorded in the current and historical periods.</w:t>
      </w:r>
    </w:p>
    <w:p>
      <w:pPr>
        <w:spacing w:after="0" w:line="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Goodwill, other intangible assets and other long-lived assets</w:t>
      </w:r>
    </w:p>
    <w:p>
      <w:pPr>
        <w:spacing w:after="0" w:line="116"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the net tangible and intangible assets acquired. Goodwill is not amortized, but rather is assessed for impairment at the reporting unit level annually during the fourth quarter of each fiscal year or more frequently if we believe indicators of impairment exist.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w:t>
      </w:r>
    </w:p>
    <w:p>
      <w:pPr>
        <w:spacing w:after="0" w:line="7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testing goodwill for impairment, we have the option to first consider qualitative factors to determine whether it is more likely than not that the fair value of a reporting unit is less than its carrying value. Such qualitative factors include industry and market considerations, economic conditions, entity-specific financial performance and other events, such as changes in management, strategy and primary customer base. If based on our qualitative assessment it is more likely than not that the fair value of the reporting unit is less than its carrying amount, quantitative impairment testing is required. However, if we conclude otherwise, quantitative impairment testing is not required.</w:t>
      </w:r>
    </w:p>
    <w:p>
      <w:pPr>
        <w:spacing w:after="0" w:line="77"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We assess indefinite-lived intangible assets for impairment on an annual basis, and more frequently if impairment indicators are identified. We also periodically reassess their continuing classification as indefinite-lived intangible assets. Impairment exists if the fair value of the intangible asset is less than its carrying value. An impairment charge equal to the difference is recorded to reduce the carrying value to its fair value.</w:t>
      </w:r>
    </w:p>
    <w:p>
      <w:pPr>
        <w:spacing w:after="0" w:line="68"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Other long-lived assets primarily consist of property and equipment, operating lease right-of-use assets and intangible assets. Acquired intangible assets consist of completed technologies, customer relationships, trademarks and trade names, and patents. We engage third-party valuation specialists to assist us with the initial measurement of the fair value of acquired intangible assets. We periodically evaluate the recoverability of other long-lived assets whenever events and changes in circumstances, such as reductions in demand or significant economic slowdowns in the industry, indicate that the carrying amount of an asset may not be fully recoverable. When indicators of impairment are present, the carrying values of the asset group are evaluated in relation to the future undiscounted cash flows of the underlying business. The net book value of the underlying asset is adjusted to fair value if the sum of the expected discounted cash flows is less than book value. Fair values are based on estimates of market prices and assumptions concerning the amount and timing of estimated future cash flows and assumed discount rates, reflecting varying degrees of perceived risk.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52" w:name="page53"/>
    <w:bookmarkEnd w:id="52"/>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The impairment assessment of goodwill, other intangible assets and other long-lived assets involves significant estimates and assumptions, which may be unpredictable and inherently uncertain. These estimates and assumptions may include identification of reporting units and asset groups, long-term growth rates, profitability, estimated useful lives, comparable market multiples, and discount rates. Any changes in these assumptions could impact the result of the impairment assessment. Impairment assessments of goodwill, other intangible assets and other long-lived assets are performed in the fourth quarter of each fiscal year. No impairments of goodwill, other intangible assets and other long-lived assets were identified for fiscal year 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8" w:lineRule="exact"/>
        <w:rPr>
          <w:sz w:val="20"/>
          <w:szCs w:val="20"/>
          <w:color w:val="auto"/>
        </w:rPr>
      </w:pPr>
    </w:p>
    <w:p>
      <w:pPr>
        <w:jc w:val="both"/>
        <w:ind w:firstLine="562"/>
        <w:spacing w:after="0" w:line="263" w:lineRule="auto"/>
        <w:rPr>
          <w:sz w:val="20"/>
          <w:szCs w:val="20"/>
          <w:color w:val="auto"/>
        </w:rPr>
      </w:pPr>
      <w:r>
        <w:rPr>
          <w:rFonts w:ascii="Times New Roman" w:cs="Times New Roman" w:eastAsia="Times New Roman" w:hAnsi="Times New Roman"/>
          <w:sz w:val="18"/>
          <w:szCs w:val="18"/>
          <w:color w:val="auto"/>
        </w:rPr>
        <w:t>We are exposed to market risk in the ordinary course of business, consisting primarily of interest rates risk associated with our cash and cash equivalents and our debt, foreign currency risk and the impact of inflation. We do not engage in speculative trading activities. The following analysis provides additional information regarding these risks.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Our investments have limited exposure to market risk. At March 27, 2026, we maintained a portfolio of cash and cash equivalents, consisting primarily of money market fund deposits. None of these investments have a maturity date in excess of one year. Certain interest rates are variable and fluctuate with current market conditions. Because of the short-term nature of these instruments, we would not expect a sudden change in market interest rates to have a material impact on our financial condition or results of operations.</w:t>
      </w:r>
    </w:p>
    <w:p>
      <w:pPr>
        <w:spacing w:after="0" w:line="73" w:lineRule="exact"/>
        <w:rPr>
          <w:sz w:val="20"/>
          <w:szCs w:val="20"/>
          <w:color w:val="auto"/>
        </w:rPr>
      </w:pPr>
    </w:p>
    <w:p>
      <w:pPr>
        <w:jc w:val="both"/>
        <w:ind w:firstLine="562"/>
        <w:spacing w:after="0" w:line="263" w:lineRule="auto"/>
        <w:rPr>
          <w:sz w:val="20"/>
          <w:szCs w:val="20"/>
          <w:color w:val="auto"/>
        </w:rPr>
      </w:pPr>
      <w:r>
        <w:rPr>
          <w:rFonts w:ascii="Times New Roman" w:cs="Times New Roman" w:eastAsia="Times New Roman" w:hAnsi="Times New Roman"/>
          <w:sz w:val="18"/>
          <w:szCs w:val="18"/>
          <w:color w:val="auto"/>
        </w:rPr>
        <w:t>We are also exposed to market risk as a result of increases or decreases in the amount of interest expense we must pay on our 2026 Refinanced Loans and borrowings on our bank credit facilities. Although our 2026 Refinanced Loans and credit facilities have variable rates, as of March 27, 2026, we do not believe that a 10% change in market interest rates would have a material impact on our financial position or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8"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Due to our international operations, a significant portion of our cost of sales and operating expenses is denominated in currencies other than the U.S. dollar, principally the Euro and the Philippine peso. As a result, our international operations give rise to transactional market risk associated with exchange rate movements of the U.S. dollar, the Euro and the Philippine peso. We reflected foreign exchange losses of $3.2 million and $2.2 million for fiscal years 2026 and 2025, respectively. Based on fiscal year 2026 performance, a hypothetical appreciation (decline) in the value of the Euro in relation to the U.S. dollar of 10% would immaterially impact our operating income. A hypothetical 10% appreciation (decline) in the value of the Philippine peso in relation to the U.S. dollar would immaterially impact our operating income. The individual impacts to our operating income of hypothetical currency fluctuations have been calculated in isolation from any potential responses to address such exchange rate changes in our foreign markets.</w:t>
      </w:r>
    </w:p>
    <w:p>
      <w:pPr>
        <w:spacing w:after="0" w:line="77"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In addition, we are exposed to foreign currency translation risk for those subsidiaries whose functional currency is not the U.S. dollar, as changes in the value of their functional currency relative to the U.S. dollar can adversely affect the translated amounts of our sales, expenses, net income, assets and liabilities. This can, in turn, affect the reported value and relative growth of sales and net income from one period to the next. In addition, changes in the translated value of assets and liabilities due to changes in functional currency exchange rates relative to the U.S. dollar result in foreign currency translation adjustments that are a component of other comprehensive income or loss. Foreign currency derivative instruments can be used to hedge exposures and reduce the risks of certain foreign currency transactions; however, these instruments provide only limited protection and can carry significant cost. We have no foreign currency derivative instrument hedges as of March 27, 2026. We will continue to analyze our exposure to currency exchange rate fluctuations and may engage in financial hedging techniques in the future to attempt to minimize the effect of these potential fluctuations. Exchange rate fluctuations may adversely affect our financial results in the future.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11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Inflationary factors, such as increases in overhead costs or the costs of other core operating resources, may adversely affect our operating results. While it is difficult to accurately measure the impact of inflation due to the imprecise nature of the estimates required, we do not believe the effects of inflation, if any, on our historical results of operations and financial condition have been material. We cannot assure that future inflationary or other cost pressures will not have an adverse impact on our results of operations and financial condition in the future.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1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Our audited consolidated financial statements, together with the report of our independent registered public accounting firm, appear at pages F-1 through F-45 of this Annual Report.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1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(as defined in Rules 13a-15(e) and 15d-15(e) under the Exchange Act),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8" w:lineRule="exact"/>
        <w:rPr>
          <w:sz w:val="20"/>
          <w:szCs w:val="20"/>
          <w:color w:val="auto"/>
        </w:rPr>
      </w:pPr>
    </w:p>
    <w:p>
      <w:pPr>
        <w:jc w:val="both"/>
        <w:ind w:firstLine="569"/>
        <w:spacing w:after="0" w:line="259"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w:t>
      </w:r>
    </w:p>
    <w:p>
      <w:pPr>
        <w:jc w:val="both"/>
        <w:spacing w:after="0" w:line="256" w:lineRule="auto"/>
        <w:rPr>
          <w:sz w:val="20"/>
          <w:szCs w:val="20"/>
          <w:color w:val="auto"/>
        </w:rPr>
      </w:pPr>
      <w:r>
        <w:rPr>
          <w:rFonts w:ascii="Times New Roman" w:cs="Times New Roman" w:eastAsia="Times New Roman" w:hAnsi="Times New Roman"/>
          <w:sz w:val="18"/>
          <w:szCs w:val="18"/>
          <w:color w:val="auto"/>
        </w:rPr>
        <w:t>March 27, 2026. Based on the evaluation of our disclosure controls and procedures as of March 27, 2026, our Chief Executive Officer and Chief Financial Officer concluded that, as of such date, our disclosure controls and procedures were effective at the reasonable assurance level.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8"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three months ended March 27, 2026 that have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18"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the Company. With the participation of the Chief Executive Officer and the Chief Financial Officer, our management conducted an evaluation of the effectiveness of our internal control over financial reporting using the criteria established in Internal Control—Integrated Framework (2013), issued by the Committee of Sponsoring Organizations of the Treadway Commission. Based on this evaluation, our management has concluded that our internal control over financial reporting was effective as of</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March 27, 2026. The effectiveness of the Company’s internal control over financial reporting as of March 27, 2026 has been audited by PricewaterhouseCoopers LLP, an independent registered public accounting firm, as stated in their attestation report which appears on page F-2 of this Annual Report.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Arrangements</w:t>
      </w:r>
    </w:p>
    <w:p>
      <w:pPr>
        <w:spacing w:after="0" w:line="11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During the three-month period ended March 27, 2026, no director or officer of the Company adopted or terminated a “Rule 10b5-1 trading arrangement” or “non-Rule 10b5-1 trading arrangement” as each term is defined in Item 408 of Regulations S-K.</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1"/>
          <w:szCs w:val="21"/>
          <w:b w:val="1"/>
          <w:bCs w:val="1"/>
          <w:color w:val="auto"/>
        </w:rPr>
        <w:t>PART III</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Certain of the information required hereunder is incorporated herein by reference to our definitive proxy statement to be filed pursuant to Regulation 14A, which proxy statement is anticipated to be filed with the SEC within 120 days after March 27, 2026. Pursuant to General Instruction G(3) of Form 10-K, additional information required hereunder relating to our executive officers is contained in Part I of this Annual Report under the caption “Information about our Executive Officers.”</w:t>
      </w:r>
    </w:p>
    <w:p>
      <w:pPr>
        <w:spacing w:after="0" w:line="73"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 xml:space="preserve">Our Board has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our website, </w:t>
      </w:r>
      <w:r>
        <w:rPr>
          <w:rFonts w:ascii="Times New Roman" w:cs="Times New Roman" w:eastAsia="Times New Roman" w:hAnsi="Times New Roman"/>
          <w:sz w:val="18"/>
          <w:szCs w:val="18"/>
          <w:i w:val="1"/>
          <w:iCs w:val="1"/>
          <w:color w:val="auto"/>
        </w:rPr>
        <w:t>www.allegromicro.com</w:t>
      </w:r>
      <w:r>
        <w:rPr>
          <w:rFonts w:ascii="Times New Roman" w:cs="Times New Roman" w:eastAsia="Times New Roman" w:hAnsi="Times New Roman"/>
          <w:sz w:val="18"/>
          <w:szCs w:val="18"/>
          <w:color w:val="auto"/>
        </w:rPr>
        <w:t>. We intend to satisfy the disclosure requirement under Item 5.05 of Form 8-K regarding amendment to, or waiver from, a provision of our Code of Business Conduct and Ethics by posting such information on our website at the address specified above. The information contained on our website is not incorporated by reference into this Annual Report.</w:t>
      </w:r>
    </w:p>
    <w:p>
      <w:pPr>
        <w:spacing w:after="0" w:line="77"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We are committed to promoting high standards of ethical business conduct and compliance with applicable laws, rules and regulations. As part of this commitment, we have adopted our Insider Trading Compliance Policy governing the purchase, sale, and/or other dispositions of our securities by our directors, officers, employees and other Covered Persons (as defined in the Insider Trading Compliance Policy), that we believe is reasonably designed to promote compliance with insider trading laws, rules and regulations, and the exchange listing standards applicable to us. A copy of our Insider Trading Compliance Policy, including any amendments thereto, is filed as Exhibit 19.1 to this Annual Report.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The information required hereunder is incorporated herein by reference to our definitive proxy statement to be filed pursuant to Regulation 14A, which proxy statement is anticipated to be filed with the SEC within 120 days after March 27,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18"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The information required hereunder is incorporated herein by reference to our definitive proxy statement to be filed pursuant to Regulation 14A, which proxy statement is anticipated to be filed with the SEC within 120 days after March 27, 2026, with the exception of the information regarding securities authorized for issuance under our equity compensation plans, which is set forth below.</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securities authorized for issuance under our equity compensation plans as of March 27,</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85"/>
              <w:spacing w:after="0" w:line="147"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85"/>
              <w:spacing w:after="0" w:line="147"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restart"/>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2"/>
                <w:szCs w:val="12"/>
                <w:color w:val="auto"/>
              </w:rPr>
            </w:pPr>
          </w:p>
        </w:tc>
        <w:tc>
          <w:tcPr>
            <w:tcW w:w="1480" w:type="dxa"/>
            <w:vAlign w:val="bottom"/>
          </w:tcPr>
          <w:p>
            <w:pPr>
              <w:jc w:val="center"/>
              <w:ind w:right="65"/>
              <w:spacing w:after="0" w:line="147"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84"/>
              <w:spacing w:after="0" w:line="147"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65"/>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84"/>
              <w:spacing w:after="0" w:line="147"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2"/>
                <w:szCs w:val="12"/>
                <w:color w:val="auto"/>
              </w:rPr>
            </w:pPr>
          </w:p>
        </w:tc>
        <w:tc>
          <w:tcPr>
            <w:tcW w:w="1460" w:type="dxa"/>
            <w:vAlign w:val="bottom"/>
          </w:tcPr>
          <w:p>
            <w:pPr>
              <w:jc w:val="center"/>
              <w:ind w:right="46"/>
              <w:spacing w:after="0" w:line="147"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20" w:type="dxa"/>
            <w:vAlign w:val="bottom"/>
          </w:tcPr>
          <w:p>
            <w:pPr>
              <w:spacing w:after="0"/>
              <w:rPr>
                <w:sz w:val="12"/>
                <w:szCs w:val="12"/>
                <w:color w:val="auto"/>
              </w:rPr>
            </w:pPr>
          </w:p>
        </w:tc>
        <w:tc>
          <w:tcPr>
            <w:tcW w:w="1480" w:type="dxa"/>
            <w:vAlign w:val="bottom"/>
          </w:tcPr>
          <w:p>
            <w:pPr>
              <w:jc w:val="center"/>
              <w:ind w:right="65"/>
              <w:spacing w:after="0" w:line="147"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84"/>
              <w:spacing w:after="0" w:line="147"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2"/>
                <w:szCs w:val="12"/>
                <w:color w:val="auto"/>
              </w:rPr>
            </w:pPr>
          </w:p>
        </w:tc>
        <w:tc>
          <w:tcPr>
            <w:tcW w:w="1460" w:type="dxa"/>
            <w:vAlign w:val="bottom"/>
          </w:tcPr>
          <w:p>
            <w:pPr>
              <w:jc w:val="center"/>
              <w:ind w:right="66"/>
              <w:spacing w:after="0" w:line="147"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Pr>
          <w:p>
            <w:pPr>
              <w:spacing w:after="0"/>
              <w:rPr>
                <w:sz w:val="12"/>
                <w:szCs w:val="12"/>
                <w:color w:val="auto"/>
              </w:rPr>
            </w:pPr>
          </w:p>
        </w:tc>
        <w:tc>
          <w:tcPr>
            <w:tcW w:w="1480" w:type="dxa"/>
            <w:vAlign w:val="bottom"/>
          </w:tcPr>
          <w:p>
            <w:pPr>
              <w:jc w:val="center"/>
              <w:ind w:right="65"/>
              <w:spacing w:after="0" w:line="147"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45"/>
        </w:trPr>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460" w:type="dxa"/>
            <w:vAlign w:val="bottom"/>
          </w:tcPr>
          <w:p>
            <w:pPr>
              <w:jc w:val="center"/>
              <w:ind w:right="44"/>
              <w:spacing w:after="0" w:line="145"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00" w:type="dxa"/>
            <w:vAlign w:val="bottom"/>
          </w:tcPr>
          <w:p>
            <w:pPr>
              <w:spacing w:after="0"/>
              <w:rPr>
                <w:sz w:val="12"/>
                <w:szCs w:val="12"/>
                <w:color w:val="auto"/>
              </w:rPr>
            </w:pPr>
          </w:p>
        </w:tc>
        <w:tc>
          <w:tcPr>
            <w:tcW w:w="1460" w:type="dxa"/>
            <w:vAlign w:val="bottom"/>
          </w:tcPr>
          <w:p>
            <w:pPr>
              <w:jc w:val="center"/>
              <w:ind w:right="26"/>
              <w:spacing w:after="0" w:line="145"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20" w:type="dxa"/>
            <w:vAlign w:val="bottom"/>
          </w:tcPr>
          <w:p>
            <w:pPr>
              <w:spacing w:after="0"/>
              <w:rPr>
                <w:sz w:val="12"/>
                <w:szCs w:val="12"/>
                <w:color w:val="auto"/>
              </w:rPr>
            </w:pPr>
          </w:p>
        </w:tc>
        <w:tc>
          <w:tcPr>
            <w:tcW w:w="1480" w:type="dxa"/>
            <w:vAlign w:val="bottom"/>
          </w:tcPr>
          <w:p>
            <w:pPr>
              <w:jc w:val="center"/>
              <w:ind w:right="25"/>
              <w:spacing w:after="0" w:line="145" w:lineRule="exact"/>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174"/>
        </w:trPr>
        <w:tc>
          <w:tcPr>
            <w:tcW w:w="6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center"/>
              <w:ind w:right="44"/>
              <w:spacing w:after="0" w:line="173" w:lineRule="exact"/>
              <w:rPr>
                <w:sz w:val="20"/>
                <w:szCs w:val="20"/>
                <w:color w:val="auto"/>
              </w:rPr>
            </w:pPr>
            <w:r>
              <w:rPr>
                <w:rFonts w:ascii="Times New Roman" w:cs="Times New Roman" w:eastAsia="Times New Roman" w:hAnsi="Times New Roman"/>
                <w:sz w:val="14"/>
                <w:szCs w:val="14"/>
                <w:b w:val="1"/>
                <w:bCs w:val="1"/>
                <w:color w:val="auto"/>
                <w:w w:val="96"/>
              </w:rPr>
              <w:t>(a)</w:t>
            </w:r>
            <w:r>
              <w:rPr>
                <w:rFonts w:ascii="Times New Roman" w:cs="Times New Roman" w:eastAsia="Times New Roman" w:hAnsi="Times New Roman"/>
                <w:sz w:val="19"/>
                <w:szCs w:val="19"/>
                <w:b w:val="1"/>
                <w:bCs w:val="1"/>
                <w:color w:val="auto"/>
                <w:w w:val="96"/>
                <w:vertAlign w:val="superscript"/>
              </w:rPr>
              <w:t>2</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center"/>
              <w:ind w:right="26"/>
              <w:spacing w:after="0" w:line="173" w:lineRule="exact"/>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9"/>
                <w:szCs w:val="19"/>
                <w:b w:val="1"/>
                <w:bCs w:val="1"/>
                <w:color w:val="auto"/>
                <w:vertAlign w:val="superscript"/>
              </w:rPr>
              <w:t>3</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07"/>
        </w:trPr>
        <w:tc>
          <w:tcPr>
            <w:tcW w:w="6500" w:type="dxa"/>
            <w:vAlign w:val="bottom"/>
            <w:shd w:val="clear" w:color="auto" w:fill="CFF0FC"/>
          </w:tcPr>
          <w:p>
            <w:pPr>
              <w:spacing w:after="0" w:line="208"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r>
              <w:rPr>
                <w:rFonts w:ascii="Times New Roman" w:cs="Times New Roman" w:eastAsia="Times New Roman" w:hAnsi="Times New Roman"/>
                <w:sz w:val="23"/>
                <w:szCs w:val="23"/>
                <w:color w:val="auto"/>
                <w:vertAlign w:val="superscript"/>
              </w:rPr>
              <w:t>1</w:t>
            </w:r>
          </w:p>
        </w:tc>
        <w:tc>
          <w:tcPr>
            <w:tcW w:w="15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4,417,631</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8"/>
                <w:szCs w:val="18"/>
                <w:color w:val="auto"/>
              </w:rPr>
              <w:t>30,364,903</w:t>
            </w:r>
          </w:p>
        </w:tc>
        <w:tc>
          <w:tcPr>
            <w:tcW w:w="0" w:type="dxa"/>
            <w:vAlign w:val="bottom"/>
          </w:tcPr>
          <w:p>
            <w:pPr>
              <w:spacing w:after="0"/>
              <w:rPr>
                <w:sz w:val="1"/>
                <w:szCs w:val="1"/>
                <w:color w:val="auto"/>
              </w:rPr>
            </w:pPr>
          </w:p>
        </w:tc>
      </w:tr>
      <w:tr>
        <w:trPr>
          <w:trHeight w:val="21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4,417,631</w:t>
            </w:r>
          </w:p>
        </w:tc>
        <w:tc>
          <w:tcPr>
            <w:tcW w:w="1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8"/>
                <w:szCs w:val="18"/>
                <w:color w:val="auto"/>
              </w:rPr>
              <w:t>30,364,903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-24765</wp:posOffset>
            </wp:positionV>
            <wp:extent cx="679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679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82" w:lineRule="exact"/>
        <w:rPr>
          <w:sz w:val="20"/>
          <w:szCs w:val="20"/>
          <w:color w:val="auto"/>
        </w:rPr>
      </w:pPr>
    </w:p>
    <w:p>
      <w:pPr>
        <w:ind w:left="380" w:hanging="373"/>
        <w:spacing w:after="0" w:line="222" w:lineRule="auto"/>
        <w:tabs>
          <w:tab w:leader="none" w:pos="38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As of March 27, 2026, there were 26,041,192 shares available for future issuance under the Allegro MicroSystems, Inc. 2020 Omnibus Incentive Compensation Plan, and 4,323,711 shares available for future issuance under the Allegro MicroSystems, Inc. 2020 Employee Stock Purchase Plan.</w:t>
      </w:r>
    </w:p>
    <w:p>
      <w:pPr>
        <w:spacing w:after="0" w:line="34" w:lineRule="exact"/>
        <w:rPr>
          <w:rFonts w:ascii="Times New Roman" w:cs="Times New Roman" w:eastAsia="Times New Roman" w:hAnsi="Times New Roman"/>
          <w:sz w:val="24"/>
          <w:szCs w:val="24"/>
          <w:color w:val="auto"/>
          <w:vertAlign w:val="superscript"/>
        </w:rPr>
      </w:pPr>
    </w:p>
    <w:p>
      <w:pPr>
        <w:ind w:left="380" w:hanging="373"/>
        <w:spacing w:after="0" w:line="222" w:lineRule="auto"/>
        <w:tabs>
          <w:tab w:leader="none" w:pos="38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As of March 27, 2026, there were 1,325,188 PSUs issued at target and 3,092,443 RSUs included in this amount. PSUs were calculated at target, except for PSUs with performance periods ending as of March 27, 2026, which were calculated at actual performance.</w:t>
      </w:r>
    </w:p>
    <w:p>
      <w:pPr>
        <w:ind w:left="380" w:hanging="373"/>
        <w:spacing w:after="0" w:line="232" w:lineRule="auto"/>
        <w:tabs>
          <w:tab w:leader="none" w:pos="38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No exercise price has been derived as a result of all derivatives issued being PSUs and RSUs.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18" w:lineRule="exact"/>
        <w:rPr>
          <w:sz w:val="20"/>
          <w:szCs w:val="20"/>
          <w:color w:val="auto"/>
        </w:rPr>
      </w:pPr>
    </w:p>
    <w:p>
      <w:pPr>
        <w:ind w:firstLine="569"/>
        <w:spacing w:after="0" w:line="278" w:lineRule="auto"/>
        <w:rPr>
          <w:sz w:val="20"/>
          <w:szCs w:val="20"/>
          <w:color w:val="auto"/>
        </w:rPr>
      </w:pPr>
      <w:r>
        <w:rPr>
          <w:rFonts w:ascii="Times New Roman" w:cs="Times New Roman" w:eastAsia="Times New Roman" w:hAnsi="Times New Roman"/>
          <w:sz w:val="18"/>
          <w:szCs w:val="18"/>
          <w:color w:val="auto"/>
        </w:rPr>
        <w:t>The information required hereunder is incorporated herein by reference to our definitive proxy statement to be filed pursuant to Regulation 14A, which proxy statement is anticipated to be filed with the SEC within 120 days after March 27, 2026.</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18" w:lineRule="exact"/>
        <w:rPr>
          <w:sz w:val="20"/>
          <w:szCs w:val="20"/>
          <w:color w:val="auto"/>
        </w:rPr>
      </w:pPr>
    </w:p>
    <w:p>
      <w:pPr>
        <w:ind w:firstLine="569"/>
        <w:spacing w:after="0" w:line="278" w:lineRule="auto"/>
        <w:rPr>
          <w:sz w:val="20"/>
          <w:szCs w:val="20"/>
          <w:color w:val="auto"/>
        </w:rPr>
      </w:pPr>
      <w:r>
        <w:rPr>
          <w:rFonts w:ascii="Times New Roman" w:cs="Times New Roman" w:eastAsia="Times New Roman" w:hAnsi="Times New Roman"/>
          <w:sz w:val="18"/>
          <w:szCs w:val="18"/>
          <w:color w:val="auto"/>
        </w:rPr>
        <w:t>The information required hereunder is incorporated herein by reference to our definitive proxy statement to be filed pursuant to Regulation 14A, which proxy statement is anticipated to be filed with the SEC within 120 days after March 27,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1"/>
          <w:szCs w:val="21"/>
          <w:b w:val="1"/>
          <w:bCs w:val="1"/>
          <w:color w:val="auto"/>
        </w:rPr>
        <w:t>PART IV</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114" w:lineRule="exact"/>
        <w:rPr>
          <w:sz w:val="20"/>
          <w:szCs w:val="20"/>
          <w:color w:val="auto"/>
        </w:rPr>
      </w:pPr>
    </w:p>
    <w:p>
      <w:pPr>
        <w:ind w:left="1060" w:hanging="379"/>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3" w:lineRule="exact"/>
        <w:rPr>
          <w:rFonts w:ascii="Times New Roman" w:cs="Times New Roman" w:eastAsia="Times New Roman" w:hAnsi="Times New Roman"/>
          <w:sz w:val="18"/>
          <w:szCs w:val="18"/>
          <w:color w:val="auto"/>
        </w:rPr>
      </w:pPr>
    </w:p>
    <w:p>
      <w:pPr>
        <w:ind w:left="1500" w:right="3140" w:hanging="449"/>
        <w:spacing w:after="0" w:line="31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are included in this Annual Report from page F-1 to page F-45: Report of Independent Registered Public Accounting Firm (PCAOB ID Number 238) Consolidated Balance Sheets</w:t>
      </w: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w:t>
      </w:r>
    </w:p>
    <w:p>
      <w:pPr>
        <w:spacing w:after="0" w:line="60" w:lineRule="exact"/>
        <w:rPr>
          <w:rFonts w:ascii="Times New Roman" w:cs="Times New Roman" w:eastAsia="Times New Roman" w:hAnsi="Times New Roman"/>
          <w:sz w:val="18"/>
          <w:szCs w:val="18"/>
          <w:color w:val="auto"/>
        </w:rPr>
      </w:pPr>
    </w:p>
    <w:p>
      <w:pPr>
        <w:ind w:left="1500" w:right="5380"/>
        <w:spacing w:after="0" w:line="31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(Loss) Income Consolidated Statements of Changes in Stockholders’ Equity Consolidated Statements of Cash Flows</w:t>
      </w: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113" w:lineRule="exact"/>
        <w:rPr>
          <w:rFonts w:ascii="Times New Roman" w:cs="Times New Roman" w:eastAsia="Times New Roman" w:hAnsi="Times New Roman"/>
          <w:sz w:val="18"/>
          <w:szCs w:val="18"/>
          <w:color w:val="auto"/>
        </w:rPr>
      </w:pPr>
    </w:p>
    <w:p>
      <w:pPr>
        <w:ind w:left="1060" w:hanging="379"/>
        <w:spacing w:after="0" w:line="278"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All schedules are omitted because they are not applicable or the required information is shown on the financial statements or notes thereto.</w:t>
      </w:r>
    </w:p>
    <w:p>
      <w:pPr>
        <w:spacing w:after="0" w:line="55" w:lineRule="exact"/>
        <w:rPr>
          <w:rFonts w:ascii="Times New Roman" w:cs="Times New Roman" w:eastAsia="Times New Roman" w:hAnsi="Times New Roman"/>
          <w:sz w:val="18"/>
          <w:szCs w:val="18"/>
          <w:color w:val="auto"/>
        </w:rPr>
      </w:pPr>
    </w:p>
    <w:p>
      <w:pPr>
        <w:ind w:left="1060" w:hanging="379"/>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2"/>
        </w:trPr>
        <w:tc>
          <w:tcPr>
            <w:tcW w:w="9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900" w:type="dxa"/>
            <w:vAlign w:val="bottom"/>
            <w:gridSpan w:val="13"/>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67"/>
        </w:trPr>
        <w:tc>
          <w:tcPr>
            <w:tcW w:w="90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4"/>
                <w:szCs w:val="14"/>
                <w:color w:val="auto"/>
              </w:rPr>
            </w:pPr>
          </w:p>
        </w:tc>
        <w:tc>
          <w:tcPr>
            <w:tcW w:w="10060" w:type="dxa"/>
            <w:vAlign w:val="bottom"/>
            <w:tcBorders>
              <w:top w:val="single" w:sz="8" w:color="auto"/>
              <w:bottom w:val="single" w:sz="8" w:color="0000FF"/>
            </w:tcBorders>
            <w:gridSpan w:val="16"/>
          </w:tcPr>
          <w:p>
            <w:pPr>
              <w:spacing w:after="0" w:line="167"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Third Amended and Restated Certificate of Incorporation of Allegro MicroSystems, Inc. (incorporated by reference from Exhibit 3.1 to the</w:t>
              </w:r>
            </w:hyperlink>
          </w:p>
        </w:tc>
        <w:tc>
          <w:tcPr>
            <w:tcW w:w="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94"/>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Company’s Current Report on Form 8-K filed on November 2, 2020)</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0200" w:type="dxa"/>
            <w:vAlign w:val="bottom"/>
            <w:gridSpan w:val="18"/>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Second Amended and Restated Bylaws of Allegro MicroSystems, Inc. (incorporated by reference from Exhibit 3.2 to the Company’s Annual</w:t>
              </w:r>
            </w:hyperlink>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3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4"/>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Report on Form 10-K filed on May 25, 2023)</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0200" w:type="dxa"/>
            <w:vAlign w:val="bottom"/>
            <w:gridSpan w:val="18"/>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Specimen Stock Certificate evidencing the shares of common stock (incorporated by reference from Exhibit 4.1 to the Company’s</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3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Registration Statement on Form S-1/A filed on October 21, 2020)</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10200" w:type="dxa"/>
            <w:vAlign w:val="bottom"/>
            <w:gridSpan w:val="18"/>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Second Amended and Restated Stockholders Agreement, dated as of July 23, 2024, by and between Allegro MicroSystems, Inc. and Sanken</w:t>
              </w:r>
            </w:hyperlink>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3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Electric Co., Ltd. (incorporated by reference from Exhibit 10.2 to the Company’s Current Report on Form 8-K filed on July 23, 2024)</w:t>
              </w:r>
              <w:r>
                <w:rPr>
                  <w:rFonts w:ascii="Times New Roman" w:cs="Times New Roman" w:eastAsia="Times New Roman" w:hAnsi="Times New Roman"/>
                  <w:sz w:val="18"/>
                  <w:szCs w:val="18"/>
                  <w:color w:val="000000"/>
                </w:rPr>
                <w:t>†</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3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10200" w:type="dxa"/>
            <w:vAlign w:val="bottom"/>
            <w:gridSpan w:val="18"/>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Amended and Restated Registration Rights Agreement, by and among the Allegro MicroSystems, Inc., Sanken Electric Co. and OEP SKNA,</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3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L.P. (incorporated by reference from Exhibit 10.1 to the Company’s Current Report on Form 8-K filed on November 2, 2020)</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3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10200" w:type="dxa"/>
            <w:vAlign w:val="bottom"/>
            <w:gridSpan w:val="18"/>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Description of securities (incorporated by reference from Exhibit 4.4 to the Company’s Annual Report on Form 10-K on May 19, 2021)</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32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4"/>
                <w:szCs w:val="24"/>
                <w:color w:val="auto"/>
              </w:rPr>
            </w:pPr>
          </w:p>
        </w:tc>
        <w:tc>
          <w:tcPr>
            <w:tcW w:w="10200" w:type="dxa"/>
            <w:vAlign w:val="bottom"/>
            <w:gridSpan w:val="18"/>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Indenture (incorporated by reference from Exhibit 4.3 to the Company’s Registration Statement on Form S-3ASR filed on</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328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November 1, 2021)</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0200" w:type="dxa"/>
            <w:vAlign w:val="bottom"/>
            <w:gridSpan w:val="18"/>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Contract of Lease, dated as of April 1, 2004, by and between Allegro MicroSystems Phils. Realty, Inc. and Allegro MicroSystems</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4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328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Philippines, Inc. (incorporated by reference from Exhibit 10.20 to the Company’s Registration Statement on Form S-1 filed on October 6,</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line="194" w:lineRule="exact"/>
              <w:rPr>
                <w:rFonts w:ascii="Times New Roman" w:cs="Times New Roman" w:eastAsia="Times New Roman" w:hAnsi="Times New Roman"/>
                <w:sz w:val="18"/>
                <w:szCs w:val="18"/>
                <w:color w:val="0000FF"/>
                <w:w w:val="90"/>
              </w:rPr>
            </w:pPr>
            <w:hyperlink r:id="rId120">
              <w:r>
                <w:rPr>
                  <w:rFonts w:ascii="Times New Roman" w:cs="Times New Roman" w:eastAsia="Times New Roman" w:hAnsi="Times New Roman"/>
                  <w:sz w:val="18"/>
                  <w:szCs w:val="18"/>
                  <w:color w:val="0000FF"/>
                  <w:w w:val="90"/>
                </w:rPr>
                <w:t>2020)</w:t>
              </w:r>
            </w:hyperlink>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0200" w:type="dxa"/>
            <w:vAlign w:val="bottom"/>
            <w:gridSpan w:val="18"/>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Contract of Lease, dated as of May 23, 2008, by and between Allegro MicroSystems Phils. Realty, Inc. and Allegro MicroSystems</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328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Philippines, Inc. (incorporated by reference from Exhibit 10.21 to the Company’s Registration Statement on Form S-1 filed on October 6,</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line="194" w:lineRule="exact"/>
              <w:rPr>
                <w:rFonts w:ascii="Times New Roman" w:cs="Times New Roman" w:eastAsia="Times New Roman" w:hAnsi="Times New Roman"/>
                <w:sz w:val="18"/>
                <w:szCs w:val="18"/>
                <w:color w:val="0000FF"/>
                <w:w w:val="90"/>
              </w:rPr>
            </w:pPr>
            <w:hyperlink r:id="rId121">
              <w:r>
                <w:rPr>
                  <w:rFonts w:ascii="Times New Roman" w:cs="Times New Roman" w:eastAsia="Times New Roman" w:hAnsi="Times New Roman"/>
                  <w:sz w:val="18"/>
                  <w:szCs w:val="18"/>
                  <w:color w:val="0000FF"/>
                  <w:w w:val="90"/>
                </w:rPr>
                <w:t>2020)</w:t>
              </w:r>
            </w:hyperlink>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10200" w:type="dxa"/>
            <w:vAlign w:val="bottom"/>
            <w:gridSpan w:val="18"/>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Contract of Lease, dated as of February 10, 2010, by and between Allegro MicroSystems Phils. Realty, Inc. and Allegro MicroSystems</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328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r>
      <w:tr>
        <w:trPr>
          <w:trHeight w:val="194"/>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Philippines, Inc. (incorporated by reference from Exhibit 10.22 to the Company’s Registration Statement on Form S-1 filed on October 6,</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line="194" w:lineRule="exact"/>
              <w:rPr>
                <w:rFonts w:ascii="Times New Roman" w:cs="Times New Roman" w:eastAsia="Times New Roman" w:hAnsi="Times New Roman"/>
                <w:sz w:val="18"/>
                <w:szCs w:val="18"/>
                <w:color w:val="0000FF"/>
                <w:w w:val="90"/>
              </w:rPr>
            </w:pPr>
            <w:hyperlink r:id="rId122">
              <w:r>
                <w:rPr>
                  <w:rFonts w:ascii="Times New Roman" w:cs="Times New Roman" w:eastAsia="Times New Roman" w:hAnsi="Times New Roman"/>
                  <w:sz w:val="18"/>
                  <w:szCs w:val="18"/>
                  <w:color w:val="0000FF"/>
                  <w:w w:val="90"/>
                </w:rPr>
                <w:t>2020)</w:t>
              </w:r>
            </w:hyperlink>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200" w:type="dxa"/>
            <w:vAlign w:val="bottom"/>
            <w:gridSpan w:val="18"/>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Contract of Lease, dated as of December 29, 2017, by and between Allegro MicroSystems Phils. Realty, Inc. and Allegro MicroSystems</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328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4"/>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Philippines, Inc. (incorporated by reference from Exhibit 10.23 to the Company’s Registration Statement on Form S-1 filed on October 6,</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line="194" w:lineRule="exact"/>
              <w:rPr>
                <w:rFonts w:ascii="Times New Roman" w:cs="Times New Roman" w:eastAsia="Times New Roman" w:hAnsi="Times New Roman"/>
                <w:sz w:val="18"/>
                <w:szCs w:val="18"/>
                <w:color w:val="0000FF"/>
                <w:w w:val="90"/>
              </w:rPr>
            </w:pPr>
            <w:hyperlink r:id="rId123">
              <w:r>
                <w:rPr>
                  <w:rFonts w:ascii="Times New Roman" w:cs="Times New Roman" w:eastAsia="Times New Roman" w:hAnsi="Times New Roman"/>
                  <w:sz w:val="18"/>
                  <w:szCs w:val="18"/>
                  <w:color w:val="0000FF"/>
                  <w:w w:val="90"/>
                </w:rPr>
                <w:t>2020)</w:t>
              </w:r>
            </w:hyperlink>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10200" w:type="dxa"/>
            <w:vAlign w:val="bottom"/>
            <w:gridSpan w:val="18"/>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Amended and Restated Allegro MicroSystems, LLC Executive Deferred Compensation Plan, dated as of September 15, 2015 (incorporated</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328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4"/>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by reference from Exhibit 10.30 to the Company’s Registration Statement on Form S-1/A filed on October 13, 2020)</w:t>
              </w:r>
              <w:r>
                <w:rPr>
                  <w:rFonts w:ascii="Times New Roman" w:cs="Times New Roman" w:eastAsia="Times New Roman" w:hAnsi="Times New Roman"/>
                  <w:sz w:val="18"/>
                  <w:szCs w:val="18"/>
                  <w:color w:val="000000"/>
                </w:rPr>
                <w:t>*</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3280" w:type="dxa"/>
            <w:vAlign w:val="bottom"/>
            <w:tcBorders>
              <w:right w:val="single" w:sz="8" w:color="0000EE"/>
            </w:tcBorders>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10200" w:type="dxa"/>
            <w:vAlign w:val="bottom"/>
            <w:gridSpan w:val="18"/>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Allegro MicroSystems, Inc. Non-Employee Director Deferred Compensation Plan (incorporated by reference from Exhibit 10.2 to the</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4680" w:type="dxa"/>
            <w:vAlign w:val="bottom"/>
            <w:gridSpan w:val="5"/>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4"/>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Company’s Quarterly Report on Form 10-Q filed on January 30, 2026)</w:t>
              </w:r>
              <w:r>
                <w:rPr>
                  <w:rFonts w:ascii="Times New Roman" w:cs="Times New Roman" w:eastAsia="Times New Roman" w:hAnsi="Times New Roman"/>
                  <w:sz w:val="18"/>
                  <w:szCs w:val="18"/>
                  <w:color w:val="000000"/>
                </w:rPr>
                <w:t>*</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tcBorders>
              <w:right w:val="single" w:sz="8" w:color="0000EE"/>
            </w:tcBorders>
            <w:gridSpan w:val="3"/>
            <w:shd w:val="clear" w:color="auto" w:fill="0000FF"/>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10200" w:type="dxa"/>
            <w:vAlign w:val="bottom"/>
            <w:gridSpan w:val="18"/>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Allegro MicroSystems, Inc. 2020 Omnibus Incentive Compensation Plan (incorporated by reference from Exhibit 10.7 to the</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440" w:type="dxa"/>
            <w:vAlign w:val="bottom"/>
            <w:gridSpan w:val="8"/>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4"/>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Company’s Annual Report on Form 10-K on May 23, 2024)</w:t>
              </w:r>
              <w:r>
                <w:rPr>
                  <w:rFonts w:ascii="Times New Roman" w:cs="Times New Roman" w:eastAsia="Times New Roman" w:hAnsi="Times New Roman"/>
                  <w:sz w:val="18"/>
                  <w:szCs w:val="18"/>
                  <w:color w:val="000000"/>
                </w:rPr>
                <w:t>*</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10200" w:type="dxa"/>
            <w:vAlign w:val="bottom"/>
            <w:gridSpan w:val="18"/>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Allegro MicroSystems, Inc. Annual Incentive Plan (incorporated by reference from Exhibit 10.8 to the Company’s Annual Report</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FF"/>
            </w:tcBorders>
            <w:gridSpan w:val="3"/>
            <w:shd w:val="clear" w:color="auto" w:fill="0000FF"/>
          </w:tcPr>
          <w:p>
            <w:pPr>
              <w:spacing w:after="0" w:line="20" w:lineRule="exact"/>
              <w:rPr>
                <w:sz w:val="1"/>
                <w:szCs w:val="1"/>
                <w:color w:val="auto"/>
              </w:rPr>
            </w:pPr>
          </w:p>
        </w:tc>
        <w:tc>
          <w:tcPr>
            <w:tcW w:w="7400" w:type="dxa"/>
            <w:vAlign w:val="bottom"/>
            <w:gridSpan w:val="10"/>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4"/>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on Form 10-K on May 23, 2024)</w:t>
              </w:r>
              <w:r>
                <w:rPr>
                  <w:rFonts w:ascii="Times New Roman" w:cs="Times New Roman" w:eastAsia="Times New Roman" w:hAnsi="Times New Roman"/>
                  <w:sz w:val="18"/>
                  <w:szCs w:val="18"/>
                  <w:color w:val="000000"/>
                </w:rPr>
                <w:t>*</w:t>
              </w:r>
            </w:hyperlink>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EE"/>
            </w:tcBorders>
            <w:gridSpan w:val="3"/>
            <w:shd w:val="clear" w:color="auto" w:fill="0000FF"/>
          </w:tcPr>
          <w:p>
            <w:pPr>
              <w:spacing w:after="0" w:line="20" w:lineRule="exact"/>
              <w:rPr>
                <w:sz w:val="1"/>
                <w:szCs w:val="1"/>
                <w:color w:val="auto"/>
              </w:rPr>
            </w:pPr>
          </w:p>
        </w:tc>
        <w:tc>
          <w:tcPr>
            <w:tcW w:w="7400" w:type="dxa"/>
            <w:vAlign w:val="bottom"/>
            <w:gridSpan w:val="10"/>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Form of Restricted Stock Unit Agreement under Allegro MicroSystems, Inc. 2020 Omnibus Incentive Compensation Plan (Employees)*</w:t>
            </w:r>
          </w:p>
        </w:tc>
      </w:tr>
      <w:tr>
        <w:trPr>
          <w:trHeight w:val="20"/>
        </w:trPr>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740" w:type="dxa"/>
            <w:vAlign w:val="bottom"/>
            <w:gridSpan w:val="13"/>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r>
      <w:tr>
        <w:trPr>
          <w:trHeight w:val="40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Form of Restricted Stock Unit Agreement under Allegro MicroSystems, Inc. 2020 Omnibus Incentive Compensation Plan (Executives)*</w:t>
            </w:r>
          </w:p>
        </w:tc>
      </w:tr>
      <w:tr>
        <w:trPr>
          <w:trHeight w:val="449"/>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00" w:type="dxa"/>
            <w:vAlign w:val="bottom"/>
            <w:tcBorders>
              <w:top w:val="single" w:sz="8" w:color="0000FF"/>
            </w:tcBorders>
            <w:gridSpan w:val="6"/>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8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55"/>
        </w:trPr>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w w:val="93"/>
              </w:rPr>
              <w:t>10.11</w:t>
            </w:r>
          </w:p>
        </w:tc>
        <w:tc>
          <w:tcPr>
            <w:tcW w:w="10200" w:type="dxa"/>
            <w:vAlign w:val="bottom"/>
            <w:gridSpan w:val="18"/>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Restricted Stock Unit Agreement under Allegro MicroSystems, Inc. 2020 Omnibus Incentive Compensation Plan (Board of</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Directors) (incorporated by reference from Exhibit 10.34 to the Company’s Registration Statement on Form S-1/A filed on October 21,</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600" w:type="dxa"/>
            <w:vAlign w:val="bottom"/>
            <w:gridSpan w:val="2"/>
          </w:tcPr>
          <w:p>
            <w:pPr>
              <w:spacing w:after="0" w:line="194"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2020)</w:t>
              </w:r>
              <w:r>
                <w:rPr>
                  <w:rFonts w:ascii="Times New Roman" w:cs="Times New Roman" w:eastAsia="Times New Roman" w:hAnsi="Times New Roman"/>
                  <w:sz w:val="18"/>
                  <w:szCs w:val="18"/>
                  <w:color w:val="000000"/>
                </w:rPr>
                <w:t>*</w:t>
              </w:r>
            </w:hyperlink>
          </w:p>
        </w:tc>
        <w:tc>
          <w:tcPr>
            <w:tcW w:w="3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10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w w:val="93"/>
              </w:rPr>
              <w:t>10.12</w:t>
            </w: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Form of Performance Stock Unit Agreement under Allegro MicroSystems, Inc. 2020 Omnibus Incentive Compensation Plan*</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10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w w:val="93"/>
              </w:rPr>
              <w:t>10.13</w:t>
            </w:r>
          </w:p>
        </w:tc>
        <w:tc>
          <w:tcPr>
            <w:tcW w:w="10200" w:type="dxa"/>
            <w:vAlign w:val="bottom"/>
            <w:gridSpan w:val="18"/>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Allegro MicroSystems, Inc. 2020 Employee Stock Purchase Plan (incorporated by reference from Exhibit 99.5 to the Company’s</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Registration Statement on Form S-8 filed on October 30, 2020)</w:t>
              </w:r>
              <w:r>
                <w:rPr>
                  <w:rFonts w:ascii="Times New Roman" w:cs="Times New Roman" w:eastAsia="Times New Roman" w:hAnsi="Times New Roman"/>
                  <w:sz w:val="18"/>
                  <w:szCs w:val="18"/>
                  <w:color w:val="000000"/>
                </w:rPr>
                <w:t>*</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92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10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w w:val="93"/>
              </w:rPr>
              <w:t>10.14</w:t>
            </w:r>
          </w:p>
        </w:tc>
        <w:tc>
          <w:tcPr>
            <w:tcW w:w="10200" w:type="dxa"/>
            <w:vAlign w:val="bottom"/>
            <w:gridSpan w:val="18"/>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Severance Agreement between Allegro MicroSystems, Inc. and its executive officers (incorporated by reference from Exhibit 10.32</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to the Company’s Annual Report on Form 10-K filed on May 25, 2023)</w:t>
              </w:r>
              <w:r>
                <w:rPr>
                  <w:rFonts w:ascii="Times New Roman" w:cs="Times New Roman" w:eastAsia="Times New Roman" w:hAnsi="Times New Roman"/>
                  <w:sz w:val="18"/>
                  <w:szCs w:val="18"/>
                  <w:color w:val="000000"/>
                </w:rPr>
                <w:t>*</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10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w w:val="93"/>
              </w:rPr>
              <w:t>10.15</w:t>
            </w:r>
          </w:p>
        </w:tc>
        <w:tc>
          <w:tcPr>
            <w:tcW w:w="10200" w:type="dxa"/>
            <w:vAlign w:val="bottom"/>
            <w:gridSpan w:val="18"/>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Amended and Restated Form of Severance Agreement between Allegro MicroSystems, Inc. and its executive officers (incorporated by</w:t>
              </w:r>
            </w:hyperlink>
          </w:p>
        </w:tc>
      </w:tr>
      <w:tr>
        <w:trPr>
          <w:trHeight w:val="20"/>
        </w:trPr>
        <w:tc>
          <w:tcPr>
            <w:tcW w:w="104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900" w:type="dxa"/>
            <w:vAlign w:val="bottom"/>
            <w:gridSpan w:val="3"/>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reference from Exhibit 10.14 to the Company's Annual Report on Form 10-K filed on May 22, 2025)</w:t>
              </w:r>
              <w:r>
                <w:rPr>
                  <w:rFonts w:ascii="Times New Roman" w:cs="Times New Roman" w:eastAsia="Times New Roman" w:hAnsi="Times New Roman"/>
                  <w:sz w:val="18"/>
                  <w:szCs w:val="18"/>
                  <w:color w:val="000000"/>
                </w:rPr>
                <w:t>*</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900" w:type="dxa"/>
            <w:vAlign w:val="bottom"/>
            <w:gridSpan w:val="3"/>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10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w w:val="93"/>
              </w:rPr>
              <w:t>10.16</w:t>
            </w:r>
          </w:p>
        </w:tc>
        <w:tc>
          <w:tcPr>
            <w:tcW w:w="10200" w:type="dxa"/>
            <w:vAlign w:val="bottom"/>
            <w:gridSpan w:val="18"/>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Summary of Allegro MicroSystems, Inc. Non-Employee Director Compensation, as amended (incorporated by reference from Exhibit 10.1</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900" w:type="dxa"/>
            <w:vAlign w:val="bottom"/>
            <w:gridSpan w:val="3"/>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to the Company’s Quarterly Report on Form 10-Q filed on January 30, 2026)</w:t>
              </w:r>
              <w:r>
                <w:rPr>
                  <w:rFonts w:ascii="Times New Roman" w:cs="Times New Roman" w:eastAsia="Times New Roman" w:hAnsi="Times New Roman"/>
                  <w:sz w:val="18"/>
                  <w:szCs w:val="18"/>
                  <w:color w:val="000000"/>
                </w:rPr>
                <w:t>*</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900" w:type="dxa"/>
            <w:vAlign w:val="bottom"/>
            <w:gridSpan w:val="3"/>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10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w w:val="93"/>
              </w:rPr>
              <w:t>10.17</w:t>
            </w:r>
          </w:p>
        </w:tc>
        <w:tc>
          <w:tcPr>
            <w:tcW w:w="10200" w:type="dxa"/>
            <w:vAlign w:val="bottom"/>
            <w:gridSpan w:val="18"/>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Indemnification Agreement between Allegro MicroSystems, Inc. and its directors and officers (incorporated by reference from</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40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Exhibit 10.43 to the Company’s Registration Statement on Form S-1/A filed on October 21, 2020)</w:t>
              </w:r>
              <w:r>
                <w:rPr>
                  <w:rFonts w:ascii="Times New Roman" w:cs="Times New Roman" w:eastAsia="Times New Roman" w:hAnsi="Times New Roman"/>
                  <w:sz w:val="18"/>
                  <w:szCs w:val="18"/>
                  <w:color w:val="000000"/>
                </w:rPr>
                <w:t>*</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40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10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w w:val="93"/>
              </w:rPr>
              <w:t>10.18</w:t>
            </w:r>
          </w:p>
        </w:tc>
        <w:tc>
          <w:tcPr>
            <w:tcW w:w="10200" w:type="dxa"/>
            <w:vAlign w:val="bottom"/>
            <w:gridSpan w:val="18"/>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Employment Agreement, dated February 23, 2025, by and between Allegro MicroSystems, Inc. and Michael C. Doogue (incorporated by</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52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reference from Exhibit 10.1 to the Company’s Current Report on Form 8-K filed on February 24, 2025)</w:t>
              </w:r>
              <w:r>
                <w:rPr>
                  <w:rFonts w:ascii="Times New Roman" w:cs="Times New Roman" w:eastAsia="Times New Roman" w:hAnsi="Times New Roman"/>
                  <w:sz w:val="18"/>
                  <w:szCs w:val="18"/>
                  <w:color w:val="000000"/>
                </w:rPr>
                <w:t>*</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52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10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w w:val="93"/>
              </w:rPr>
              <w:t>10.19</w:t>
            </w:r>
          </w:p>
        </w:tc>
        <w:tc>
          <w:tcPr>
            <w:tcW w:w="10200" w:type="dxa"/>
            <w:vAlign w:val="bottom"/>
            <w:gridSpan w:val="18"/>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Separation Agreement and General Release of Claims, dated February 23, 2025, by and between Allegro MicroSystems, Inc. and Vineet</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52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Nargolwala (incorporated by reference from Exhibit 10.2 to the Company’s Current Report on Form 8-K filed on February 24, 2025)</w:t>
              </w:r>
              <w:r>
                <w:rPr>
                  <w:rFonts w:ascii="Times New Roman" w:cs="Times New Roman" w:eastAsia="Times New Roman" w:hAnsi="Times New Roman"/>
                  <w:sz w:val="18"/>
                  <w:szCs w:val="18"/>
                  <w:color w:val="000000"/>
                </w:rPr>
                <w:t>*</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52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10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w w:val="93"/>
              </w:rPr>
              <w:t>10.20</w:t>
            </w:r>
          </w:p>
        </w:tc>
        <w:tc>
          <w:tcPr>
            <w:tcW w:w="10200" w:type="dxa"/>
            <w:vAlign w:val="bottom"/>
            <w:gridSpan w:val="18"/>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Wafer Foundry Agreement, effective January 26, 2023, by and between Allegro MicroSystems, Inc. and Polar Semiconductor, LLC</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52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(incorporated by reference from Exhibit 10.6 to the Company’s Quarterly Report on Form 10-Q filed on February 1, 2023)</w:t>
              </w:r>
              <w:r>
                <w:rPr>
                  <w:rFonts w:ascii="Times New Roman" w:cs="Times New Roman" w:eastAsia="Times New Roman" w:hAnsi="Times New Roman"/>
                  <w:sz w:val="18"/>
                  <w:szCs w:val="18"/>
                  <w:color w:val="000000"/>
                </w:rPr>
                <w:t>†</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52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10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w w:val="93"/>
              </w:rPr>
              <w:t>10.21</w:t>
            </w:r>
          </w:p>
        </w:tc>
        <w:tc>
          <w:tcPr>
            <w:tcW w:w="10200" w:type="dxa"/>
            <w:vAlign w:val="bottom"/>
            <w:gridSpan w:val="18"/>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Amended and Restated Limited Partnership Agreement of Polar Semiconductor, L.P. by and among Polar Semiconductor, LP, Polar</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52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Semiconductor GP I, LLC, Allegro MicroSystems, Inc., Sanken Electric Co., Ltd, and PS Investment Aggregator, LP dated as of September</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52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20, 2024 (incorporated by reference from Exhibit 10.1 to the Company’s Current Report on Form 8-K filed on September 24, 2024)</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52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10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w w:val="93"/>
              </w:rPr>
              <w:t>10.22</w:t>
            </w:r>
          </w:p>
        </w:tc>
        <w:tc>
          <w:tcPr>
            <w:tcW w:w="10200" w:type="dxa"/>
            <w:vAlign w:val="bottom"/>
            <w:gridSpan w:val="18"/>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Revolving Facility Credit Agreement, dated as of June 21, 2023, by and among Allegro MicroSystems, Inc., as borrower, Morgan Stanley</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52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Senior Funding, Inc. as administrative agent and collateral agent, and the other lenders from time to time party thereto (incorporated by</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52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reference from Exhibit 10.1 to the Company’s Current Report on Form 8-K Filed on June 23, 2023)^</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520" w:type="dxa"/>
            <w:vAlign w:val="bottom"/>
            <w:tcBorders>
              <w:right w:val="single" w:sz="8" w:color="0000EE"/>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10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w w:val="93"/>
              </w:rPr>
              <w:t>10.23</w:t>
            </w:r>
          </w:p>
        </w:tc>
        <w:tc>
          <w:tcPr>
            <w:tcW w:w="10200" w:type="dxa"/>
            <w:vAlign w:val="bottom"/>
            <w:gridSpan w:val="18"/>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Term Loan Credit Agreement - First Amendment, dated as of June 28, 2023, by and between Allegro MicroSystems, Inc. and Credit Suisse</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620" w:type="dxa"/>
            <w:vAlign w:val="bottom"/>
            <w:tcBorders>
              <w:right w:val="single" w:sz="8" w:color="0000FF"/>
            </w:tcBorders>
            <w:gridSpan w:val="6"/>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AG, Cayman Islands Branch (incorporated by reference from Exhibit 10.5 to the Company’s Quarterly Report on Form 10-Q filed on August</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600" w:type="dxa"/>
            <w:vAlign w:val="bottom"/>
            <w:gridSpan w:val="2"/>
          </w:tcPr>
          <w:p>
            <w:pPr>
              <w:spacing w:after="0" w:line="194" w:lineRule="exact"/>
              <w:rPr>
                <w:rFonts w:ascii="Times New Roman" w:cs="Times New Roman" w:eastAsia="Times New Roman" w:hAnsi="Times New Roman"/>
                <w:sz w:val="18"/>
                <w:szCs w:val="18"/>
                <w:color w:val="0000FF"/>
                <w:w w:val="93"/>
              </w:rPr>
            </w:pPr>
            <w:hyperlink r:id="rId141">
              <w:r>
                <w:rPr>
                  <w:rFonts w:ascii="Times New Roman" w:cs="Times New Roman" w:eastAsia="Times New Roman" w:hAnsi="Times New Roman"/>
                  <w:sz w:val="18"/>
                  <w:szCs w:val="18"/>
                  <w:color w:val="0000FF"/>
                  <w:w w:val="93"/>
                </w:rPr>
                <w:t>4, 2023)</w:t>
              </w:r>
            </w:hyperlink>
          </w:p>
        </w:tc>
        <w:tc>
          <w:tcPr>
            <w:tcW w:w="3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6620" w:type="dxa"/>
            <w:vAlign w:val="bottom"/>
            <w:gridSpan w:val="6"/>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08"/>
        </w:trPr>
        <w:tc>
          <w:tcPr>
            <w:tcW w:w="10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w w:val="93"/>
              </w:rPr>
              <w:t>10.24</w:t>
            </w:r>
          </w:p>
        </w:tc>
        <w:tc>
          <w:tcPr>
            <w:tcW w:w="10200" w:type="dxa"/>
            <w:vAlign w:val="bottom"/>
            <w:gridSpan w:val="18"/>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First Amendment to Revolving Facility Credit Agreement, dated October 31, 2023, by and among Allegro MicroSystems, Inc., as borrower,</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20" w:type="dxa"/>
            <w:vAlign w:val="bottom"/>
            <w:tcBorders>
              <w:right w:val="single" w:sz="8" w:color="0000FF"/>
            </w:tcBorders>
            <w:gridSpan w:val="8"/>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Morgan Stanley Senior Funding, Inc., as administrative agent and collateral agent, and the other lenders from time to time party thereto</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20" w:type="dxa"/>
            <w:vAlign w:val="bottom"/>
            <w:tcBorders>
              <w:right w:val="single" w:sz="8" w:color="0000FF"/>
            </w:tcBorders>
            <w:gridSpan w:val="8"/>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(incorporated by reference from Exhibit 10.1 to the Company’s Current Report on Form 8-K filed on November 1, 2023)^</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20" w:type="dxa"/>
            <w:vAlign w:val="bottom"/>
            <w:tcBorders>
              <w:right w:val="single" w:sz="8" w:color="0000FF"/>
            </w:tcBorders>
            <w:gridSpan w:val="8"/>
            <w:shd w:val="clear" w:color="auto" w:fill="0000FF"/>
          </w:tcPr>
          <w:p>
            <w:pPr>
              <w:spacing w:after="0" w:line="20" w:lineRule="exact"/>
              <w:rPr>
                <w:sz w:val="1"/>
                <w:szCs w:val="1"/>
                <w:color w:val="auto"/>
              </w:rPr>
            </w:pPr>
          </w:p>
        </w:tc>
        <w:tc>
          <w:tcPr>
            <w:tcW w:w="1420" w:type="dxa"/>
            <w:vAlign w:val="bottom"/>
            <w:tcBorders>
              <w:right w:val="single" w:sz="8" w:color="0000EE"/>
            </w:tcBorders>
            <w:gridSpan w:val="2"/>
            <w:shd w:val="clear" w:color="auto" w:fill="0000FF"/>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08"/>
        </w:trPr>
        <w:tc>
          <w:tcPr>
            <w:tcW w:w="10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w w:val="93"/>
              </w:rPr>
              <w:t>10.25</w:t>
            </w:r>
          </w:p>
        </w:tc>
        <w:tc>
          <w:tcPr>
            <w:tcW w:w="10200" w:type="dxa"/>
            <w:vAlign w:val="bottom"/>
            <w:gridSpan w:val="18"/>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Second Amendment to the Credit Agreement, dated August 6, 2024, by and among Allegro MicroSystems, Inc., Allegro MicroSystems,</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20" w:type="dxa"/>
            <w:vAlign w:val="bottom"/>
            <w:tcBorders>
              <w:right w:val="single" w:sz="8" w:color="0000FF"/>
            </w:tcBorders>
            <w:gridSpan w:val="8"/>
            <w:shd w:val="clear" w:color="auto" w:fill="0000FF"/>
          </w:tcPr>
          <w:p>
            <w:pPr>
              <w:spacing w:after="0" w:line="20" w:lineRule="exact"/>
              <w:rPr>
                <w:sz w:val="1"/>
                <w:szCs w:val="1"/>
                <w:color w:val="auto"/>
              </w:rPr>
            </w:pPr>
          </w:p>
        </w:tc>
        <w:tc>
          <w:tcPr>
            <w:tcW w:w="2840" w:type="dxa"/>
            <w:vAlign w:val="bottom"/>
            <w:gridSpan w:val="8"/>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LLC, Morgan Stanley Senior Funding, Inc. and each lender from time to time party thereto, effective as of August 6, 2024 (incorporated by</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220" w:type="dxa"/>
            <w:vAlign w:val="bottom"/>
            <w:tcBorders>
              <w:right w:val="single" w:sz="8" w:color="0000FF"/>
            </w:tcBorders>
            <w:gridSpan w:val="8"/>
            <w:shd w:val="clear" w:color="auto" w:fill="0000FF"/>
          </w:tcPr>
          <w:p>
            <w:pPr>
              <w:spacing w:after="0" w:line="20" w:lineRule="exact"/>
              <w:rPr>
                <w:sz w:val="1"/>
                <w:szCs w:val="1"/>
                <w:color w:val="auto"/>
              </w:rPr>
            </w:pPr>
          </w:p>
        </w:tc>
        <w:tc>
          <w:tcPr>
            <w:tcW w:w="2840" w:type="dxa"/>
            <w:vAlign w:val="bottom"/>
            <w:gridSpan w:val="8"/>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200" w:type="dxa"/>
            <w:vAlign w:val="bottom"/>
            <w:gridSpan w:val="18"/>
          </w:tcPr>
          <w:p>
            <w:pPr>
              <w:spacing w:after="0" w:line="194"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reference from Exhibit 10.1 to the Company's Current Report on Form 8-K filed on August 7, 2024)</w:t>
              </w:r>
            </w:hyperlink>
          </w:p>
        </w:tc>
      </w:tr>
      <w:tr>
        <w:trPr>
          <w:trHeight w:val="663"/>
        </w:trPr>
        <w:tc>
          <w:tcPr>
            <w:tcW w:w="1040" w:type="dxa"/>
            <w:vAlign w:val="bottom"/>
          </w:tcPr>
          <w:p>
            <w:pPr>
              <w:spacing w:after="0"/>
              <w:rPr>
                <w:sz w:val="24"/>
                <w:szCs w:val="24"/>
                <w:color w:val="auto"/>
              </w:rPr>
            </w:pPr>
          </w:p>
        </w:tc>
        <w:tc>
          <w:tcPr>
            <w:tcW w:w="5100" w:type="dxa"/>
            <w:vAlign w:val="bottom"/>
            <w:tcBorders>
              <w:top w:val="single" w:sz="8" w:color="0000FF"/>
            </w:tcBorders>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tcBorders>
              <w:top w:val="single" w:sz="8" w:color="0000FF"/>
            </w:tcBorders>
          </w:tcPr>
          <w:p>
            <w:pPr>
              <w:spacing w:after="0"/>
              <w:rPr>
                <w:sz w:val="24"/>
                <w:szCs w:val="24"/>
                <w:color w:val="auto"/>
              </w:rPr>
            </w:pPr>
          </w:p>
        </w:tc>
        <w:tc>
          <w:tcPr>
            <w:tcW w:w="15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55"/>
        </w:trPr>
        <w:tc>
          <w:tcPr>
            <w:tcW w:w="10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100" w:type="dxa"/>
            <w:vAlign w:val="bottom"/>
            <w:gridSpan w:val="8"/>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Third Amendment to the Credit Agreement by and among Allegro MicroSystems, Inc., Allegro MicroSystems, LLC, Morgan Stanley Senior</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900" w:type="dxa"/>
            <w:vAlign w:val="bottom"/>
            <w:tcBorders>
              <w:right w:val="single" w:sz="8" w:color="0000EE"/>
            </w:tcBorders>
            <w:shd w:val="clear" w:color="auto" w:fill="0000FF"/>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100" w:type="dxa"/>
            <w:vAlign w:val="bottom"/>
            <w:gridSpan w:val="8"/>
          </w:tcPr>
          <w:p>
            <w:pPr>
              <w:spacing w:after="0" w:line="194"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Funding, Inc. and each lender from time to time party thereto, effective as of February 6, 2025 (incorporated by reference from Exhibit 10.1</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900" w:type="dxa"/>
            <w:vAlign w:val="bottom"/>
            <w:tcBorders>
              <w:right w:val="single" w:sz="8" w:color="0000FF"/>
            </w:tcBorders>
            <w:shd w:val="clear" w:color="auto" w:fill="0000FF"/>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100" w:type="dxa"/>
            <w:vAlign w:val="bottom"/>
            <w:gridSpan w:val="8"/>
          </w:tcPr>
          <w:p>
            <w:pPr>
              <w:spacing w:after="0" w:line="194"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to the Company’s Current Report on Form 8-K filed on February 6, 2025)</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40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100" w:type="dxa"/>
            <w:vAlign w:val="bottom"/>
            <w:gridSpan w:val="8"/>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Fourth Amendment to the Credit Agreement by and among Allegro MicroSystems, Inc., Allegro MicroSystems, LLC, Morgan Stanley</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900" w:type="dxa"/>
            <w:vAlign w:val="bottom"/>
            <w:tcBorders>
              <w:right w:val="single" w:sz="8" w:color="0000EE"/>
            </w:tcBorders>
            <w:shd w:val="clear" w:color="auto" w:fill="0000FF"/>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100" w:type="dxa"/>
            <w:vAlign w:val="bottom"/>
            <w:gridSpan w:val="8"/>
          </w:tcPr>
          <w:p>
            <w:pPr>
              <w:spacing w:after="0" w:line="194"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Senior Funding, Inc. and each lender from time to time party thereto, effective as of January 21, 2026 (incorporated by reference from</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900" w:type="dxa"/>
            <w:vAlign w:val="bottom"/>
            <w:tcBorders>
              <w:right w:val="single" w:sz="8" w:color="0000FF"/>
            </w:tcBorders>
            <w:shd w:val="clear" w:color="auto" w:fill="0000FF"/>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100" w:type="dxa"/>
            <w:vAlign w:val="bottom"/>
            <w:gridSpan w:val="8"/>
          </w:tcPr>
          <w:p>
            <w:pPr>
              <w:spacing w:after="0" w:line="194"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Exhibit 10.1 to the Company’s Current Report on Form 8-K filed on January 21, 2026)</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40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Insider Trading Compliance Policy of Allegro MicroSystems, Inc., as amended</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gridSpan w:val="2"/>
            <w:shd w:val="clear" w:color="auto" w:fill="0000FF"/>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r>
      <w:tr>
        <w:trPr>
          <w:trHeight w:val="40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Subsidiaries of Allegro MicroSystems, Inc.</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40" w:type="dxa"/>
            <w:vAlign w:val="bottom"/>
            <w:gridSpan w:val="4"/>
          </w:tcPr>
          <w:p>
            <w:pPr>
              <w:spacing w:after="0" w:line="20" w:lineRule="exact"/>
              <w:rPr>
                <w:sz w:val="1"/>
                <w:szCs w:val="1"/>
                <w:color w:val="auto"/>
              </w:rPr>
            </w:pPr>
          </w:p>
        </w:tc>
      </w:tr>
      <w:tr>
        <w:trPr>
          <w:trHeight w:val="40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240" w:type="dxa"/>
            <w:vAlign w:val="bottom"/>
            <w:gridSpan w:val="4"/>
          </w:tcPr>
          <w:p>
            <w:pPr>
              <w:spacing w:after="0" w:line="20" w:lineRule="exact"/>
              <w:rPr>
                <w:sz w:val="1"/>
                <w:szCs w:val="1"/>
                <w:color w:val="auto"/>
              </w:rPr>
            </w:pPr>
          </w:p>
        </w:tc>
      </w:tr>
      <w:tr>
        <w:trPr>
          <w:trHeight w:val="40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820" w:type="dxa"/>
            <w:vAlign w:val="bottom"/>
            <w:gridSpan w:val="3"/>
            <w:shd w:val="clear" w:color="auto" w:fill="0000FF"/>
          </w:tcPr>
          <w:p>
            <w:pPr>
              <w:spacing w:after="0" w:line="20" w:lineRule="exact"/>
              <w:rPr>
                <w:sz w:val="1"/>
                <w:szCs w:val="1"/>
                <w:color w:val="auto"/>
              </w:rPr>
            </w:pPr>
          </w:p>
        </w:tc>
        <w:tc>
          <w:tcPr>
            <w:tcW w:w="52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1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820" w:type="dxa"/>
            <w:vAlign w:val="bottom"/>
            <w:gridSpan w:val="3"/>
            <w:shd w:val="clear" w:color="auto" w:fill="0000FF"/>
          </w:tcPr>
          <w:p>
            <w:pPr>
              <w:spacing w:after="0" w:line="20" w:lineRule="exact"/>
              <w:rPr>
                <w:sz w:val="1"/>
                <w:szCs w:val="1"/>
                <w:color w:val="auto"/>
              </w:rPr>
            </w:pPr>
          </w:p>
        </w:tc>
        <w:tc>
          <w:tcPr>
            <w:tcW w:w="5240" w:type="dxa"/>
            <w:vAlign w:val="bottom"/>
            <w:tcBorders>
              <w:left w:val="single" w:sz="8" w:color="0000EE"/>
            </w:tcBorders>
            <w:gridSpan w:val="4"/>
          </w:tcPr>
          <w:p>
            <w:pPr>
              <w:spacing w:after="0" w:line="20" w:lineRule="exact"/>
              <w:rPr>
                <w:sz w:val="1"/>
                <w:szCs w:val="1"/>
                <w:color w:val="auto"/>
              </w:rPr>
            </w:pPr>
          </w:p>
        </w:tc>
      </w:tr>
      <w:tr>
        <w:trPr>
          <w:trHeight w:val="40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820" w:type="dxa"/>
            <w:vAlign w:val="bottom"/>
            <w:gridSpan w:val="3"/>
            <w:shd w:val="clear" w:color="auto" w:fill="0000FF"/>
          </w:tcPr>
          <w:p>
            <w:pPr>
              <w:spacing w:after="0" w:line="20" w:lineRule="exact"/>
              <w:rPr>
                <w:sz w:val="1"/>
                <w:szCs w:val="1"/>
                <w:color w:val="auto"/>
              </w:rPr>
            </w:pPr>
          </w:p>
        </w:tc>
        <w:tc>
          <w:tcPr>
            <w:tcW w:w="52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1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820" w:type="dxa"/>
            <w:vAlign w:val="bottom"/>
            <w:gridSpan w:val="3"/>
            <w:shd w:val="clear" w:color="auto" w:fill="0000FF"/>
          </w:tcPr>
          <w:p>
            <w:pPr>
              <w:spacing w:after="0" w:line="20" w:lineRule="exact"/>
              <w:rPr>
                <w:sz w:val="1"/>
                <w:szCs w:val="1"/>
                <w:color w:val="auto"/>
              </w:rPr>
            </w:pPr>
          </w:p>
        </w:tc>
        <w:tc>
          <w:tcPr>
            <w:tcW w:w="5240" w:type="dxa"/>
            <w:vAlign w:val="bottom"/>
            <w:tcBorders>
              <w:left w:val="single" w:sz="8" w:color="0000EE"/>
            </w:tcBorders>
            <w:gridSpan w:val="4"/>
          </w:tcPr>
          <w:p>
            <w:pPr>
              <w:spacing w:after="0" w:line="20" w:lineRule="exact"/>
              <w:rPr>
                <w:sz w:val="1"/>
                <w:szCs w:val="1"/>
                <w:color w:val="auto"/>
              </w:rPr>
            </w:pPr>
          </w:p>
        </w:tc>
      </w:tr>
      <w:tr>
        <w:trPr>
          <w:trHeight w:val="40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820" w:type="dxa"/>
            <w:vAlign w:val="bottom"/>
            <w:gridSpan w:val="3"/>
            <w:shd w:val="clear" w:color="auto" w:fill="0000FF"/>
          </w:tcPr>
          <w:p>
            <w:pPr>
              <w:spacing w:after="0" w:line="20" w:lineRule="exact"/>
              <w:rPr>
                <w:sz w:val="1"/>
                <w:szCs w:val="1"/>
                <w:color w:val="auto"/>
              </w:rPr>
            </w:pPr>
          </w:p>
        </w:tc>
        <w:tc>
          <w:tcPr>
            <w:tcW w:w="52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1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5240" w:type="dxa"/>
            <w:vAlign w:val="bottom"/>
            <w:gridSpan w:val="4"/>
          </w:tcPr>
          <w:p>
            <w:pPr>
              <w:spacing w:after="0" w:line="20" w:lineRule="exact"/>
              <w:rPr>
                <w:sz w:val="1"/>
                <w:szCs w:val="1"/>
                <w:color w:val="auto"/>
              </w:rPr>
            </w:pPr>
          </w:p>
        </w:tc>
      </w:tr>
      <w:tr>
        <w:trPr>
          <w:trHeight w:val="40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860" w:type="dxa"/>
            <w:vAlign w:val="bottom"/>
            <w:gridSpan w:val="4"/>
            <w:shd w:val="clear" w:color="auto" w:fill="0000FF"/>
          </w:tcPr>
          <w:p>
            <w:pPr>
              <w:spacing w:after="0" w:line="20" w:lineRule="exact"/>
              <w:rPr>
                <w:sz w:val="1"/>
                <w:szCs w:val="1"/>
                <w:color w:val="auto"/>
              </w:rPr>
            </w:pPr>
          </w:p>
        </w:tc>
        <w:tc>
          <w:tcPr>
            <w:tcW w:w="52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1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5240" w:type="dxa"/>
            <w:vAlign w:val="bottom"/>
            <w:gridSpan w:val="4"/>
          </w:tcPr>
          <w:p>
            <w:pPr>
              <w:spacing w:after="0" w:line="20" w:lineRule="exact"/>
              <w:rPr>
                <w:sz w:val="1"/>
                <w:szCs w:val="1"/>
                <w:color w:val="auto"/>
              </w:rPr>
            </w:pPr>
          </w:p>
        </w:tc>
      </w:tr>
      <w:tr>
        <w:trPr>
          <w:trHeight w:val="40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0100" w:type="dxa"/>
            <w:vAlign w:val="bottom"/>
            <w:gridSpan w:val="8"/>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Policy for Recovery of Erroneously Awarded Compensation of Allegro MicroSystems, Inc. (incorporated by reference from Exhibit 97.1 to</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860" w:type="dxa"/>
            <w:vAlign w:val="bottom"/>
            <w:gridSpan w:val="4"/>
            <w:shd w:val="clear" w:color="auto" w:fill="0000FF"/>
          </w:tcPr>
          <w:p>
            <w:pPr>
              <w:spacing w:after="0" w:line="20" w:lineRule="exact"/>
              <w:rPr>
                <w:sz w:val="1"/>
                <w:szCs w:val="1"/>
                <w:color w:val="auto"/>
              </w:rPr>
            </w:pPr>
          </w:p>
        </w:tc>
        <w:tc>
          <w:tcPr>
            <w:tcW w:w="52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r>
      <w:tr>
        <w:trPr>
          <w:trHeight w:val="194"/>
        </w:trPr>
        <w:tc>
          <w:tcPr>
            <w:tcW w:w="1040" w:type="dxa"/>
            <w:vAlign w:val="bottom"/>
          </w:tcPr>
          <w:p>
            <w:pPr>
              <w:spacing w:after="0"/>
              <w:rPr>
                <w:sz w:val="16"/>
                <w:szCs w:val="16"/>
                <w:color w:val="auto"/>
              </w:rPr>
            </w:pPr>
          </w:p>
        </w:tc>
        <w:tc>
          <w:tcPr>
            <w:tcW w:w="10100" w:type="dxa"/>
            <w:vAlign w:val="bottom"/>
            <w:gridSpan w:val="8"/>
          </w:tcPr>
          <w:p>
            <w:pPr>
              <w:spacing w:after="0" w:line="194"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the Company’s Annual Report on Form 10-K filed on May 23, 2024</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860" w:type="dxa"/>
            <w:vAlign w:val="bottom"/>
            <w:gridSpan w:val="4"/>
            <w:shd w:val="clear" w:color="auto" w:fill="0000FF"/>
          </w:tcPr>
          <w:p>
            <w:pPr>
              <w:spacing w:after="0" w:line="20" w:lineRule="exact"/>
              <w:rPr>
                <w:sz w:val="1"/>
                <w:szCs w:val="1"/>
                <w:color w:val="auto"/>
              </w:rPr>
            </w:pPr>
          </w:p>
        </w:tc>
        <w:tc>
          <w:tcPr>
            <w:tcW w:w="5240" w:type="dxa"/>
            <w:vAlign w:val="bottom"/>
            <w:gridSpan w:val="4"/>
          </w:tcPr>
          <w:p>
            <w:pPr>
              <w:spacing w:after="0" w:line="20" w:lineRule="exact"/>
              <w:rPr>
                <w:sz w:val="1"/>
                <w:szCs w:val="1"/>
                <w:color w:val="auto"/>
              </w:rPr>
            </w:pPr>
          </w:p>
        </w:tc>
      </w:tr>
      <w:tr>
        <w:trPr>
          <w:trHeight w:val="43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3"/>
        </w:trPr>
        <w:tc>
          <w:tcPr>
            <w:tcW w:w="1040" w:type="dxa"/>
            <w:vAlign w:val="bottom"/>
          </w:tcPr>
          <w:p>
            <w:pPr>
              <w:spacing w:after="0"/>
              <w:rPr>
                <w:sz w:val="20"/>
                <w:szCs w:val="20"/>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2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42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 filed herewith)</w:t>
            </w: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Indicates management contract or compensatory plan, contract or arrangement.</w:t>
      </w:r>
    </w:p>
    <w:p>
      <w:pPr>
        <w:spacing w:after="0" w:line="40" w:lineRule="exact"/>
        <w:rPr>
          <w:sz w:val="20"/>
          <w:szCs w:val="20"/>
          <w:color w:val="auto"/>
        </w:rPr>
      </w:pPr>
    </w:p>
    <w:p>
      <w:pPr>
        <w:ind w:firstLine="7"/>
        <w:spacing w:after="0" w:line="255" w:lineRule="auto"/>
        <w:tabs>
          <w:tab w:leader="none" w:pos="188"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Certification is not deemed “filed” for purposes of Section 18 of the Exchange Act or otherwise subject to the liability of that section. Such certification is not deemed to be incorporated by reference into any filing under the Securities Act or the Exchange Act except to the extent that the registrant specifically incorporates it by reference.</w:t>
      </w:r>
    </w:p>
    <w:p>
      <w:pPr>
        <w:spacing w:after="0" w:line="6" w:lineRule="exact"/>
        <w:rPr>
          <w:sz w:val="20"/>
          <w:szCs w:val="20"/>
          <w:color w:val="auto"/>
        </w:rPr>
      </w:pPr>
    </w:p>
    <w:p>
      <w:pPr>
        <w:ind w:firstLine="7"/>
        <w:spacing w:after="0" w:line="255" w:lineRule="auto"/>
        <w:tabs>
          <w:tab w:leader="none" w:pos="118"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(indicated by “[XXX]” or “[***]”) have been omitted pursuant to Item 601(b)(10)(iv) of Regulation S-K under the Securities Act of 1933, as amended, because they are both (i) not material and (ii) the type of information that the Company customarily and actually treats as private and confidential.</w:t>
      </w:r>
    </w:p>
    <w:p>
      <w:pPr>
        <w:spacing w:after="0" w:line="6" w:lineRule="exact"/>
        <w:rPr>
          <w:sz w:val="20"/>
          <w:szCs w:val="20"/>
          <w:color w:val="auto"/>
        </w:rPr>
      </w:pPr>
    </w:p>
    <w:p>
      <w:pPr>
        <w:ind w:right="20" w:firstLine="7"/>
        <w:spacing w:after="0" w:line="255" w:lineRule="auto"/>
        <w:tabs>
          <w:tab w:leader="none" w:pos="102" w:val="left"/>
        </w:tabs>
        <w:numPr>
          <w:ilvl w:val="0"/>
          <w:numId w:val="21"/>
        </w:numPr>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auto"/>
        </w:rPr>
        <w:t>Certain annexes, schedules and exhibits have been omitted pursuant to Item 601(a)(5) of Regulation S-K. The Company will furnish copies of any such omitted annexes, schedules and exhibits to the Securities and Exchange Commission upon request.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3420" w:type="dxa"/>
            <w:vAlign w:val="bottom"/>
          </w:tcPr>
          <w:p>
            <w:pPr>
              <w:spacing w:after="0"/>
              <w:rPr>
                <w:sz w:val="20"/>
                <w:szCs w:val="20"/>
                <w:color w:val="auto"/>
              </w:rPr>
            </w:pPr>
          </w:p>
        </w:tc>
        <w:tc>
          <w:tcPr>
            <w:tcW w:w="78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ALLEGRO MICROSYSTEMS, INC.</w:t>
            </w:r>
          </w:p>
        </w:tc>
      </w:tr>
      <w:tr>
        <w:trPr>
          <w:trHeight w:val="45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2026</w:t>
            </w:r>
          </w:p>
        </w:tc>
        <w:tc>
          <w:tcPr>
            <w:tcW w:w="780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Michael C. Doogue</w:t>
            </w:r>
          </w:p>
        </w:tc>
      </w:tr>
      <w:tr>
        <w:trPr>
          <w:trHeight w:val="189"/>
        </w:trPr>
        <w:tc>
          <w:tcPr>
            <w:tcW w:w="34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5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Michael C. Doogue</w:t>
            </w:r>
          </w:p>
        </w:tc>
      </w:tr>
      <w:tr>
        <w:trPr>
          <w:trHeight w:val="233"/>
        </w:trPr>
        <w:tc>
          <w:tcPr>
            <w:tcW w:w="3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(Principal Executive Officer)</w:t>
            </w:r>
          </w:p>
        </w:tc>
      </w:tr>
    </w:tbl>
    <w:p>
      <w:pPr>
        <w:spacing w:after="0" w:line="208"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the capacities and on the dates indicated. Each person whose signature appears below constitutes and appoints Derek P. D’Antilio and Sharon S. Briansky, and each or any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report,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680" w:type="dxa"/>
            <w:vAlign w:val="bottom"/>
          </w:tcPr>
          <w:p>
            <w:pPr>
              <w:spacing w:after="0"/>
              <w:rPr>
                <w:sz w:val="14"/>
                <w:szCs w:val="14"/>
                <w:color w:val="auto"/>
              </w:rPr>
            </w:pPr>
          </w:p>
        </w:tc>
        <w:tc>
          <w:tcPr>
            <w:tcW w:w="48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54"/>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Michael C. Doogue</w:t>
            </w:r>
          </w:p>
        </w:tc>
        <w:tc>
          <w:tcPr>
            <w:tcW w:w="68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(Principal</w:t>
            </w:r>
          </w:p>
        </w:tc>
        <w:tc>
          <w:tcPr>
            <w:tcW w:w="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35"/>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C. Doogue</w:t>
            </w:r>
          </w:p>
        </w:tc>
        <w:tc>
          <w:tcPr>
            <w:tcW w:w="6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 and Director</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61"/>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Derek P. D’Antilio</w:t>
            </w:r>
          </w:p>
        </w:tc>
        <w:tc>
          <w:tcPr>
            <w:tcW w:w="68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26"/>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Derek P. D’Antilio</w:t>
            </w:r>
          </w:p>
        </w:tc>
        <w:tc>
          <w:tcPr>
            <w:tcW w:w="6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69"/>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Roald G. Webster</w:t>
            </w:r>
          </w:p>
        </w:tc>
        <w:tc>
          <w:tcPr>
            <w:tcW w:w="68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Chief Accounting Officer</w:t>
            </w:r>
          </w:p>
        </w:tc>
        <w:tc>
          <w:tcPr>
            <w:tcW w:w="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26"/>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Roald G. Webster</w:t>
            </w:r>
          </w:p>
        </w:tc>
        <w:tc>
          <w:tcPr>
            <w:tcW w:w="6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69"/>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R. Martin</w:t>
            </w:r>
          </w:p>
        </w:tc>
        <w:tc>
          <w:tcPr>
            <w:tcW w:w="68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26"/>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Joseph R. Martin</w:t>
            </w:r>
          </w:p>
        </w:tc>
        <w:tc>
          <w:tcPr>
            <w:tcW w:w="6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69"/>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Katsumi Kawashima</w:t>
            </w:r>
          </w:p>
        </w:tc>
        <w:tc>
          <w:tcPr>
            <w:tcW w:w="68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35"/>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Katsumi Kawashima</w:t>
            </w:r>
          </w:p>
        </w:tc>
        <w:tc>
          <w:tcPr>
            <w:tcW w:w="6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61"/>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Richard R. Lury</w:t>
            </w:r>
          </w:p>
        </w:tc>
        <w:tc>
          <w:tcPr>
            <w:tcW w:w="68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26"/>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Richard R. Lury</w:t>
            </w:r>
          </w:p>
        </w:tc>
        <w:tc>
          <w:tcPr>
            <w:tcW w:w="6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69"/>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Susan D. Lynch</w:t>
            </w:r>
          </w:p>
        </w:tc>
        <w:tc>
          <w:tcPr>
            <w:tcW w:w="68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26"/>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Susan D. Lynch</w:t>
            </w:r>
          </w:p>
        </w:tc>
        <w:tc>
          <w:tcPr>
            <w:tcW w:w="6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69"/>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Krishna G. Palepu</w:t>
            </w:r>
          </w:p>
        </w:tc>
        <w:tc>
          <w:tcPr>
            <w:tcW w:w="68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26"/>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Krishna G. Palepu</w:t>
            </w:r>
          </w:p>
        </w:tc>
        <w:tc>
          <w:tcPr>
            <w:tcW w:w="6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42"/>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Mary G. Puma</w:t>
            </w:r>
          </w:p>
        </w:tc>
        <w:tc>
          <w:tcPr>
            <w:tcW w:w="68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26"/>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Mary G. Puma</w:t>
            </w:r>
          </w:p>
        </w:tc>
        <w:tc>
          <w:tcPr>
            <w:tcW w:w="6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42"/>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Jennie M. Raubacher</w:t>
            </w:r>
          </w:p>
        </w:tc>
        <w:tc>
          <w:tcPr>
            <w:tcW w:w="68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26"/>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Jennie M. Raubacher</w:t>
            </w:r>
          </w:p>
        </w:tc>
        <w:tc>
          <w:tcPr>
            <w:tcW w:w="6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42"/>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Yoshihiro (Zen) Suzuki</w:t>
            </w:r>
          </w:p>
        </w:tc>
        <w:tc>
          <w:tcPr>
            <w:tcW w:w="68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26"/>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Yoshihiro (Zen) Suzuki</w:t>
            </w:r>
          </w:p>
        </w:tc>
        <w:tc>
          <w:tcPr>
            <w:tcW w:w="6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15"/>
        </w:trPr>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J. Willett</w:t>
            </w:r>
          </w:p>
        </w:tc>
        <w:tc>
          <w:tcPr>
            <w:tcW w:w="68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26"/>
        </w:trPr>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Robert J. Willett</w:t>
            </w:r>
          </w:p>
        </w:tc>
        <w:tc>
          <w:tcPr>
            <w:tcW w:w="6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624"/>
        </w:trPr>
        <w:tc>
          <w:tcPr>
            <w:tcW w:w="3960" w:type="dxa"/>
            <w:vAlign w:val="bottom"/>
          </w:tcPr>
          <w:p>
            <w:pPr>
              <w:spacing w:after="0"/>
              <w:rPr>
                <w:sz w:val="24"/>
                <w:szCs w:val="24"/>
                <w:color w:val="auto"/>
              </w:rPr>
            </w:pPr>
          </w:p>
        </w:tc>
        <w:tc>
          <w:tcPr>
            <w:tcW w:w="5560" w:type="dxa"/>
            <w:vAlign w:val="bottom"/>
            <w:gridSpan w:val="2"/>
          </w:tcPr>
          <w:p>
            <w:pPr>
              <w:jc w:val="right"/>
              <w:ind w:right="3712"/>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755"/>
        </w:trPr>
        <w:tc>
          <w:tcPr>
            <w:tcW w:w="39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71335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Report of Independent Registered Public Accounting Firm (PCAOB ID Number 238)</w:t>
            </w:r>
          </w:p>
        </w:tc>
        <w:tc>
          <w:tcPr>
            <w:tcW w:w="2400" w:type="dxa"/>
            <w:vAlign w:val="bottom"/>
          </w:tcPr>
          <w:p>
            <w:pPr>
              <w:spacing w:after="0"/>
              <w:rPr>
                <w:sz w:val="17"/>
                <w:szCs w:val="17"/>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88"/>
        </w:trPr>
        <w:tc>
          <w:tcPr>
            <w:tcW w:w="2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Consolidated Balance Sheets</w:t>
            </w:r>
          </w:p>
        </w:tc>
        <w:tc>
          <w:tcPr>
            <w:tcW w:w="20" w:type="dxa"/>
            <w:vAlign w:val="bottom"/>
            <w:tcBorders>
              <w:bottom w:val="single" w:sz="8" w:color="0000EE"/>
            </w:tcBorders>
          </w:tcPr>
          <w:p>
            <w:pPr>
              <w:spacing w:after="0"/>
              <w:rPr>
                <w:sz w:val="24"/>
                <w:szCs w:val="24"/>
                <w:color w:val="auto"/>
              </w:rPr>
            </w:pPr>
          </w:p>
        </w:tc>
        <w:tc>
          <w:tcPr>
            <w:tcW w:w="6420" w:type="dxa"/>
            <w:vAlign w:val="bottom"/>
            <w:gridSpan w:val="8"/>
          </w:tcPr>
          <w:p>
            <w:pPr>
              <w:spacing w:after="0"/>
              <w:rPr>
                <w:sz w:val="24"/>
                <w:szCs w:val="24"/>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88"/>
        </w:trPr>
        <w:tc>
          <w:tcPr>
            <w:tcW w:w="2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Consolidated Statements of Operations</w:t>
            </w:r>
          </w:p>
        </w:tc>
        <w:tc>
          <w:tcPr>
            <w:tcW w:w="20" w:type="dxa"/>
            <w:vAlign w:val="bottom"/>
            <w:tcBorders>
              <w:bottom w:val="single" w:sz="8" w:color="0000EE"/>
            </w:tcBorders>
          </w:tcPr>
          <w:p>
            <w:pPr>
              <w:spacing w:after="0"/>
              <w:rPr>
                <w:sz w:val="24"/>
                <w:szCs w:val="24"/>
                <w:color w:val="auto"/>
              </w:rPr>
            </w:pPr>
          </w:p>
        </w:tc>
        <w:tc>
          <w:tcPr>
            <w:tcW w:w="5700" w:type="dxa"/>
            <w:vAlign w:val="bottom"/>
            <w:gridSpan w:val="6"/>
          </w:tcPr>
          <w:p>
            <w:pPr>
              <w:spacing w:after="0"/>
              <w:rPr>
                <w:sz w:val="24"/>
                <w:szCs w:val="24"/>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88"/>
        </w:trPr>
        <w:tc>
          <w:tcPr>
            <w:tcW w:w="8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Income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20"/>
        </w:trPr>
        <w:tc>
          <w:tcPr>
            <w:tcW w:w="286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88"/>
        </w:trPr>
        <w:tc>
          <w:tcPr>
            <w:tcW w:w="8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88"/>
        </w:trPr>
        <w:tc>
          <w:tcPr>
            <w:tcW w:w="43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4160" w:type="dxa"/>
            <w:vAlign w:val="bottom"/>
            <w:gridSpan w:val="2"/>
          </w:tcPr>
          <w:p>
            <w:pPr>
              <w:spacing w:after="0"/>
              <w:rPr>
                <w:sz w:val="24"/>
                <w:szCs w:val="24"/>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20"/>
        </w:trPr>
        <w:tc>
          <w:tcPr>
            <w:tcW w:w="2860" w:type="dxa"/>
            <w:vAlign w:val="bottom"/>
            <w:tcBorders>
              <w:right w:val="single" w:sz="8" w:color="0000EE"/>
            </w:tcBorders>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88"/>
        </w:trPr>
        <w:tc>
          <w:tcPr>
            <w:tcW w:w="8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r>
        <w:trPr>
          <w:trHeight w:val="756"/>
        </w:trPr>
        <w:tc>
          <w:tcPr>
            <w:tcW w:w="20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F-1</w:t>
            </w:r>
          </w:p>
        </w:tc>
        <w:tc>
          <w:tcPr>
            <w:tcW w:w="2720" w:type="dxa"/>
            <w:vAlign w:val="bottom"/>
          </w:tcPr>
          <w:p>
            <w:pPr>
              <w:spacing w:after="0"/>
              <w:rPr>
                <w:sz w:val="24"/>
                <w:szCs w:val="24"/>
                <w:color w:val="auto"/>
              </w:rPr>
            </w:pPr>
          </w:p>
        </w:tc>
      </w:tr>
      <w:tr>
        <w:trPr>
          <w:trHeight w:val="755"/>
        </w:trPr>
        <w:tc>
          <w:tcPr>
            <w:tcW w:w="2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62" w:name="page63"/>
    <w:bookmarkEnd w:id="62"/>
    <w:p>
      <w:pPr>
        <w:ind w:left="34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Allegro MicroSystems, Inc.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Allegro MicroSystems, Inc. and its subsidiaries (the “Company”) as of March 27, 2026 and March 28, 2025, and the related consolidated statements of operations, of comprehensive (loss) income, of changes in stockholders’ equity and of cash flows for each of the three years in the period ended March 27, 2026, including the related notes (collectively referred to as the “consolidated financial statements”). We also have audited the Company’s internal control over financial reporting as of March 27, 2026, based on criteria established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March 27, 2026 and March 28, 2025, and the results of its operations and its cash flows for each of the three years in the period ended March 27, 2026 in conformity with accounting principles generally accepted in the United States of America. Also in our opinion, the Company maintained, in all material respects, effective internal control over financial reporting as of March 27, 2026,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Sales Allowance</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Notes 2 and 4 to the consolidated financial statements, variable consideration, such as sales allowances, includes sales in which the amount of consideration that the Company will receive is unknown as of the end of the reporting period. Such consideration primarily includes price protection provisions provided to distributors, sales under agreements that allow rights of return, referred to as stock rotation, provided to distributors, discounts and credits provided to distributors and returns provisions offered to direct customers, which make up a portion of total net sales of $890.1 million for the year ended March 27, 2026. The liability for returns and sales allowances was $48.6 million as of March 27, 2026, of which a significant portion relates to a certain sales allowance program. Management estimates potential future returns, credits, and sales allowances based on historical return rates, anticipated customer claims, credits issued, and changes in product sales to customers.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 sales allowance is a critical audit matter are a high degree of auditor effort in performing procedures and evaluating audit evidence related to the sales allowance and the liability related to the sales allowance transactions.</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a certain sales allowance program, including controls over the sales allowance and the liability related to the sales allowance transactions. These procedures also included, among others, testing the completeness, accuracy, and occurrence of a sample of sales allowance and the liability related to the sales allowance transactions by obtaining and inspecting source documents, including invoices and invoice credits related to the sales allowance program, and customer arrangements or promotional practices, where applicable.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March 28,</w:t>
            </w:r>
          </w:p>
        </w:tc>
      </w:tr>
      <w:tr>
        <w:trPr>
          <w:trHeight w:val="172"/>
        </w:trPr>
        <w:tc>
          <w:tcPr>
            <w:tcW w:w="6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4"/>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168,753</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121,334</w:t>
            </w:r>
          </w:p>
        </w:tc>
      </w:tr>
      <w:tr>
        <w:trPr>
          <w:trHeight w:val="214"/>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6,604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9,773</w:t>
            </w:r>
          </w:p>
        </w:tc>
      </w:tr>
      <w:tr>
        <w:trPr>
          <w:trHeight w:val="214"/>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93,248</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84,598</w:t>
            </w:r>
          </w:p>
        </w:tc>
      </w:tr>
      <w:tr>
        <w:trPr>
          <w:trHeight w:val="214"/>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 other</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21,735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2,559</w:t>
            </w:r>
          </w:p>
        </w:tc>
      </w:tr>
      <w:tr>
        <w:trPr>
          <w:trHeight w:val="214"/>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181,752</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183,914</w:t>
            </w:r>
          </w:p>
        </w:tc>
      </w:tr>
      <w:tr>
        <w:trPr>
          <w:trHeight w:val="214"/>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income taxes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36,662</w:t>
            </w:r>
          </w:p>
        </w:tc>
      </w:tr>
      <w:tr>
        <w:trPr>
          <w:trHeight w:val="214"/>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30,335</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27,688</w:t>
            </w:r>
          </w:p>
        </w:tc>
      </w:tr>
      <w:tr>
        <w:trPr>
          <w:trHeight w:val="214"/>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16,508</w:t>
            </w:r>
          </w:p>
        </w:tc>
      </w:tr>
      <w:tr>
        <w:trPr>
          <w:trHeight w:val="207"/>
        </w:trPr>
        <w:tc>
          <w:tcPr>
            <w:tcW w:w="6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503,606</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483,036</w:t>
            </w:r>
          </w:p>
        </w:tc>
      </w:tr>
      <w:tr>
        <w:trPr>
          <w:trHeight w:val="214"/>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308,258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302,919</w:t>
            </w:r>
          </w:p>
        </w:tc>
      </w:tr>
      <w:tr>
        <w:trPr>
          <w:trHeight w:val="214"/>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13,587</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20,849</w:t>
            </w:r>
          </w:p>
        </w:tc>
      </w:tr>
      <w:tr>
        <w:trPr>
          <w:trHeight w:val="214"/>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80,221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68,528</w:t>
            </w:r>
          </w:p>
        </w:tc>
      </w:tr>
      <w:tr>
        <w:trPr>
          <w:trHeight w:val="214"/>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203,291</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202,475</w:t>
            </w:r>
          </w:p>
        </w:tc>
      </w:tr>
      <w:tr>
        <w:trPr>
          <w:trHeight w:val="214"/>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238,675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262,115</w:t>
            </w:r>
          </w:p>
        </w:tc>
      </w:tr>
      <w:tr>
        <w:trPr>
          <w:trHeight w:val="214"/>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Equity investment in related party</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22,296</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31,695</w:t>
            </w:r>
          </w:p>
        </w:tc>
      </w:tr>
      <w:tr>
        <w:trPr>
          <w:trHeight w:val="214"/>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 - other assets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69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31,241</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49,344</w:t>
            </w:r>
          </w:p>
        </w:tc>
      </w:tr>
      <w:tr>
        <w:trPr>
          <w:trHeight w:val="207"/>
        </w:trPr>
        <w:tc>
          <w:tcPr>
            <w:tcW w:w="6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1,416,175</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1,420,961</w:t>
            </w:r>
          </w:p>
        </w:tc>
      </w:tr>
      <w:tr>
        <w:trPr>
          <w:trHeight w:val="20"/>
        </w:trPr>
        <w:tc>
          <w:tcPr>
            <w:tcW w:w="6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94"/>
        </w:trPr>
        <w:tc>
          <w:tcPr>
            <w:tcW w:w="694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Liabilities, Non-Controlling Interest and Stockholders’ Equity</w:t>
            </w: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r>
      <w:tr>
        <w:trPr>
          <w:trHeight w:val="21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4"/>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44,438</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38,733</w:t>
            </w:r>
          </w:p>
        </w:tc>
      </w:tr>
      <w:tr>
        <w:trPr>
          <w:trHeight w:val="214"/>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due to related party</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4,794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6,535</w:t>
            </w:r>
          </w:p>
        </w:tc>
      </w:tr>
      <w:tr>
        <w:trPr>
          <w:trHeight w:val="214"/>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89,472</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60,083</w:t>
            </w:r>
          </w:p>
        </w:tc>
      </w:tr>
      <w:tr>
        <w:trPr>
          <w:trHeight w:val="214"/>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5,691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5,487</w:t>
            </w:r>
          </w:p>
        </w:tc>
      </w:tr>
      <w:tr>
        <w:trPr>
          <w:trHeight w:val="214"/>
        </w:trPr>
        <w:tc>
          <w:tcPr>
            <w:tcW w:w="69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1,530</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1,423</w:t>
            </w:r>
          </w:p>
        </w:tc>
      </w:tr>
      <w:tr>
        <w:trPr>
          <w:trHeight w:val="207"/>
        </w:trPr>
        <w:tc>
          <w:tcPr>
            <w:tcW w:w="6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145,925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112,261</w:t>
            </w:r>
          </w:p>
        </w:tc>
      </w:tr>
      <w:tr>
        <w:trPr>
          <w:trHeight w:val="214"/>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285,746</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344,703</w:t>
            </w:r>
          </w:p>
        </w:tc>
      </w:tr>
      <w:tr>
        <w:trPr>
          <w:trHeight w:val="214"/>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12,945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16,878</w:t>
            </w:r>
          </w:p>
        </w:tc>
      </w:tr>
      <w:tr>
        <w:trPr>
          <w:trHeight w:val="214"/>
        </w:trPr>
        <w:tc>
          <w:tcPr>
            <w:tcW w:w="69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15,114</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16,019</w:t>
            </w:r>
          </w:p>
        </w:tc>
      </w:tr>
      <w:tr>
        <w:trPr>
          <w:trHeight w:val="207"/>
        </w:trPr>
        <w:tc>
          <w:tcPr>
            <w:tcW w:w="6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459,730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489,861</w:t>
            </w:r>
          </w:p>
        </w:tc>
      </w:tr>
      <w:tr>
        <w:trPr>
          <w:trHeight w:val="214"/>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6"/>
        </w:trPr>
        <w:tc>
          <w:tcPr>
            <w:tcW w:w="694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Preferred Stock, $0.01 par value; 20,000,000 shares authorized, no shares issued or</w:t>
            </w: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r>
      <w:tr>
        <w:trPr>
          <w:trHeight w:val="232"/>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at March 27, 2026 and March 28, 2025</w:t>
            </w:r>
          </w:p>
        </w:tc>
        <w:tc>
          <w:tcPr>
            <w:tcW w:w="8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69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Common stock, $0.01 par value; 1,000,000,000 shares authorized, 185,357,343 shares</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4"/>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at March 27, 2026; 1,000,000,000 shares authorized,</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2"/>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184,286,567 issued and outstanding at March 28, 2025</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1,854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1,843</w:t>
            </w:r>
          </w:p>
        </w:tc>
      </w:tr>
      <w:tr>
        <w:trPr>
          <w:trHeight w:val="214"/>
        </w:trPr>
        <w:tc>
          <w:tcPr>
            <w:tcW w:w="6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1,050,582</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1,012,055</w:t>
            </w:r>
          </w:p>
        </w:tc>
      </w:tr>
      <w:tr>
        <w:trPr>
          <w:trHeight w:val="214"/>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(53,591)</w:t>
            </w:r>
          </w:p>
        </w:tc>
      </w:tr>
      <w:tr>
        <w:trPr>
          <w:trHeight w:val="214"/>
        </w:trPr>
        <w:tc>
          <w:tcPr>
            <w:tcW w:w="69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(29,201)</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(30,752)</w:t>
            </w:r>
          </w:p>
        </w:tc>
      </w:tr>
      <w:tr>
        <w:trPr>
          <w:trHeight w:val="207"/>
        </w:trPr>
        <w:tc>
          <w:tcPr>
            <w:tcW w:w="6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attributable to Allegro MicroSystems, Inc.</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954,747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929,555</w:t>
            </w:r>
          </w:p>
        </w:tc>
      </w:tr>
      <w:tr>
        <w:trPr>
          <w:trHeight w:val="214"/>
        </w:trPr>
        <w:tc>
          <w:tcPr>
            <w:tcW w:w="69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8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1,698</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1,545</w:t>
            </w:r>
          </w:p>
        </w:tc>
      </w:tr>
      <w:tr>
        <w:trPr>
          <w:trHeight w:val="207"/>
        </w:trPr>
        <w:tc>
          <w:tcPr>
            <w:tcW w:w="6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956,445</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931,100</w:t>
            </w:r>
          </w:p>
        </w:tc>
      </w:tr>
      <w:tr>
        <w:trPr>
          <w:trHeight w:val="227"/>
        </w:trPr>
        <w:tc>
          <w:tcPr>
            <w:tcW w:w="6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 non-controlling interest and stockholders’ equity</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1,416,175</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1,420,961</w:t>
            </w: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5965825</wp:posOffset>
            </wp:positionH>
            <wp:positionV relativeFrom="paragraph">
              <wp:posOffset>-3769995</wp:posOffset>
            </wp:positionV>
            <wp:extent cx="1104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-2649220</wp:posOffset>
            </wp:positionV>
            <wp:extent cx="1104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-2096770</wp:posOffset>
            </wp:positionV>
            <wp:extent cx="1104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-593725</wp:posOffset>
            </wp:positionV>
            <wp:extent cx="1104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-313690</wp:posOffset>
            </wp:positionV>
            <wp:extent cx="1104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-24765</wp:posOffset>
            </wp:positionV>
            <wp:extent cx="1104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-7620</wp:posOffset>
            </wp:positionV>
            <wp:extent cx="1104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16"/>
        </w:trPr>
        <w:tc>
          <w:tcPr>
            <w:tcW w:w="6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right"/>
              <w:ind w:right="392"/>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right"/>
              <w:ind w:right="372"/>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right"/>
              <w:ind w:right="372"/>
              <w:spacing w:after="0" w:line="116" w:lineRule="exact"/>
              <w:rPr>
                <w:sz w:val="20"/>
                <w:szCs w:val="20"/>
                <w:color w:val="auto"/>
              </w:rPr>
            </w:pPr>
            <w:r>
              <w:rPr>
                <w:rFonts w:ascii="Times New Roman" w:cs="Times New Roman" w:eastAsia="Times New Roman" w:hAnsi="Times New Roman"/>
                <w:sz w:val="13"/>
                <w:szCs w:val="13"/>
                <w:b w:val="1"/>
                <w:bCs w:val="1"/>
                <w:color w:val="auto"/>
              </w:rPr>
              <w:t>March 29,</w:t>
            </w:r>
          </w:p>
        </w:tc>
      </w:tr>
      <w:tr>
        <w:trPr>
          <w:trHeight w:val="172"/>
        </w:trPr>
        <w:tc>
          <w:tcPr>
            <w:tcW w:w="6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66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890,096</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725,006</w:t>
            </w:r>
          </w:p>
        </w:tc>
        <w:tc>
          <w:tcPr>
            <w:tcW w:w="36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1,043,206</w:t>
            </w:r>
          </w:p>
        </w:tc>
      </w:tr>
      <w:tr>
        <w:trPr>
          <w:trHeight w:val="21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related party</w:t>
            </w: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6,161</w:t>
            </w:r>
          </w:p>
        </w:tc>
      </w:tr>
      <w:tr>
        <w:trPr>
          <w:trHeight w:val="20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890,096</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725,006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1,049,367</w:t>
            </w:r>
          </w:p>
        </w:tc>
      </w:tr>
      <w:tr>
        <w:trPr>
          <w:trHeight w:val="21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478,126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403,479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471,894</w:t>
            </w:r>
          </w:p>
        </w:tc>
      </w:tr>
      <w:tr>
        <w:trPr>
          <w:trHeight w:val="214"/>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 to related party</w:t>
            </w:r>
          </w:p>
        </w:tc>
        <w:tc>
          <w:tcPr>
            <w:tcW w:w="4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2,944</w:t>
            </w:r>
          </w:p>
        </w:tc>
      </w:tr>
      <w:tr>
        <w:trPr>
          <w:trHeight w:val="207"/>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411,970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321,527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574,529</w:t>
            </w:r>
          </w:p>
        </w:tc>
      </w:tr>
      <w:tr>
        <w:trPr>
          <w:trHeight w:val="214"/>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4"/>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205,804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179,649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176,638</w:t>
            </w:r>
          </w:p>
        </w:tc>
      </w:tr>
      <w:tr>
        <w:trPr>
          <w:trHeight w:val="214"/>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181,089</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161,680</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188,429</w:t>
            </w:r>
          </w:p>
        </w:tc>
      </w:tr>
      <w:tr>
        <w:trPr>
          <w:trHeight w:val="214"/>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assets held for sale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6,590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4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13,218</w:t>
            </w:r>
          </w:p>
        </w:tc>
      </w:tr>
      <w:tr>
        <w:trPr>
          <w:trHeight w:val="207"/>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393,483</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341,329</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378,285</w:t>
            </w:r>
          </w:p>
        </w:tc>
      </w:tr>
      <w:tr>
        <w:trPr>
          <w:trHeight w:val="20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18,487</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196,244</w:t>
            </w:r>
          </w:p>
        </w:tc>
      </w:tr>
      <w:tr>
        <w:trPr>
          <w:trHeight w:val="21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(22,135)</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(10,763)</w:t>
            </w:r>
          </w:p>
        </w:tc>
      </w:tr>
      <w:tr>
        <w:trPr>
          <w:trHeight w:val="214"/>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3,144</w:t>
            </w:r>
          </w:p>
        </w:tc>
      </w:tr>
      <w:tr>
        <w:trPr>
          <w:trHeight w:val="214"/>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transaction (loss) gain</w:t>
            </w: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5,064</w:t>
            </w:r>
          </w:p>
        </w:tc>
      </w:tr>
      <w:tr>
        <w:trPr>
          <w:trHeight w:val="214"/>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income in earnings of equity investment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14"/>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change in fair value of forward repurchase contract</w:t>
            </w: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579</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1,646</w:t>
            </w:r>
          </w:p>
        </w:tc>
      </w:tr>
      <w:tr>
        <w:trPr>
          <w:trHeight w:val="20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(85,696)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194,797</w:t>
            </w:r>
          </w:p>
        </w:tc>
      </w:tr>
      <w:tr>
        <w:trPr>
          <w:trHeight w:val="21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41,909</w:t>
            </w:r>
          </w:p>
        </w:tc>
      </w:tr>
      <w:tr>
        <w:trPr>
          <w:trHeight w:val="20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(72,763)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152,888</w:t>
            </w:r>
          </w:p>
        </w:tc>
      </w:tr>
      <w:tr>
        <w:trPr>
          <w:trHeight w:val="21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191</w:t>
            </w: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attributable to Allegro MicroSystems, Inc.</w:t>
            </w:r>
          </w:p>
        </w:tc>
        <w:tc>
          <w:tcPr>
            <w:tcW w:w="66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(14,897)</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(73,010)</w:t>
            </w:r>
          </w:p>
        </w:tc>
        <w:tc>
          <w:tcPr>
            <w:tcW w:w="36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152,697</w:t>
            </w:r>
          </w:p>
        </w:tc>
      </w:tr>
      <w:tr>
        <w:trPr>
          <w:trHeight w:val="194"/>
        </w:trPr>
        <w:tc>
          <w:tcPr>
            <w:tcW w:w="6180" w:type="dxa"/>
            <w:vAlign w:val="bottom"/>
            <w:tcBorders>
              <w:top w:val="single" w:sz="8" w:color="CFF0FC"/>
            </w:tcBorders>
          </w:tcPr>
          <w:p>
            <w:pPr>
              <w:spacing w:after="0" w:line="195" w:lineRule="exact"/>
              <w:rPr>
                <w:sz w:val="20"/>
                <w:szCs w:val="20"/>
                <w:color w:val="auto"/>
              </w:rPr>
            </w:pPr>
            <w:r>
              <w:rPr>
                <w:rFonts w:ascii="Times New Roman" w:cs="Times New Roman" w:eastAsia="Times New Roman" w:hAnsi="Times New Roman"/>
                <w:sz w:val="18"/>
                <w:szCs w:val="18"/>
                <w:color w:val="auto"/>
              </w:rPr>
              <w:t>Net (loss) income per common share attributable to Allegro MicroSystems, Inc.:</w:t>
            </w:r>
          </w:p>
        </w:tc>
        <w:tc>
          <w:tcPr>
            <w:tcW w:w="44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254"/>
        </w:trPr>
        <w:tc>
          <w:tcPr>
            <w:tcW w:w="61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0.79</w:t>
            </w:r>
          </w:p>
        </w:tc>
      </w:tr>
      <w:tr>
        <w:trPr>
          <w:trHeight w:val="194"/>
        </w:trPr>
        <w:tc>
          <w:tcPr>
            <w:tcW w:w="6180" w:type="dxa"/>
            <w:vAlign w:val="bottom"/>
          </w:tcPr>
          <w:p>
            <w:pPr>
              <w:ind w:left="24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660" w:type="dxa"/>
            <w:vAlign w:val="bottom"/>
            <w:gridSpan w:val="2"/>
          </w:tcPr>
          <w:p>
            <w:pPr>
              <w:jc w:val="right"/>
              <w:ind w:right="31"/>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(0.08)</w:t>
            </w:r>
          </w:p>
        </w:tc>
        <w:tc>
          <w:tcPr>
            <w:tcW w:w="380" w:type="dxa"/>
            <w:vAlign w:val="bottom"/>
            <w:gridSpan w:val="2"/>
          </w:tcPr>
          <w:p>
            <w:pPr>
              <w:jc w:val="right"/>
              <w:ind w:right="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(0.39)</w:t>
            </w:r>
          </w:p>
        </w:tc>
        <w:tc>
          <w:tcPr>
            <w:tcW w:w="360" w:type="dxa"/>
            <w:vAlign w:val="bottom"/>
            <w:gridSpan w:val="2"/>
          </w:tcPr>
          <w:p>
            <w:pPr>
              <w:jc w:val="right"/>
              <w:ind w:right="31"/>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line="195" w:lineRule="exact"/>
              <w:rPr>
                <w:sz w:val="20"/>
                <w:szCs w:val="20"/>
                <w:color w:val="auto"/>
              </w:rPr>
            </w:pPr>
            <w:r>
              <w:rPr>
                <w:rFonts w:ascii="Times New Roman" w:cs="Times New Roman" w:eastAsia="Times New Roman" w:hAnsi="Times New Roman"/>
                <w:sz w:val="18"/>
                <w:szCs w:val="18"/>
                <w:color w:val="auto"/>
              </w:rPr>
              <w:t>0.78</w:t>
            </w:r>
          </w:p>
        </w:tc>
      </w:tr>
      <w:tr>
        <w:trPr>
          <w:trHeight w:val="20"/>
        </w:trPr>
        <w:tc>
          <w:tcPr>
            <w:tcW w:w="6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4"/>
        </w:trPr>
        <w:tc>
          <w:tcPr>
            <w:tcW w:w="618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r>
      <w:tr>
        <w:trPr>
          <w:trHeight w:val="214"/>
        </w:trPr>
        <w:tc>
          <w:tcPr>
            <w:tcW w:w="6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185,035,670</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187,707,391</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192,573,169</w:t>
            </w:r>
          </w:p>
        </w:tc>
      </w:tr>
      <w:tr>
        <w:trPr>
          <w:trHeight w:val="20"/>
        </w:trPr>
        <w:tc>
          <w:tcPr>
            <w:tcW w:w="6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4"/>
        </w:trPr>
        <w:tc>
          <w:tcPr>
            <w:tcW w:w="6180" w:type="dxa"/>
            <w:vAlign w:val="bottom"/>
            <w:tcBorders>
              <w:bottom w:val="single" w:sz="8" w:color="CFF0FC"/>
            </w:tcBorders>
            <w:shd w:val="clear" w:color="auto" w:fill="CFF0FC"/>
          </w:tcPr>
          <w:p>
            <w:pPr>
              <w:ind w:left="24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2"/>
              <w:spacing w:after="0" w:line="195" w:lineRule="exact"/>
              <w:rPr>
                <w:sz w:val="20"/>
                <w:szCs w:val="20"/>
                <w:color w:val="auto"/>
              </w:rPr>
            </w:pPr>
            <w:r>
              <w:rPr>
                <w:rFonts w:ascii="Times New Roman" w:cs="Times New Roman" w:eastAsia="Times New Roman" w:hAnsi="Times New Roman"/>
                <w:sz w:val="18"/>
                <w:szCs w:val="18"/>
                <w:color w:val="auto"/>
              </w:rPr>
              <w:t>185,035,670</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2"/>
              <w:spacing w:after="0" w:line="195" w:lineRule="exact"/>
              <w:rPr>
                <w:sz w:val="20"/>
                <w:szCs w:val="20"/>
                <w:color w:val="auto"/>
              </w:rPr>
            </w:pPr>
            <w:r>
              <w:rPr>
                <w:rFonts w:ascii="Times New Roman" w:cs="Times New Roman" w:eastAsia="Times New Roman" w:hAnsi="Times New Roman"/>
                <w:sz w:val="18"/>
                <w:szCs w:val="18"/>
                <w:color w:val="auto"/>
              </w:rPr>
              <w:t>187,707,391</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2"/>
              <w:spacing w:after="0" w:line="195" w:lineRule="exact"/>
              <w:rPr>
                <w:sz w:val="20"/>
                <w:szCs w:val="20"/>
                <w:color w:val="auto"/>
              </w:rPr>
            </w:pPr>
            <w:r>
              <w:rPr>
                <w:rFonts w:ascii="Times New Roman" w:cs="Times New Roman" w:eastAsia="Times New Roman" w:hAnsi="Times New Roman"/>
                <w:sz w:val="18"/>
                <w:szCs w:val="18"/>
                <w:color w:val="auto"/>
              </w:rPr>
              <w:t>194,674,352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-3710305</wp:posOffset>
            </wp:positionV>
            <wp:extent cx="1016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-3710305</wp:posOffset>
            </wp:positionV>
            <wp:extent cx="933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-2886710</wp:posOffset>
            </wp:positionV>
            <wp:extent cx="1016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-2886710</wp:posOffset>
            </wp:positionV>
            <wp:extent cx="933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-941705</wp:posOffset>
            </wp:positionV>
            <wp:extent cx="1016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9">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-925195</wp:posOffset>
            </wp:positionV>
            <wp:extent cx="1016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-941705</wp:posOffset>
            </wp:positionV>
            <wp:extent cx="933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-925195</wp:posOffset>
            </wp:positionV>
            <wp:extent cx="933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-644525</wp:posOffset>
            </wp:positionV>
            <wp:extent cx="1016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-628015</wp:posOffset>
            </wp:positionV>
            <wp:extent cx="1016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-644525</wp:posOffset>
            </wp:positionV>
            <wp:extent cx="933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-628015</wp:posOffset>
            </wp:positionV>
            <wp:extent cx="933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1016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1016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933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933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93345" cy="8255"/>
                    </a:xfrm>
                    <a:prstGeom prst="rect">
                      <a:avLst/>
                    </a:prstGeom>
                    <a:noFill/>
                  </pic:spPr>
                </pic:pic>
              </a:graphicData>
            </a:graphic>
          </wp:anchor>
        </w:drawing>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6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right"/>
              <w:ind w:right="395"/>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right"/>
              <w:ind w:right="375"/>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right"/>
              <w:ind w:right="355"/>
              <w:spacing w:after="0" w:line="116"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0" w:type="dxa"/>
            <w:vAlign w:val="bottom"/>
          </w:tcPr>
          <w:p>
            <w:pPr>
              <w:spacing w:after="0"/>
              <w:rPr>
                <w:sz w:val="1"/>
                <w:szCs w:val="1"/>
                <w:color w:val="auto"/>
              </w:rPr>
            </w:pPr>
          </w:p>
        </w:tc>
      </w:tr>
      <w:tr>
        <w:trPr>
          <w:trHeight w:val="172"/>
        </w:trPr>
        <w:tc>
          <w:tcPr>
            <w:tcW w:w="6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70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(72,763)</w:t>
            </w:r>
          </w:p>
        </w:tc>
        <w:tc>
          <w:tcPr>
            <w:tcW w:w="36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152,888</w:t>
            </w:r>
          </w:p>
        </w:tc>
        <w:tc>
          <w:tcPr>
            <w:tcW w:w="0" w:type="dxa"/>
            <w:vAlign w:val="bottom"/>
          </w:tcPr>
          <w:p>
            <w:pPr>
              <w:spacing w:after="0"/>
              <w:rPr>
                <w:sz w:val="1"/>
                <w:szCs w:val="1"/>
                <w:color w:val="auto"/>
              </w:rPr>
            </w:pPr>
          </w:p>
        </w:tc>
      </w:tr>
      <w:tr>
        <w:trPr>
          <w:trHeight w:val="21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attributable to Allegro MicroSystems, Inc.</w:t>
            </w: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(14,897)</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(73,010)</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152,697</w:t>
            </w:r>
          </w:p>
        </w:tc>
        <w:tc>
          <w:tcPr>
            <w:tcW w:w="0" w:type="dxa"/>
            <w:vAlign w:val="bottom"/>
          </w:tcPr>
          <w:p>
            <w:pPr>
              <w:spacing w:after="0"/>
              <w:rPr>
                <w:sz w:val="1"/>
                <w:szCs w:val="1"/>
                <w:color w:val="auto"/>
              </w:rPr>
            </w:pPr>
          </w:p>
        </w:tc>
      </w:tr>
      <w:tr>
        <w:trPr>
          <w:trHeight w:val="21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0" w:type="dxa"/>
            <w:vAlign w:val="bottom"/>
          </w:tcPr>
          <w:p>
            <w:pPr>
              <w:spacing w:after="0"/>
              <w:rPr>
                <w:sz w:val="1"/>
                <w:szCs w:val="1"/>
                <w:color w:val="auto"/>
              </w:rPr>
            </w:pPr>
          </w:p>
        </w:tc>
      </w:tr>
      <w:tr>
        <w:trPr>
          <w:trHeight w:val="196"/>
        </w:trPr>
        <w:tc>
          <w:tcPr>
            <w:tcW w:w="614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Net actuarial gain (loss) on amortization of net transition obligation</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prior service costs related to defined benefit plans, net of tax</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1,076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9"/>
        </w:trPr>
        <w:tc>
          <w:tcPr>
            <w:tcW w:w="6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$(359), $(84) and $145 in fiscal years 2026, 2025 and 2024, respectively</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(13,414)</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(74,885)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144,543</w:t>
            </w:r>
          </w:p>
        </w:tc>
        <w:tc>
          <w:tcPr>
            <w:tcW w:w="0" w:type="dxa"/>
            <w:vAlign w:val="bottom"/>
          </w:tcPr>
          <w:p>
            <w:pPr>
              <w:spacing w:after="0"/>
              <w:rPr>
                <w:sz w:val="1"/>
                <w:szCs w:val="1"/>
                <w:color w:val="auto"/>
              </w:rPr>
            </w:pPr>
          </w:p>
        </w:tc>
      </w:tr>
      <w:tr>
        <w:trPr>
          <w:trHeight w:val="21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 attributable to non-controlling interests</w:t>
            </w:r>
          </w:p>
        </w:tc>
        <w:tc>
          <w:tcPr>
            <w:tcW w:w="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7"/>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Allegro MicroSystems, Inc.</w:t>
            </w:r>
          </w:p>
        </w:tc>
        <w:tc>
          <w:tcPr>
            <w:tcW w:w="4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(74,921)</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144,640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-24765</wp:posOffset>
            </wp:positionV>
            <wp:extent cx="1016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1016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933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933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93345" cy="8255"/>
                    </a:xfrm>
                    <a:prstGeom prst="rect">
                      <a:avLst/>
                    </a:prstGeom>
                    <a:noFill/>
                  </pic:spPr>
                </pic:pic>
              </a:graphicData>
            </a:graphic>
          </wp:anchor>
        </w:drawing>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440" w:type="dxa"/>
            <w:vAlign w:val="bottom"/>
          </w:tcPr>
          <w:p>
            <w:pPr>
              <w:spacing w:after="0"/>
              <w:rPr>
                <w:sz w:val="11"/>
                <w:szCs w:val="11"/>
                <w:color w:val="auto"/>
              </w:rPr>
            </w:pPr>
          </w:p>
        </w:tc>
        <w:tc>
          <w:tcPr>
            <w:tcW w:w="14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20" w:type="dxa"/>
            <w:vAlign w:val="bottom"/>
          </w:tcPr>
          <w:p>
            <w:pPr>
              <w:spacing w:after="0"/>
              <w:rPr>
                <w:sz w:val="11"/>
                <w:szCs w:val="11"/>
                <w:color w:val="auto"/>
              </w:rPr>
            </w:pPr>
          </w:p>
        </w:tc>
        <w:tc>
          <w:tcPr>
            <w:tcW w:w="136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center"/>
              <w:ind w:right="167"/>
              <w:spacing w:after="0"/>
              <w:rPr>
                <w:sz w:val="20"/>
                <w:szCs w:val="20"/>
                <w:color w:val="auto"/>
              </w:rPr>
            </w:pPr>
            <w:r>
              <w:rPr>
                <w:rFonts w:ascii="Times New Roman" w:cs="Times New Roman" w:eastAsia="Times New Roman" w:hAnsi="Times New Roman"/>
                <w:sz w:val="11"/>
                <w:szCs w:val="11"/>
                <w:b w:val="1"/>
                <w:bCs w:val="1"/>
                <w:color w:val="auto"/>
                <w:w w:val="94"/>
              </w:rPr>
              <w:t>Retained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127"/>
              <w:spacing w:after="0" w:line="121"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ind w:right="187"/>
              <w:spacing w:after="0" w:line="121"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jc w:val="center"/>
              <w:ind w:right="127"/>
              <w:spacing w:after="0" w:line="121"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187"/>
              <w:spacing w:after="0" w:line="121"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ind w:right="167"/>
              <w:spacing w:after="0" w:line="121"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0"/>
        </w:trPr>
        <w:tc>
          <w:tcPr>
            <w:tcW w:w="2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207"/>
              <w:spacing w:after="0" w:line="121"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jc w:val="center"/>
              <w:ind w:right="127"/>
              <w:spacing w:after="0" w:line="121"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187"/>
              <w:spacing w:after="0" w:line="121"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ind w:right="127"/>
              <w:spacing w:after="0" w:line="121"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2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1"/>
                <w:szCs w:val="11"/>
                <w:color w:val="auto"/>
              </w:rPr>
            </w:pPr>
          </w:p>
        </w:tc>
        <w:tc>
          <w:tcPr>
            <w:tcW w:w="124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47"/>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1"/>
                <w:szCs w:val="11"/>
                <w:b w:val="1"/>
                <w:bCs w:val="1"/>
                <w:color w:val="auto"/>
                <w:w w:val="98"/>
              </w:rPr>
              <w:t>Comprehensive Loss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187"/>
              <w:spacing w:after="0"/>
              <w:rPr>
                <w:sz w:val="20"/>
                <w:szCs w:val="20"/>
                <w:color w:val="auto"/>
              </w:rPr>
            </w:pPr>
            <w:r>
              <w:rPr>
                <w:rFonts w:ascii="Times New Roman" w:cs="Times New Roman" w:eastAsia="Times New Roman" w:hAnsi="Times New Roman"/>
                <w:sz w:val="11"/>
                <w:szCs w:val="11"/>
                <w:b w:val="1"/>
                <w:bCs w:val="1"/>
                <w:color w:val="auto"/>
                <w:w w:val="92"/>
              </w:rPr>
              <w:t>Interests</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4"/>
        </w:trPr>
        <w:tc>
          <w:tcPr>
            <w:tcW w:w="2880" w:type="dxa"/>
            <w:vAlign w:val="bottom"/>
            <w:gridSpan w:val="2"/>
            <w:shd w:val="clear" w:color="auto" w:fill="CFF0FC"/>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Balance at March 31, 2023</w:t>
            </w:r>
          </w:p>
        </w:tc>
        <w:tc>
          <w:tcPr>
            <w:tcW w:w="240" w:type="dxa"/>
            <w:vAlign w:val="bottom"/>
            <w:shd w:val="clear" w:color="auto" w:fill="CFF0FC"/>
          </w:tcPr>
          <w:p>
            <w:pPr>
              <w:spacing w:after="0" w:line="11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shd w:val="clear" w:color="auto" w:fill="CFF0FC"/>
          </w:tcPr>
          <w:p>
            <w:pPr>
              <w:jc w:val="right"/>
              <w:ind w:right="2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ind w:left="3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shd w:val="clear" w:color="auto" w:fill="CFF0FC"/>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191,754,292</w:t>
            </w:r>
          </w:p>
        </w:tc>
        <w:tc>
          <w:tcPr>
            <w:tcW w:w="120" w:type="dxa"/>
            <w:vAlign w:val="bottom"/>
            <w:shd w:val="clear" w:color="auto" w:fill="CFF0FC"/>
          </w:tcPr>
          <w:p>
            <w:pPr>
              <w:spacing w:after="0"/>
              <w:rPr>
                <w:sz w:val="9"/>
                <w:szCs w:val="9"/>
                <w:color w:val="auto"/>
              </w:rPr>
            </w:pPr>
          </w:p>
        </w:tc>
        <w:tc>
          <w:tcPr>
            <w:tcW w:w="100" w:type="dxa"/>
            <w:vAlign w:val="bottom"/>
            <w:gridSpan w:val="2"/>
            <w:shd w:val="clear" w:color="auto" w:fill="CFF0FC"/>
          </w:tcPr>
          <w:p>
            <w:pPr>
              <w:jc w:val="right"/>
              <w:ind w:right="40"/>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1,918</w:t>
            </w:r>
          </w:p>
        </w:tc>
        <w:tc>
          <w:tcPr>
            <w:tcW w:w="180" w:type="dxa"/>
            <w:vAlign w:val="bottom"/>
            <w:gridSpan w:val="2"/>
            <w:shd w:val="clear" w:color="auto" w:fill="CFF0FC"/>
          </w:tcPr>
          <w:p>
            <w:pPr>
              <w:jc w:val="right"/>
              <w:ind w:right="2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674,179</w:t>
            </w:r>
          </w:p>
        </w:tc>
        <w:tc>
          <w:tcPr>
            <w:tcW w:w="200" w:type="dxa"/>
            <w:vAlign w:val="bottom"/>
            <w:gridSpan w:val="2"/>
            <w:shd w:val="clear" w:color="auto" w:fill="CFF0FC"/>
          </w:tcPr>
          <w:p>
            <w:pPr>
              <w:ind w:left="120"/>
              <w:spacing w:after="0" w:line="114"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310,315</w:t>
            </w:r>
          </w:p>
        </w:tc>
        <w:tc>
          <w:tcPr>
            <w:tcW w:w="160" w:type="dxa"/>
            <w:vAlign w:val="bottom"/>
            <w:gridSpan w:val="2"/>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FF0FC"/>
          </w:tcPr>
          <w:p>
            <w:pPr>
              <w:jc w:val="right"/>
              <w:ind w:right="7"/>
              <w:spacing w:after="0" w:line="114" w:lineRule="exact"/>
              <w:rPr>
                <w:sz w:val="20"/>
                <w:szCs w:val="20"/>
                <w:color w:val="auto"/>
              </w:rPr>
            </w:pPr>
            <w:r>
              <w:rPr>
                <w:rFonts w:ascii="Times New Roman" w:cs="Times New Roman" w:eastAsia="Times New Roman" w:hAnsi="Times New Roman"/>
                <w:sz w:val="11"/>
                <w:szCs w:val="11"/>
                <w:color w:val="auto"/>
              </w:rPr>
              <w:t>(20,784)</w:t>
            </w:r>
          </w:p>
        </w:tc>
        <w:tc>
          <w:tcPr>
            <w:tcW w:w="220" w:type="dxa"/>
            <w:vAlign w:val="bottom"/>
            <w:gridSpan w:val="2"/>
            <w:shd w:val="clear" w:color="auto" w:fill="CFF0FC"/>
          </w:tcPr>
          <w:p>
            <w:pPr>
              <w:jc w:val="right"/>
              <w:ind w:right="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1,187</w:t>
            </w:r>
          </w:p>
        </w:tc>
        <w:tc>
          <w:tcPr>
            <w:tcW w:w="160" w:type="dxa"/>
            <w:vAlign w:val="bottom"/>
            <w:gridSpan w:val="2"/>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966,815</w:t>
            </w:r>
          </w:p>
        </w:tc>
        <w:tc>
          <w:tcPr>
            <w:tcW w:w="0" w:type="dxa"/>
            <w:vAlign w:val="bottom"/>
          </w:tcPr>
          <w:p>
            <w:pPr>
              <w:spacing w:after="0"/>
              <w:rPr>
                <w:sz w:val="1"/>
                <w:szCs w:val="1"/>
                <w:color w:val="auto"/>
              </w:rPr>
            </w:pPr>
          </w:p>
        </w:tc>
      </w:tr>
      <w:tr>
        <w:trPr>
          <w:trHeight w:val="120"/>
        </w:trPr>
        <w:tc>
          <w:tcPr>
            <w:tcW w:w="2880" w:type="dxa"/>
            <w:vAlign w:val="bottom"/>
            <w:gridSpan w:val="2"/>
          </w:tcPr>
          <w:p>
            <w:pPr>
              <w:ind w:left="40"/>
              <w:spacing w:after="0" w:line="121" w:lineRule="exact"/>
              <w:rPr>
                <w:sz w:val="20"/>
                <w:szCs w:val="20"/>
                <w:color w:val="auto"/>
              </w:rPr>
            </w:pPr>
            <w:r>
              <w:rPr>
                <w:rFonts w:ascii="Times New Roman" w:cs="Times New Roman" w:eastAsia="Times New Roman" w:hAnsi="Times New Roman"/>
                <w:sz w:val="11"/>
                <w:szCs w:val="11"/>
                <w:color w:val="auto"/>
              </w:rPr>
              <w:t>Net income</w:t>
            </w:r>
          </w:p>
        </w:tc>
        <w:tc>
          <w:tcPr>
            <w:tcW w:w="2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3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360" w:type="dxa"/>
            <w:vAlign w:val="bottom"/>
            <w:gridSpan w:val="2"/>
          </w:tcPr>
          <w:p>
            <w:pPr>
              <w:jc w:val="right"/>
              <w:ind w:right="240"/>
              <w:spacing w:after="0" w:line="12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152,697</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191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152,888</w:t>
            </w:r>
          </w:p>
        </w:tc>
        <w:tc>
          <w:tcPr>
            <w:tcW w:w="0" w:type="dxa"/>
            <w:vAlign w:val="bottom"/>
          </w:tcPr>
          <w:p>
            <w:pPr>
              <w:spacing w:after="0"/>
              <w:rPr>
                <w:sz w:val="1"/>
                <w:szCs w:val="1"/>
                <w:color w:val="auto"/>
              </w:rPr>
            </w:pPr>
          </w:p>
        </w:tc>
      </w:tr>
      <w:tr>
        <w:trPr>
          <w:trHeight w:val="120"/>
        </w:trPr>
        <w:tc>
          <w:tcPr>
            <w:tcW w:w="2880" w:type="dxa"/>
            <w:vAlign w:val="bottom"/>
            <w:gridSpan w:val="2"/>
            <w:shd w:val="clear" w:color="auto" w:fill="CFF0FC"/>
          </w:tcPr>
          <w:p>
            <w:pPr>
              <w:ind w:left="40"/>
              <w:spacing w:after="0" w:line="121" w:lineRule="exact"/>
              <w:rPr>
                <w:sz w:val="20"/>
                <w:szCs w:val="20"/>
                <w:color w:val="auto"/>
              </w:rPr>
            </w:pPr>
            <w:r>
              <w:rPr>
                <w:rFonts w:ascii="Times New Roman" w:cs="Times New Roman" w:eastAsia="Times New Roman" w:hAnsi="Times New Roman"/>
                <w:sz w:val="11"/>
                <w:szCs w:val="11"/>
                <w:color w:val="auto"/>
              </w:rPr>
              <w:t>Employee stock purchase plan issuances</w:t>
            </w:r>
          </w:p>
        </w:tc>
        <w:tc>
          <w:tcPr>
            <w:tcW w:w="24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ind w:left="3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shd w:val="clear" w:color="auto" w:fill="CFF0FC"/>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144,226</w:t>
            </w: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3,634</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80" w:type="dxa"/>
            <w:vAlign w:val="bottom"/>
            <w:shd w:val="clear" w:color="auto" w:fill="CFF0FC"/>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3,635</w:t>
            </w:r>
          </w:p>
        </w:tc>
        <w:tc>
          <w:tcPr>
            <w:tcW w:w="0" w:type="dxa"/>
            <w:vAlign w:val="bottom"/>
          </w:tcPr>
          <w:p>
            <w:pPr>
              <w:spacing w:after="0"/>
              <w:rPr>
                <w:sz w:val="1"/>
                <w:szCs w:val="1"/>
                <w:color w:val="auto"/>
              </w:rPr>
            </w:pPr>
          </w:p>
        </w:tc>
      </w:tr>
      <w:tr>
        <w:trPr>
          <w:trHeight w:val="107"/>
        </w:trPr>
        <w:tc>
          <w:tcPr>
            <w:tcW w:w="2880" w:type="dxa"/>
            <w:vAlign w:val="bottom"/>
            <w:gridSpan w:val="2"/>
          </w:tcPr>
          <w:p>
            <w:pPr>
              <w:ind w:left="40"/>
              <w:spacing w:after="0" w:line="107" w:lineRule="exact"/>
              <w:rPr>
                <w:sz w:val="20"/>
                <w:szCs w:val="20"/>
                <w:color w:val="auto"/>
              </w:rPr>
            </w:pPr>
            <w:r>
              <w:rPr>
                <w:rFonts w:ascii="Times New Roman" w:cs="Times New Roman" w:eastAsia="Times New Roman" w:hAnsi="Times New Roman"/>
                <w:sz w:val="11"/>
                <w:szCs w:val="11"/>
                <w:color w:val="auto"/>
              </w:rPr>
              <w:t>Stock-based compensation, net of forfeitures and</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restricted stock vested</w:t>
            </w:r>
          </w:p>
        </w:tc>
        <w:tc>
          <w:tcPr>
            <w:tcW w:w="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1,266,091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42,419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42,432</w:t>
            </w:r>
          </w:p>
        </w:tc>
        <w:tc>
          <w:tcPr>
            <w:tcW w:w="0" w:type="dxa"/>
            <w:vAlign w:val="bottom"/>
          </w:tcPr>
          <w:p>
            <w:pPr>
              <w:spacing w:after="0"/>
              <w:rPr>
                <w:sz w:val="1"/>
                <w:szCs w:val="1"/>
                <w:color w:val="auto"/>
              </w:rPr>
            </w:pPr>
          </w:p>
        </w:tc>
      </w:tr>
      <w:tr>
        <w:trPr>
          <w:trHeight w:val="107"/>
        </w:trPr>
        <w:tc>
          <w:tcPr>
            <w:tcW w:w="2880" w:type="dxa"/>
            <w:vAlign w:val="bottom"/>
            <w:gridSpan w:val="2"/>
            <w:shd w:val="clear" w:color="auto" w:fill="CFF0FC"/>
          </w:tcPr>
          <w:p>
            <w:pPr>
              <w:ind w:left="40"/>
              <w:spacing w:after="0" w:line="107" w:lineRule="exact"/>
              <w:rPr>
                <w:sz w:val="20"/>
                <w:szCs w:val="20"/>
                <w:color w:val="auto"/>
              </w:rPr>
            </w:pPr>
            <w:r>
              <w:rPr>
                <w:rFonts w:ascii="Times New Roman" w:cs="Times New Roman" w:eastAsia="Times New Roman" w:hAnsi="Times New Roman"/>
                <w:sz w:val="11"/>
                <w:szCs w:val="11"/>
                <w:color w:val="auto"/>
              </w:rPr>
              <w:t>Payments of taxes withheld on net settlement of</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8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equity awards</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(25,900)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rPr>
              <w:t>(25,900)</w:t>
            </w:r>
          </w:p>
        </w:tc>
        <w:tc>
          <w:tcPr>
            <w:tcW w:w="0" w:type="dxa"/>
            <w:vAlign w:val="bottom"/>
          </w:tcPr>
          <w:p>
            <w:pPr>
              <w:spacing w:after="0"/>
              <w:rPr>
                <w:sz w:val="1"/>
                <w:szCs w:val="1"/>
                <w:color w:val="auto"/>
              </w:rPr>
            </w:pPr>
          </w:p>
        </w:tc>
      </w:tr>
      <w:tr>
        <w:trPr>
          <w:trHeight w:val="120"/>
        </w:trPr>
        <w:tc>
          <w:tcPr>
            <w:tcW w:w="2880" w:type="dxa"/>
            <w:vAlign w:val="bottom"/>
            <w:gridSpan w:val="2"/>
          </w:tcPr>
          <w:p>
            <w:pPr>
              <w:ind w:left="40"/>
              <w:spacing w:after="0" w:line="121"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2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3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360" w:type="dxa"/>
            <w:vAlign w:val="bottom"/>
            <w:gridSpan w:val="2"/>
          </w:tcPr>
          <w:p>
            <w:pPr>
              <w:jc w:val="right"/>
              <w:ind w:right="240"/>
              <w:spacing w:after="0" w:line="12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(7,623)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27"/>
              <w:spacing w:after="0" w:line="121" w:lineRule="exact"/>
              <w:rPr>
                <w:sz w:val="20"/>
                <w:szCs w:val="20"/>
                <w:color w:val="auto"/>
              </w:rPr>
            </w:pPr>
            <w:r>
              <w:rPr>
                <w:rFonts w:ascii="Times New Roman" w:cs="Times New Roman" w:eastAsia="Times New Roman" w:hAnsi="Times New Roman"/>
                <w:sz w:val="11"/>
                <w:szCs w:val="11"/>
                <w:color w:val="auto"/>
              </w:rPr>
              <w:t>(97)</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right"/>
              <w:ind w:right="27"/>
              <w:spacing w:after="0" w:line="121" w:lineRule="exact"/>
              <w:rPr>
                <w:sz w:val="20"/>
                <w:szCs w:val="20"/>
                <w:color w:val="auto"/>
              </w:rPr>
            </w:pPr>
            <w:r>
              <w:rPr>
                <w:rFonts w:ascii="Times New Roman" w:cs="Times New Roman" w:eastAsia="Times New Roman" w:hAnsi="Times New Roman"/>
                <w:sz w:val="11"/>
                <w:szCs w:val="11"/>
                <w:color w:val="auto"/>
              </w:rPr>
              <w:t>(7,720)</w:t>
            </w:r>
          </w:p>
        </w:tc>
        <w:tc>
          <w:tcPr>
            <w:tcW w:w="0" w:type="dxa"/>
            <w:vAlign w:val="bottom"/>
          </w:tcPr>
          <w:p>
            <w:pPr>
              <w:spacing w:after="0"/>
              <w:rPr>
                <w:sz w:val="1"/>
                <w:szCs w:val="1"/>
                <w:color w:val="auto"/>
              </w:rPr>
            </w:pPr>
          </w:p>
        </w:tc>
      </w:tr>
      <w:tr>
        <w:trPr>
          <w:trHeight w:val="107"/>
        </w:trPr>
        <w:tc>
          <w:tcPr>
            <w:tcW w:w="2880" w:type="dxa"/>
            <w:vAlign w:val="bottom"/>
            <w:gridSpan w:val="2"/>
            <w:shd w:val="clear" w:color="auto" w:fill="CFF0FC"/>
          </w:tcPr>
          <w:p>
            <w:pPr>
              <w:ind w:left="40"/>
              <w:spacing w:after="0" w:line="107" w:lineRule="exact"/>
              <w:rPr>
                <w:sz w:val="20"/>
                <w:szCs w:val="20"/>
                <w:color w:val="auto"/>
              </w:rPr>
            </w:pPr>
            <w:r>
              <w:rPr>
                <w:rFonts w:ascii="Times New Roman" w:cs="Times New Roman" w:eastAsia="Times New Roman" w:hAnsi="Times New Roman"/>
                <w:sz w:val="11"/>
                <w:szCs w:val="11"/>
                <w:color w:val="auto"/>
              </w:rPr>
              <w:t>Net actuarial loss on amortization of net transition</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880" w:type="dxa"/>
            <w:vAlign w:val="bottom"/>
            <w:gridSpan w:val="2"/>
            <w:shd w:val="clear" w:color="auto" w:fill="CFF0FC"/>
          </w:tcPr>
          <w:p>
            <w:pPr>
              <w:ind w:left="40"/>
              <w:spacing w:after="0" w:line="121" w:lineRule="exact"/>
              <w:rPr>
                <w:sz w:val="20"/>
                <w:szCs w:val="20"/>
                <w:color w:val="auto"/>
              </w:rPr>
            </w:pPr>
            <w:r>
              <w:rPr>
                <w:rFonts w:ascii="Times New Roman" w:cs="Times New Roman" w:eastAsia="Times New Roman" w:hAnsi="Times New Roman"/>
                <w:sz w:val="11"/>
                <w:szCs w:val="11"/>
                <w:color w:val="auto"/>
              </w:rPr>
              <w:t>obligation and prior service costs related to defined</w:t>
            </w:r>
          </w:p>
        </w:tc>
        <w:tc>
          <w:tcPr>
            <w:tcW w:w="2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24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80" w:type="dxa"/>
            <w:vAlign w:val="bottom"/>
            <w:vMerge w:val="restart"/>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(434)</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rPr>
              <w:t>(434)</w:t>
            </w:r>
          </w:p>
        </w:tc>
        <w:tc>
          <w:tcPr>
            <w:tcW w:w="0" w:type="dxa"/>
            <w:vAlign w:val="bottom"/>
          </w:tcPr>
          <w:p>
            <w:pPr>
              <w:spacing w:after="0"/>
              <w:rPr>
                <w:sz w:val="1"/>
                <w:szCs w:val="1"/>
                <w:color w:val="auto"/>
              </w:rPr>
            </w:pPr>
          </w:p>
        </w:tc>
      </w:tr>
      <w:tr>
        <w:trPr>
          <w:trHeight w:val="121"/>
        </w:trPr>
        <w:tc>
          <w:tcPr>
            <w:tcW w:w="2440" w:type="dxa"/>
            <w:vAlign w:val="bottom"/>
            <w:tcBorders>
              <w:bottom w:val="single" w:sz="8" w:color="CFF0FC"/>
            </w:tcBorders>
            <w:shd w:val="clear" w:color="auto" w:fill="CFF0FC"/>
          </w:tcPr>
          <w:p>
            <w:pPr>
              <w:ind w:left="40"/>
              <w:spacing w:after="0" w:line="121" w:lineRule="exact"/>
              <w:rPr>
                <w:sz w:val="20"/>
                <w:szCs w:val="20"/>
                <w:color w:val="auto"/>
              </w:rPr>
            </w:pPr>
            <w:r>
              <w:rPr>
                <w:rFonts w:ascii="Times New Roman" w:cs="Times New Roman" w:eastAsia="Times New Roman" w:hAnsi="Times New Roman"/>
                <w:sz w:val="11"/>
                <w:szCs w:val="11"/>
                <w:color w:val="auto"/>
              </w:rPr>
              <w:t>benefit plans, net of tax</w:t>
            </w:r>
          </w:p>
        </w:tc>
        <w:tc>
          <w:tcPr>
            <w:tcW w:w="440" w:type="dxa"/>
            <w:vAlign w:val="bottom"/>
            <w:tcBorders>
              <w:bottom w:val="single" w:sz="8" w:color="auto"/>
            </w:tcBorders>
            <w:shd w:val="clear" w:color="auto" w:fill="CFF0FC"/>
          </w:tcPr>
          <w:p>
            <w:pPr>
              <w:spacing w:after="0"/>
              <w:rPr>
                <w:sz w:val="10"/>
                <w:szCs w:val="10"/>
                <w:color w:val="auto"/>
              </w:rPr>
            </w:pPr>
          </w:p>
        </w:tc>
        <w:tc>
          <w:tcPr>
            <w:tcW w:w="24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vMerge w:val="continue"/>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62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68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70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118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88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Balance at March 29, 2024</w:t>
            </w:r>
          </w:p>
        </w:tc>
        <w:tc>
          <w:tcPr>
            <w:tcW w:w="24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tcPr>
          <w:p>
            <w:pPr>
              <w:jc w:val="right"/>
              <w:ind w:right="2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ind w:left="3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193,164,609</w:t>
            </w:r>
          </w:p>
        </w:tc>
        <w:tc>
          <w:tcPr>
            <w:tcW w:w="120" w:type="dxa"/>
            <w:vAlign w:val="bottom"/>
          </w:tcPr>
          <w:p>
            <w:pPr>
              <w:spacing w:after="0"/>
              <w:rPr>
                <w:sz w:val="9"/>
                <w:szCs w:val="9"/>
                <w:color w:val="auto"/>
              </w:rPr>
            </w:pPr>
          </w:p>
        </w:tc>
        <w:tc>
          <w:tcPr>
            <w:tcW w:w="1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1,932</w:t>
            </w:r>
          </w:p>
        </w:tc>
        <w:tc>
          <w:tcPr>
            <w:tcW w:w="180" w:type="dxa"/>
            <w:vAlign w:val="bottom"/>
            <w:gridSpan w:val="2"/>
          </w:tcPr>
          <w:p>
            <w:pPr>
              <w:jc w:val="right"/>
              <w:ind w:right="2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694,332</w:t>
            </w:r>
          </w:p>
        </w:tc>
        <w:tc>
          <w:tcPr>
            <w:tcW w:w="200" w:type="dxa"/>
            <w:vAlign w:val="bottom"/>
            <w:gridSpan w:val="2"/>
          </w:tcPr>
          <w:p>
            <w:pPr>
              <w:ind w:left="120"/>
              <w:spacing w:after="0" w:line="114"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463,012</w:t>
            </w:r>
          </w:p>
        </w:tc>
        <w:tc>
          <w:tcPr>
            <w:tcW w:w="16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7"/>
              <w:spacing w:after="0" w:line="114" w:lineRule="exact"/>
              <w:rPr>
                <w:sz w:val="20"/>
                <w:szCs w:val="20"/>
                <w:color w:val="auto"/>
              </w:rPr>
            </w:pPr>
            <w:r>
              <w:rPr>
                <w:rFonts w:ascii="Times New Roman" w:cs="Times New Roman" w:eastAsia="Times New Roman" w:hAnsi="Times New Roman"/>
                <w:sz w:val="11"/>
                <w:szCs w:val="11"/>
                <w:color w:val="auto"/>
              </w:rPr>
              <w:t>(28,841)</w:t>
            </w:r>
          </w:p>
        </w:tc>
        <w:tc>
          <w:tcPr>
            <w:tcW w:w="220" w:type="dxa"/>
            <w:vAlign w:val="bottom"/>
            <w:gridSpan w:val="2"/>
          </w:tcPr>
          <w:p>
            <w:pPr>
              <w:jc w:val="right"/>
              <w:ind w:right="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1,281</w:t>
            </w:r>
          </w:p>
        </w:tc>
        <w:tc>
          <w:tcPr>
            <w:tcW w:w="16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1,131,716</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880" w:type="dxa"/>
            <w:vAlign w:val="bottom"/>
            <w:gridSpan w:val="2"/>
            <w:shd w:val="clear" w:color="auto" w:fill="CFF0FC"/>
          </w:tcPr>
          <w:p>
            <w:pPr>
              <w:ind w:left="40"/>
              <w:spacing w:after="0" w:line="101" w:lineRule="exact"/>
              <w:rPr>
                <w:sz w:val="20"/>
                <w:szCs w:val="20"/>
                <w:color w:val="auto"/>
              </w:rPr>
            </w:pPr>
            <w:r>
              <w:rPr>
                <w:rFonts w:ascii="Times New Roman" w:cs="Times New Roman" w:eastAsia="Times New Roman" w:hAnsi="Times New Roman"/>
                <w:sz w:val="11"/>
                <w:szCs w:val="11"/>
                <w:color w:val="auto"/>
              </w:rPr>
              <w:t>Net (loss) income</w:t>
            </w:r>
          </w:p>
        </w:tc>
        <w:tc>
          <w:tcPr>
            <w:tcW w:w="24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shd w:val="clear" w:color="auto" w:fill="CFF0FC"/>
          </w:tcPr>
          <w:p>
            <w:pPr>
              <w:ind w:left="360"/>
              <w:spacing w:after="0" w:line="10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8"/>
                <w:szCs w:val="8"/>
                <w:color w:val="auto"/>
              </w:rPr>
            </w:pPr>
          </w:p>
        </w:tc>
        <w:tc>
          <w:tcPr>
            <w:tcW w:w="1360" w:type="dxa"/>
            <w:vAlign w:val="bottom"/>
            <w:gridSpan w:val="2"/>
            <w:shd w:val="clear" w:color="auto" w:fill="CFF0FC"/>
          </w:tcPr>
          <w:p>
            <w:pPr>
              <w:jc w:val="right"/>
              <w:ind w:right="240"/>
              <w:spacing w:after="0" w:line="10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20" w:type="dxa"/>
            <w:vAlign w:val="bottom"/>
            <w:shd w:val="clear" w:color="auto" w:fill="CFF0FC"/>
          </w:tcPr>
          <w:p>
            <w:pPr>
              <w:jc w:val="right"/>
              <w:ind w:right="67"/>
              <w:spacing w:after="0" w:line="10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80" w:type="dxa"/>
            <w:vAlign w:val="bottom"/>
            <w:shd w:val="clear" w:color="auto" w:fill="CFF0FC"/>
          </w:tcPr>
          <w:p>
            <w:pPr>
              <w:jc w:val="right"/>
              <w:ind w:right="67"/>
              <w:spacing w:after="0" w:line="10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00" w:type="dxa"/>
            <w:vAlign w:val="bottom"/>
            <w:shd w:val="clear" w:color="auto" w:fill="CFF0FC"/>
          </w:tcPr>
          <w:p>
            <w:pPr>
              <w:jc w:val="right"/>
              <w:ind w:right="27"/>
              <w:spacing w:after="0" w:line="101" w:lineRule="exact"/>
              <w:rPr>
                <w:sz w:val="20"/>
                <w:szCs w:val="20"/>
                <w:color w:val="auto"/>
              </w:rPr>
            </w:pPr>
            <w:r>
              <w:rPr>
                <w:rFonts w:ascii="Times New Roman" w:cs="Times New Roman" w:eastAsia="Times New Roman" w:hAnsi="Times New Roman"/>
                <w:sz w:val="11"/>
                <w:szCs w:val="11"/>
                <w:color w:val="auto"/>
              </w:rPr>
              <w:t>(73,010)</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80" w:type="dxa"/>
            <w:vAlign w:val="bottom"/>
            <w:shd w:val="clear" w:color="auto" w:fill="CFF0FC"/>
          </w:tcPr>
          <w:p>
            <w:pPr>
              <w:jc w:val="right"/>
              <w:ind w:right="67"/>
              <w:spacing w:after="0" w:line="10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20" w:type="dxa"/>
            <w:vAlign w:val="bottom"/>
            <w:shd w:val="clear" w:color="auto" w:fill="CFF0FC"/>
          </w:tcPr>
          <w:p>
            <w:pPr>
              <w:jc w:val="right"/>
              <w:ind w:right="67"/>
              <w:spacing w:after="0" w:line="101" w:lineRule="exact"/>
              <w:rPr>
                <w:sz w:val="20"/>
                <w:szCs w:val="20"/>
                <w:color w:val="auto"/>
              </w:rPr>
            </w:pPr>
            <w:r>
              <w:rPr>
                <w:rFonts w:ascii="Times New Roman" w:cs="Times New Roman" w:eastAsia="Times New Roman" w:hAnsi="Times New Roman"/>
                <w:sz w:val="11"/>
                <w:szCs w:val="11"/>
                <w:color w:val="auto"/>
              </w:rPr>
              <w:t>247</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20" w:type="dxa"/>
            <w:vAlign w:val="bottom"/>
            <w:shd w:val="clear" w:color="auto" w:fill="CFF0FC"/>
          </w:tcPr>
          <w:p>
            <w:pPr>
              <w:jc w:val="right"/>
              <w:ind w:right="27"/>
              <w:spacing w:after="0" w:line="101" w:lineRule="exact"/>
              <w:rPr>
                <w:sz w:val="20"/>
                <w:szCs w:val="20"/>
                <w:color w:val="auto"/>
              </w:rPr>
            </w:pPr>
            <w:r>
              <w:rPr>
                <w:rFonts w:ascii="Times New Roman" w:cs="Times New Roman" w:eastAsia="Times New Roman" w:hAnsi="Times New Roman"/>
                <w:sz w:val="11"/>
                <w:szCs w:val="11"/>
                <w:color w:val="auto"/>
              </w:rPr>
              <w:t>(72,763)</w:t>
            </w:r>
          </w:p>
        </w:tc>
        <w:tc>
          <w:tcPr>
            <w:tcW w:w="0" w:type="dxa"/>
            <w:vAlign w:val="bottom"/>
          </w:tcPr>
          <w:p>
            <w:pPr>
              <w:spacing w:after="0"/>
              <w:rPr>
                <w:sz w:val="1"/>
                <w:szCs w:val="1"/>
                <w:color w:val="auto"/>
              </w:rPr>
            </w:pPr>
          </w:p>
        </w:tc>
      </w:tr>
      <w:tr>
        <w:trPr>
          <w:trHeight w:val="120"/>
        </w:trPr>
        <w:tc>
          <w:tcPr>
            <w:tcW w:w="2880" w:type="dxa"/>
            <w:vAlign w:val="bottom"/>
            <w:gridSpan w:val="2"/>
          </w:tcPr>
          <w:p>
            <w:pPr>
              <w:ind w:left="40"/>
              <w:spacing w:after="0" w:line="121" w:lineRule="exact"/>
              <w:rPr>
                <w:sz w:val="20"/>
                <w:szCs w:val="20"/>
                <w:color w:val="auto"/>
              </w:rPr>
            </w:pPr>
            <w:r>
              <w:rPr>
                <w:rFonts w:ascii="Times New Roman" w:cs="Times New Roman" w:eastAsia="Times New Roman" w:hAnsi="Times New Roman"/>
                <w:sz w:val="11"/>
                <w:szCs w:val="11"/>
                <w:color w:val="auto"/>
              </w:rPr>
              <w:t>Dividends to non-controlling interest</w:t>
            </w:r>
          </w:p>
        </w:tc>
        <w:tc>
          <w:tcPr>
            <w:tcW w:w="2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3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360" w:type="dxa"/>
            <w:vAlign w:val="bottom"/>
            <w:gridSpan w:val="2"/>
          </w:tcPr>
          <w:p>
            <w:pPr>
              <w:jc w:val="right"/>
              <w:ind w:right="240"/>
              <w:spacing w:after="0" w:line="12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27"/>
              <w:spacing w:after="0" w:line="121" w:lineRule="exact"/>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right"/>
              <w:ind w:right="27"/>
              <w:spacing w:after="0" w:line="121" w:lineRule="exact"/>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20"/>
        </w:trPr>
        <w:tc>
          <w:tcPr>
            <w:tcW w:w="2880" w:type="dxa"/>
            <w:vAlign w:val="bottom"/>
            <w:gridSpan w:val="2"/>
            <w:shd w:val="clear" w:color="auto" w:fill="CFF0FC"/>
          </w:tcPr>
          <w:p>
            <w:pPr>
              <w:ind w:left="40"/>
              <w:spacing w:after="0" w:line="121" w:lineRule="exact"/>
              <w:rPr>
                <w:sz w:val="20"/>
                <w:szCs w:val="20"/>
                <w:color w:val="auto"/>
              </w:rPr>
            </w:pPr>
            <w:r>
              <w:rPr>
                <w:rFonts w:ascii="Times New Roman" w:cs="Times New Roman" w:eastAsia="Times New Roman" w:hAnsi="Times New Roman"/>
                <w:sz w:val="11"/>
                <w:szCs w:val="11"/>
                <w:color w:val="auto"/>
              </w:rPr>
              <w:t>Employee stock purchase plan issuances</w:t>
            </w:r>
          </w:p>
        </w:tc>
        <w:tc>
          <w:tcPr>
            <w:tcW w:w="24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ind w:left="3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shd w:val="clear" w:color="auto" w:fill="CFF0FC"/>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164,756</w:t>
            </w: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3,509</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80" w:type="dxa"/>
            <w:vAlign w:val="bottom"/>
            <w:shd w:val="clear" w:color="auto" w:fill="CFF0FC"/>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3,511</w:t>
            </w:r>
          </w:p>
        </w:tc>
        <w:tc>
          <w:tcPr>
            <w:tcW w:w="0" w:type="dxa"/>
            <w:vAlign w:val="bottom"/>
          </w:tcPr>
          <w:p>
            <w:pPr>
              <w:spacing w:after="0"/>
              <w:rPr>
                <w:sz w:val="1"/>
                <w:szCs w:val="1"/>
                <w:color w:val="auto"/>
              </w:rPr>
            </w:pPr>
          </w:p>
        </w:tc>
      </w:tr>
      <w:tr>
        <w:trPr>
          <w:trHeight w:val="107"/>
        </w:trPr>
        <w:tc>
          <w:tcPr>
            <w:tcW w:w="2880" w:type="dxa"/>
            <w:vAlign w:val="bottom"/>
            <w:gridSpan w:val="2"/>
          </w:tcPr>
          <w:p>
            <w:pPr>
              <w:ind w:left="40"/>
              <w:spacing w:after="0" w:line="107" w:lineRule="exact"/>
              <w:rPr>
                <w:sz w:val="20"/>
                <w:szCs w:val="20"/>
                <w:color w:val="auto"/>
              </w:rPr>
            </w:pPr>
            <w:r>
              <w:rPr>
                <w:rFonts w:ascii="Times New Roman" w:cs="Times New Roman" w:eastAsia="Times New Roman" w:hAnsi="Times New Roman"/>
                <w:sz w:val="11"/>
                <w:szCs w:val="11"/>
                <w:color w:val="auto"/>
              </w:rPr>
              <w:t>Stock-based compensation, net of forfeitures and</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restricted stock vested</w:t>
            </w:r>
          </w:p>
        </w:tc>
        <w:tc>
          <w:tcPr>
            <w:tcW w:w="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974,517</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41,793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41,802</w:t>
            </w:r>
          </w:p>
        </w:tc>
        <w:tc>
          <w:tcPr>
            <w:tcW w:w="0" w:type="dxa"/>
            <w:vAlign w:val="bottom"/>
          </w:tcPr>
          <w:p>
            <w:pPr>
              <w:spacing w:after="0"/>
              <w:rPr>
                <w:sz w:val="1"/>
                <w:szCs w:val="1"/>
                <w:color w:val="auto"/>
              </w:rPr>
            </w:pPr>
          </w:p>
        </w:tc>
      </w:tr>
      <w:tr>
        <w:trPr>
          <w:trHeight w:val="107"/>
        </w:trPr>
        <w:tc>
          <w:tcPr>
            <w:tcW w:w="2880" w:type="dxa"/>
            <w:vAlign w:val="bottom"/>
            <w:gridSpan w:val="2"/>
            <w:shd w:val="clear" w:color="auto" w:fill="CFF0FC"/>
          </w:tcPr>
          <w:p>
            <w:pPr>
              <w:ind w:left="40"/>
              <w:spacing w:after="0" w:line="107" w:lineRule="exact"/>
              <w:rPr>
                <w:sz w:val="20"/>
                <w:szCs w:val="20"/>
                <w:color w:val="auto"/>
              </w:rPr>
            </w:pPr>
            <w:r>
              <w:rPr>
                <w:rFonts w:ascii="Times New Roman" w:cs="Times New Roman" w:eastAsia="Times New Roman" w:hAnsi="Times New Roman"/>
                <w:sz w:val="11"/>
                <w:szCs w:val="11"/>
                <w:color w:val="auto"/>
              </w:rPr>
              <w:t>Issuance of common stock, net of underwriting</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8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discounts</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28,750,000</w:t>
            </w: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288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665,562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665,850</w:t>
            </w:r>
          </w:p>
        </w:tc>
        <w:tc>
          <w:tcPr>
            <w:tcW w:w="0" w:type="dxa"/>
            <w:vAlign w:val="bottom"/>
          </w:tcPr>
          <w:p>
            <w:pPr>
              <w:spacing w:after="0"/>
              <w:rPr>
                <w:sz w:val="1"/>
                <w:szCs w:val="1"/>
                <w:color w:val="auto"/>
              </w:rPr>
            </w:pPr>
          </w:p>
        </w:tc>
      </w:tr>
      <w:tr>
        <w:trPr>
          <w:trHeight w:val="120"/>
        </w:trPr>
        <w:tc>
          <w:tcPr>
            <w:tcW w:w="2880" w:type="dxa"/>
            <w:vAlign w:val="bottom"/>
            <w:gridSpan w:val="2"/>
          </w:tcPr>
          <w:p>
            <w:pPr>
              <w:ind w:left="40"/>
              <w:spacing w:after="0" w:line="121" w:lineRule="exact"/>
              <w:rPr>
                <w:sz w:val="20"/>
                <w:szCs w:val="20"/>
                <w:color w:val="auto"/>
              </w:rPr>
            </w:pPr>
            <w:r>
              <w:rPr>
                <w:rFonts w:ascii="Times New Roman" w:cs="Times New Roman" w:eastAsia="Times New Roman" w:hAnsi="Times New Roman"/>
                <w:sz w:val="11"/>
                <w:szCs w:val="11"/>
                <w:color w:val="auto"/>
              </w:rPr>
              <w:t>Repurchases of common stock</w:t>
            </w:r>
          </w:p>
        </w:tc>
        <w:tc>
          <w:tcPr>
            <w:tcW w:w="2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3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tcPr>
          <w:p>
            <w:pPr>
              <w:jc w:val="right"/>
              <w:ind w:right="27"/>
              <w:spacing w:after="0" w:line="121" w:lineRule="exact"/>
              <w:rPr>
                <w:sz w:val="20"/>
                <w:szCs w:val="20"/>
                <w:color w:val="auto"/>
              </w:rPr>
            </w:pPr>
            <w:r>
              <w:rPr>
                <w:rFonts w:ascii="Times New Roman" w:cs="Times New Roman" w:eastAsia="Times New Roman" w:hAnsi="Times New Roman"/>
                <w:sz w:val="11"/>
                <w:szCs w:val="11"/>
                <w:color w:val="auto"/>
              </w:rPr>
              <w:t>(38,767,315)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27"/>
              <w:spacing w:after="0" w:line="121" w:lineRule="exact"/>
              <w:rPr>
                <w:sz w:val="20"/>
                <w:szCs w:val="20"/>
                <w:color w:val="auto"/>
              </w:rPr>
            </w:pPr>
            <w:r>
              <w:rPr>
                <w:rFonts w:ascii="Times New Roman" w:cs="Times New Roman" w:eastAsia="Times New Roman" w:hAnsi="Times New Roman"/>
                <w:sz w:val="11"/>
                <w:szCs w:val="11"/>
                <w:color w:val="auto"/>
              </w:rPr>
              <w:t>(388)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(376,903)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27"/>
              <w:spacing w:after="0" w:line="121" w:lineRule="exact"/>
              <w:rPr>
                <w:sz w:val="20"/>
                <w:szCs w:val="20"/>
                <w:color w:val="auto"/>
              </w:rPr>
            </w:pPr>
            <w:r>
              <w:rPr>
                <w:rFonts w:ascii="Times New Roman" w:cs="Times New Roman" w:eastAsia="Times New Roman" w:hAnsi="Times New Roman"/>
                <w:sz w:val="11"/>
                <w:szCs w:val="11"/>
                <w:color w:val="auto"/>
              </w:rPr>
              <w:t>(443,593)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right"/>
              <w:ind w:right="27"/>
              <w:spacing w:after="0" w:line="121" w:lineRule="exact"/>
              <w:rPr>
                <w:sz w:val="20"/>
                <w:szCs w:val="20"/>
                <w:color w:val="auto"/>
              </w:rPr>
            </w:pPr>
            <w:r>
              <w:rPr>
                <w:rFonts w:ascii="Times New Roman" w:cs="Times New Roman" w:eastAsia="Times New Roman" w:hAnsi="Times New Roman"/>
                <w:sz w:val="11"/>
                <w:szCs w:val="11"/>
                <w:color w:val="auto"/>
              </w:rPr>
              <w:t>(820,884)</w:t>
            </w:r>
          </w:p>
        </w:tc>
        <w:tc>
          <w:tcPr>
            <w:tcW w:w="0" w:type="dxa"/>
            <w:vAlign w:val="bottom"/>
          </w:tcPr>
          <w:p>
            <w:pPr>
              <w:spacing w:after="0"/>
              <w:rPr>
                <w:sz w:val="1"/>
                <w:szCs w:val="1"/>
                <w:color w:val="auto"/>
              </w:rPr>
            </w:pPr>
          </w:p>
        </w:tc>
      </w:tr>
      <w:tr>
        <w:trPr>
          <w:trHeight w:val="107"/>
        </w:trPr>
        <w:tc>
          <w:tcPr>
            <w:tcW w:w="2880" w:type="dxa"/>
            <w:vAlign w:val="bottom"/>
            <w:gridSpan w:val="2"/>
            <w:shd w:val="clear" w:color="auto" w:fill="CFF0FC"/>
          </w:tcPr>
          <w:p>
            <w:pPr>
              <w:ind w:left="40"/>
              <w:spacing w:after="0" w:line="107" w:lineRule="exact"/>
              <w:rPr>
                <w:sz w:val="20"/>
                <w:szCs w:val="20"/>
                <w:color w:val="auto"/>
              </w:rPr>
            </w:pPr>
            <w:r>
              <w:rPr>
                <w:rFonts w:ascii="Times New Roman" w:cs="Times New Roman" w:eastAsia="Times New Roman" w:hAnsi="Times New Roman"/>
                <w:sz w:val="11"/>
                <w:szCs w:val="11"/>
                <w:color w:val="auto"/>
              </w:rPr>
              <w:t>Payments of taxes withheld on net settlement of</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8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equity awards</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(16,238)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rPr>
              <w:t>(16,238)</w:t>
            </w:r>
          </w:p>
        </w:tc>
        <w:tc>
          <w:tcPr>
            <w:tcW w:w="0" w:type="dxa"/>
            <w:vAlign w:val="bottom"/>
          </w:tcPr>
          <w:p>
            <w:pPr>
              <w:spacing w:after="0"/>
              <w:rPr>
                <w:sz w:val="1"/>
                <w:szCs w:val="1"/>
                <w:color w:val="auto"/>
              </w:rPr>
            </w:pPr>
          </w:p>
        </w:tc>
      </w:tr>
      <w:tr>
        <w:trPr>
          <w:trHeight w:val="120"/>
        </w:trPr>
        <w:tc>
          <w:tcPr>
            <w:tcW w:w="2880" w:type="dxa"/>
            <w:vAlign w:val="bottom"/>
            <w:gridSpan w:val="2"/>
          </w:tcPr>
          <w:p>
            <w:pPr>
              <w:ind w:left="40"/>
              <w:spacing w:after="0" w:line="121"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2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3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360" w:type="dxa"/>
            <w:vAlign w:val="bottom"/>
            <w:gridSpan w:val="2"/>
          </w:tcPr>
          <w:p>
            <w:pPr>
              <w:jc w:val="right"/>
              <w:ind w:right="240"/>
              <w:spacing w:after="0" w:line="12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jc w:val="right"/>
              <w:ind w:right="7"/>
              <w:spacing w:after="0" w:line="121" w:lineRule="exact"/>
              <w:rPr>
                <w:sz w:val="20"/>
                <w:szCs w:val="20"/>
                <w:color w:val="auto"/>
              </w:rPr>
            </w:pPr>
            <w:r>
              <w:rPr>
                <w:rFonts w:ascii="Times New Roman" w:cs="Times New Roman" w:eastAsia="Times New Roman" w:hAnsi="Times New Roman"/>
                <w:sz w:val="11"/>
                <w:szCs w:val="11"/>
                <w:color w:val="auto"/>
              </w:rPr>
              <w:t>(2,163)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right"/>
              <w:ind w:right="27"/>
              <w:spacing w:after="0" w:line="121" w:lineRule="exact"/>
              <w:rPr>
                <w:sz w:val="20"/>
                <w:szCs w:val="20"/>
                <w:color w:val="auto"/>
              </w:rPr>
            </w:pPr>
            <w:r>
              <w:rPr>
                <w:rFonts w:ascii="Times New Roman" w:cs="Times New Roman" w:eastAsia="Times New Roman" w:hAnsi="Times New Roman"/>
                <w:sz w:val="11"/>
                <w:szCs w:val="11"/>
                <w:color w:val="auto"/>
              </w:rPr>
              <w:t>(2,127)</w:t>
            </w:r>
          </w:p>
        </w:tc>
        <w:tc>
          <w:tcPr>
            <w:tcW w:w="0" w:type="dxa"/>
            <w:vAlign w:val="bottom"/>
          </w:tcPr>
          <w:p>
            <w:pPr>
              <w:spacing w:after="0"/>
              <w:rPr>
                <w:sz w:val="1"/>
                <w:szCs w:val="1"/>
                <w:color w:val="auto"/>
              </w:rPr>
            </w:pPr>
          </w:p>
        </w:tc>
      </w:tr>
      <w:tr>
        <w:trPr>
          <w:trHeight w:val="107"/>
        </w:trPr>
        <w:tc>
          <w:tcPr>
            <w:tcW w:w="2880" w:type="dxa"/>
            <w:vAlign w:val="bottom"/>
            <w:gridSpan w:val="2"/>
            <w:shd w:val="clear" w:color="auto" w:fill="CFF0FC"/>
          </w:tcPr>
          <w:p>
            <w:pPr>
              <w:ind w:left="40"/>
              <w:spacing w:after="0" w:line="107" w:lineRule="exact"/>
              <w:rPr>
                <w:sz w:val="20"/>
                <w:szCs w:val="20"/>
                <w:color w:val="auto"/>
              </w:rPr>
            </w:pPr>
            <w:r>
              <w:rPr>
                <w:rFonts w:ascii="Times New Roman" w:cs="Times New Roman" w:eastAsia="Times New Roman" w:hAnsi="Times New Roman"/>
                <w:sz w:val="11"/>
                <w:szCs w:val="11"/>
                <w:color w:val="auto"/>
              </w:rPr>
              <w:t>Net actuarial gain on amortization of net transition</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880" w:type="dxa"/>
            <w:vAlign w:val="bottom"/>
            <w:gridSpan w:val="2"/>
            <w:shd w:val="clear" w:color="auto" w:fill="CFF0FC"/>
          </w:tcPr>
          <w:p>
            <w:pPr>
              <w:ind w:left="40"/>
              <w:spacing w:after="0" w:line="121" w:lineRule="exact"/>
              <w:rPr>
                <w:sz w:val="20"/>
                <w:szCs w:val="20"/>
                <w:color w:val="auto"/>
              </w:rPr>
            </w:pPr>
            <w:r>
              <w:rPr>
                <w:rFonts w:ascii="Times New Roman" w:cs="Times New Roman" w:eastAsia="Times New Roman" w:hAnsi="Times New Roman"/>
                <w:sz w:val="11"/>
                <w:szCs w:val="11"/>
                <w:color w:val="auto"/>
              </w:rPr>
              <w:t>obligation and prior service costs related to defined</w:t>
            </w:r>
          </w:p>
        </w:tc>
        <w:tc>
          <w:tcPr>
            <w:tcW w:w="2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24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8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252</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252</w:t>
            </w:r>
          </w:p>
        </w:tc>
        <w:tc>
          <w:tcPr>
            <w:tcW w:w="0" w:type="dxa"/>
            <w:vAlign w:val="bottom"/>
          </w:tcPr>
          <w:p>
            <w:pPr>
              <w:spacing w:after="0"/>
              <w:rPr>
                <w:sz w:val="1"/>
                <w:szCs w:val="1"/>
                <w:color w:val="auto"/>
              </w:rPr>
            </w:pPr>
          </w:p>
        </w:tc>
      </w:tr>
      <w:tr>
        <w:trPr>
          <w:trHeight w:val="121"/>
        </w:trPr>
        <w:tc>
          <w:tcPr>
            <w:tcW w:w="2440" w:type="dxa"/>
            <w:vAlign w:val="bottom"/>
            <w:tcBorders>
              <w:bottom w:val="single" w:sz="8" w:color="CFF0FC"/>
            </w:tcBorders>
            <w:shd w:val="clear" w:color="auto" w:fill="CFF0FC"/>
          </w:tcPr>
          <w:p>
            <w:pPr>
              <w:ind w:left="40"/>
              <w:spacing w:after="0" w:line="121" w:lineRule="exact"/>
              <w:rPr>
                <w:sz w:val="20"/>
                <w:szCs w:val="20"/>
                <w:color w:val="auto"/>
              </w:rPr>
            </w:pPr>
            <w:r>
              <w:rPr>
                <w:rFonts w:ascii="Times New Roman" w:cs="Times New Roman" w:eastAsia="Times New Roman" w:hAnsi="Times New Roman"/>
                <w:sz w:val="11"/>
                <w:szCs w:val="11"/>
                <w:color w:val="auto"/>
              </w:rPr>
              <w:t>benefit plans, net of tax</w:t>
            </w:r>
          </w:p>
        </w:tc>
        <w:tc>
          <w:tcPr>
            <w:tcW w:w="440" w:type="dxa"/>
            <w:vAlign w:val="bottom"/>
            <w:tcBorders>
              <w:bottom w:val="single" w:sz="8" w:color="auto"/>
            </w:tcBorders>
            <w:shd w:val="clear" w:color="auto" w:fill="CFF0FC"/>
          </w:tcPr>
          <w:p>
            <w:pPr>
              <w:spacing w:after="0"/>
              <w:rPr>
                <w:sz w:val="10"/>
                <w:szCs w:val="10"/>
                <w:color w:val="auto"/>
              </w:rPr>
            </w:pPr>
          </w:p>
        </w:tc>
        <w:tc>
          <w:tcPr>
            <w:tcW w:w="24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vMerge w:val="continue"/>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62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68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70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118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88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Balance at March 28, 2025</w:t>
            </w:r>
          </w:p>
        </w:tc>
        <w:tc>
          <w:tcPr>
            <w:tcW w:w="24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tcPr>
          <w:p>
            <w:pPr>
              <w:jc w:val="right"/>
              <w:ind w:right="2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ind w:left="3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184,286,567</w:t>
            </w:r>
          </w:p>
        </w:tc>
        <w:tc>
          <w:tcPr>
            <w:tcW w:w="120" w:type="dxa"/>
            <w:vAlign w:val="bottom"/>
          </w:tcPr>
          <w:p>
            <w:pPr>
              <w:spacing w:after="0"/>
              <w:rPr>
                <w:sz w:val="9"/>
                <w:szCs w:val="9"/>
                <w:color w:val="auto"/>
              </w:rPr>
            </w:pPr>
          </w:p>
        </w:tc>
        <w:tc>
          <w:tcPr>
            <w:tcW w:w="1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1,843</w:t>
            </w:r>
          </w:p>
        </w:tc>
        <w:tc>
          <w:tcPr>
            <w:tcW w:w="180" w:type="dxa"/>
            <w:vAlign w:val="bottom"/>
            <w:gridSpan w:val="2"/>
          </w:tcPr>
          <w:p>
            <w:pPr>
              <w:jc w:val="right"/>
              <w:ind w:right="2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1,012,055</w:t>
            </w:r>
          </w:p>
        </w:tc>
        <w:tc>
          <w:tcPr>
            <w:tcW w:w="200" w:type="dxa"/>
            <w:vAlign w:val="bottom"/>
            <w:gridSpan w:val="2"/>
          </w:tcPr>
          <w:p>
            <w:pPr>
              <w:ind w:left="120"/>
              <w:spacing w:after="0" w:line="114"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7"/>
              <w:spacing w:after="0" w:line="114" w:lineRule="exact"/>
              <w:rPr>
                <w:sz w:val="20"/>
                <w:szCs w:val="20"/>
                <w:color w:val="auto"/>
              </w:rPr>
            </w:pPr>
            <w:r>
              <w:rPr>
                <w:rFonts w:ascii="Times New Roman" w:cs="Times New Roman" w:eastAsia="Times New Roman" w:hAnsi="Times New Roman"/>
                <w:sz w:val="11"/>
                <w:szCs w:val="11"/>
                <w:color w:val="auto"/>
              </w:rPr>
              <w:t>(53,591)</w:t>
            </w:r>
          </w:p>
        </w:tc>
        <w:tc>
          <w:tcPr>
            <w:tcW w:w="16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7"/>
              <w:spacing w:after="0" w:line="114" w:lineRule="exact"/>
              <w:rPr>
                <w:sz w:val="20"/>
                <w:szCs w:val="20"/>
                <w:color w:val="auto"/>
              </w:rPr>
            </w:pPr>
            <w:r>
              <w:rPr>
                <w:rFonts w:ascii="Times New Roman" w:cs="Times New Roman" w:eastAsia="Times New Roman" w:hAnsi="Times New Roman"/>
                <w:sz w:val="11"/>
                <w:szCs w:val="11"/>
                <w:color w:val="auto"/>
              </w:rPr>
              <w:t>(30,752)</w:t>
            </w:r>
          </w:p>
        </w:tc>
        <w:tc>
          <w:tcPr>
            <w:tcW w:w="220" w:type="dxa"/>
            <w:vAlign w:val="bottom"/>
            <w:gridSpan w:val="2"/>
          </w:tcPr>
          <w:p>
            <w:pPr>
              <w:jc w:val="right"/>
              <w:ind w:right="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1,545</w:t>
            </w:r>
          </w:p>
        </w:tc>
        <w:tc>
          <w:tcPr>
            <w:tcW w:w="16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931,100</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880" w:type="dxa"/>
            <w:vAlign w:val="bottom"/>
            <w:gridSpan w:val="2"/>
            <w:shd w:val="clear" w:color="auto" w:fill="CFF0FC"/>
          </w:tcPr>
          <w:p>
            <w:pPr>
              <w:ind w:left="40"/>
              <w:spacing w:after="0" w:line="101" w:lineRule="exact"/>
              <w:rPr>
                <w:sz w:val="20"/>
                <w:szCs w:val="20"/>
                <w:color w:val="auto"/>
              </w:rPr>
            </w:pPr>
            <w:r>
              <w:rPr>
                <w:rFonts w:ascii="Times New Roman" w:cs="Times New Roman" w:eastAsia="Times New Roman" w:hAnsi="Times New Roman"/>
                <w:sz w:val="11"/>
                <w:szCs w:val="11"/>
                <w:color w:val="auto"/>
              </w:rPr>
              <w:t>Net (loss) income</w:t>
            </w:r>
          </w:p>
        </w:tc>
        <w:tc>
          <w:tcPr>
            <w:tcW w:w="24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shd w:val="clear" w:color="auto" w:fill="CFF0FC"/>
          </w:tcPr>
          <w:p>
            <w:pPr>
              <w:ind w:left="360"/>
              <w:spacing w:after="0" w:line="10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8"/>
                <w:szCs w:val="8"/>
                <w:color w:val="auto"/>
              </w:rPr>
            </w:pPr>
          </w:p>
        </w:tc>
        <w:tc>
          <w:tcPr>
            <w:tcW w:w="1360" w:type="dxa"/>
            <w:vAlign w:val="bottom"/>
            <w:gridSpan w:val="2"/>
            <w:shd w:val="clear" w:color="auto" w:fill="CFF0FC"/>
          </w:tcPr>
          <w:p>
            <w:pPr>
              <w:jc w:val="right"/>
              <w:ind w:right="240"/>
              <w:spacing w:after="0" w:line="10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20" w:type="dxa"/>
            <w:vAlign w:val="bottom"/>
            <w:shd w:val="clear" w:color="auto" w:fill="CFF0FC"/>
          </w:tcPr>
          <w:p>
            <w:pPr>
              <w:jc w:val="right"/>
              <w:ind w:right="67"/>
              <w:spacing w:after="0" w:line="10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80" w:type="dxa"/>
            <w:vAlign w:val="bottom"/>
            <w:shd w:val="clear" w:color="auto" w:fill="CFF0FC"/>
          </w:tcPr>
          <w:p>
            <w:pPr>
              <w:jc w:val="right"/>
              <w:ind w:right="67"/>
              <w:spacing w:after="0" w:line="10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00" w:type="dxa"/>
            <w:vAlign w:val="bottom"/>
            <w:shd w:val="clear" w:color="auto" w:fill="CFF0FC"/>
          </w:tcPr>
          <w:p>
            <w:pPr>
              <w:jc w:val="right"/>
              <w:ind w:right="27"/>
              <w:spacing w:after="0" w:line="101" w:lineRule="exact"/>
              <w:rPr>
                <w:sz w:val="20"/>
                <w:szCs w:val="20"/>
                <w:color w:val="auto"/>
              </w:rPr>
            </w:pPr>
            <w:r>
              <w:rPr>
                <w:rFonts w:ascii="Times New Roman" w:cs="Times New Roman" w:eastAsia="Times New Roman" w:hAnsi="Times New Roman"/>
                <w:sz w:val="11"/>
                <w:szCs w:val="11"/>
                <w:color w:val="auto"/>
              </w:rPr>
              <w:t>(14,897)</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80" w:type="dxa"/>
            <w:vAlign w:val="bottom"/>
            <w:shd w:val="clear" w:color="auto" w:fill="CFF0FC"/>
          </w:tcPr>
          <w:p>
            <w:pPr>
              <w:jc w:val="right"/>
              <w:ind w:right="67"/>
              <w:spacing w:after="0" w:line="10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20" w:type="dxa"/>
            <w:vAlign w:val="bottom"/>
            <w:shd w:val="clear" w:color="auto" w:fill="CFF0FC"/>
          </w:tcPr>
          <w:p>
            <w:pPr>
              <w:jc w:val="right"/>
              <w:ind w:right="67"/>
              <w:spacing w:after="0" w:line="101" w:lineRule="exact"/>
              <w:rPr>
                <w:sz w:val="20"/>
                <w:szCs w:val="20"/>
                <w:color w:val="auto"/>
              </w:rPr>
            </w:pPr>
            <w:r>
              <w:rPr>
                <w:rFonts w:ascii="Times New Roman" w:cs="Times New Roman" w:eastAsia="Times New Roman" w:hAnsi="Times New Roman"/>
                <w:sz w:val="11"/>
                <w:szCs w:val="11"/>
                <w:color w:val="auto"/>
              </w:rPr>
              <w:t>244</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20" w:type="dxa"/>
            <w:vAlign w:val="bottom"/>
            <w:shd w:val="clear" w:color="auto" w:fill="CFF0FC"/>
          </w:tcPr>
          <w:p>
            <w:pPr>
              <w:jc w:val="right"/>
              <w:ind w:right="27"/>
              <w:spacing w:after="0" w:line="101" w:lineRule="exact"/>
              <w:rPr>
                <w:sz w:val="20"/>
                <w:szCs w:val="20"/>
                <w:color w:val="auto"/>
              </w:rPr>
            </w:pPr>
            <w:r>
              <w:rPr>
                <w:rFonts w:ascii="Times New Roman" w:cs="Times New Roman" w:eastAsia="Times New Roman" w:hAnsi="Times New Roman"/>
                <w:sz w:val="11"/>
                <w:szCs w:val="11"/>
                <w:color w:val="auto"/>
              </w:rPr>
              <w:t>(14,653)</w:t>
            </w:r>
          </w:p>
        </w:tc>
        <w:tc>
          <w:tcPr>
            <w:tcW w:w="0" w:type="dxa"/>
            <w:vAlign w:val="bottom"/>
          </w:tcPr>
          <w:p>
            <w:pPr>
              <w:spacing w:after="0"/>
              <w:rPr>
                <w:sz w:val="1"/>
                <w:szCs w:val="1"/>
                <w:color w:val="auto"/>
              </w:rPr>
            </w:pPr>
          </w:p>
        </w:tc>
      </w:tr>
      <w:tr>
        <w:trPr>
          <w:trHeight w:val="120"/>
        </w:trPr>
        <w:tc>
          <w:tcPr>
            <w:tcW w:w="2880" w:type="dxa"/>
            <w:vAlign w:val="bottom"/>
            <w:gridSpan w:val="2"/>
          </w:tcPr>
          <w:p>
            <w:pPr>
              <w:ind w:left="40"/>
              <w:spacing w:after="0" w:line="121" w:lineRule="exact"/>
              <w:rPr>
                <w:sz w:val="20"/>
                <w:szCs w:val="20"/>
                <w:color w:val="auto"/>
              </w:rPr>
            </w:pPr>
            <w:r>
              <w:rPr>
                <w:rFonts w:ascii="Times New Roman" w:cs="Times New Roman" w:eastAsia="Times New Roman" w:hAnsi="Times New Roman"/>
                <w:sz w:val="11"/>
                <w:szCs w:val="11"/>
                <w:color w:val="auto"/>
              </w:rPr>
              <w:t>Dividends to non-controlling interest</w:t>
            </w:r>
          </w:p>
        </w:tc>
        <w:tc>
          <w:tcPr>
            <w:tcW w:w="2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3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360" w:type="dxa"/>
            <w:vAlign w:val="bottom"/>
            <w:gridSpan w:val="2"/>
          </w:tcPr>
          <w:p>
            <w:pPr>
              <w:jc w:val="right"/>
              <w:ind w:right="240"/>
              <w:spacing w:after="0" w:line="12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27"/>
              <w:spacing w:after="0" w:line="121" w:lineRule="exact"/>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right"/>
              <w:ind w:right="27"/>
              <w:spacing w:after="0" w:line="121" w:lineRule="exact"/>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20"/>
        </w:trPr>
        <w:tc>
          <w:tcPr>
            <w:tcW w:w="2880" w:type="dxa"/>
            <w:vAlign w:val="bottom"/>
            <w:gridSpan w:val="2"/>
            <w:shd w:val="clear" w:color="auto" w:fill="CFF0FC"/>
          </w:tcPr>
          <w:p>
            <w:pPr>
              <w:ind w:left="40"/>
              <w:spacing w:after="0" w:line="121" w:lineRule="exact"/>
              <w:rPr>
                <w:sz w:val="20"/>
                <w:szCs w:val="20"/>
                <w:color w:val="auto"/>
              </w:rPr>
            </w:pPr>
            <w:r>
              <w:rPr>
                <w:rFonts w:ascii="Times New Roman" w:cs="Times New Roman" w:eastAsia="Times New Roman" w:hAnsi="Times New Roman"/>
                <w:sz w:val="11"/>
                <w:szCs w:val="11"/>
                <w:color w:val="auto"/>
              </w:rPr>
              <w:t>Employee stock purchase plan issuances</w:t>
            </w:r>
          </w:p>
        </w:tc>
        <w:tc>
          <w:tcPr>
            <w:tcW w:w="24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ind w:left="3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shd w:val="clear" w:color="auto" w:fill="CFF0FC"/>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162,153</w:t>
            </w: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3,335</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80" w:type="dxa"/>
            <w:vAlign w:val="bottom"/>
            <w:shd w:val="clear" w:color="auto" w:fill="CFF0FC"/>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3,337</w:t>
            </w:r>
          </w:p>
        </w:tc>
        <w:tc>
          <w:tcPr>
            <w:tcW w:w="0" w:type="dxa"/>
            <w:vAlign w:val="bottom"/>
          </w:tcPr>
          <w:p>
            <w:pPr>
              <w:spacing w:after="0"/>
              <w:rPr>
                <w:sz w:val="1"/>
                <w:szCs w:val="1"/>
                <w:color w:val="auto"/>
              </w:rPr>
            </w:pPr>
          </w:p>
        </w:tc>
      </w:tr>
      <w:tr>
        <w:trPr>
          <w:trHeight w:val="107"/>
        </w:trPr>
        <w:tc>
          <w:tcPr>
            <w:tcW w:w="2880" w:type="dxa"/>
            <w:vAlign w:val="bottom"/>
            <w:gridSpan w:val="2"/>
          </w:tcPr>
          <w:p>
            <w:pPr>
              <w:ind w:left="40"/>
              <w:spacing w:after="0" w:line="107" w:lineRule="exact"/>
              <w:rPr>
                <w:sz w:val="20"/>
                <w:szCs w:val="20"/>
                <w:color w:val="auto"/>
              </w:rPr>
            </w:pPr>
            <w:r>
              <w:rPr>
                <w:rFonts w:ascii="Times New Roman" w:cs="Times New Roman" w:eastAsia="Times New Roman" w:hAnsi="Times New Roman"/>
                <w:sz w:val="11"/>
                <w:szCs w:val="11"/>
                <w:color w:val="auto"/>
              </w:rPr>
              <w:t>Stock-based compensation, net of forfeitures and</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restricted stock vested</w:t>
            </w:r>
          </w:p>
        </w:tc>
        <w:tc>
          <w:tcPr>
            <w:tcW w:w="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908,623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47,804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47,813</w:t>
            </w:r>
          </w:p>
        </w:tc>
        <w:tc>
          <w:tcPr>
            <w:tcW w:w="0" w:type="dxa"/>
            <w:vAlign w:val="bottom"/>
          </w:tcPr>
          <w:p>
            <w:pPr>
              <w:spacing w:after="0"/>
              <w:rPr>
                <w:sz w:val="1"/>
                <w:szCs w:val="1"/>
                <w:color w:val="auto"/>
              </w:rPr>
            </w:pPr>
          </w:p>
        </w:tc>
      </w:tr>
      <w:tr>
        <w:trPr>
          <w:trHeight w:val="107"/>
        </w:trPr>
        <w:tc>
          <w:tcPr>
            <w:tcW w:w="2880" w:type="dxa"/>
            <w:vAlign w:val="bottom"/>
            <w:gridSpan w:val="2"/>
            <w:shd w:val="clear" w:color="auto" w:fill="CFF0FC"/>
          </w:tcPr>
          <w:p>
            <w:pPr>
              <w:ind w:left="40"/>
              <w:spacing w:after="0" w:line="107" w:lineRule="exact"/>
              <w:rPr>
                <w:sz w:val="20"/>
                <w:szCs w:val="20"/>
                <w:color w:val="auto"/>
              </w:rPr>
            </w:pPr>
            <w:r>
              <w:rPr>
                <w:rFonts w:ascii="Times New Roman" w:cs="Times New Roman" w:eastAsia="Times New Roman" w:hAnsi="Times New Roman"/>
                <w:sz w:val="11"/>
                <w:szCs w:val="11"/>
                <w:color w:val="auto"/>
              </w:rPr>
              <w:t>Payments of taxes withheld on net settlement of</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8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equity awards</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(12,612)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rPr>
              <w:t>(12,612)</w:t>
            </w:r>
          </w:p>
        </w:tc>
        <w:tc>
          <w:tcPr>
            <w:tcW w:w="0" w:type="dxa"/>
            <w:vAlign w:val="bottom"/>
          </w:tcPr>
          <w:p>
            <w:pPr>
              <w:spacing w:after="0"/>
              <w:rPr>
                <w:sz w:val="1"/>
                <w:szCs w:val="1"/>
                <w:color w:val="auto"/>
              </w:rPr>
            </w:pPr>
          </w:p>
        </w:tc>
      </w:tr>
      <w:tr>
        <w:trPr>
          <w:trHeight w:val="120"/>
        </w:trPr>
        <w:tc>
          <w:tcPr>
            <w:tcW w:w="2880" w:type="dxa"/>
            <w:vAlign w:val="bottom"/>
            <w:gridSpan w:val="2"/>
          </w:tcPr>
          <w:p>
            <w:pPr>
              <w:ind w:left="40"/>
              <w:spacing w:after="0" w:line="121"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2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36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360" w:type="dxa"/>
            <w:vAlign w:val="bottom"/>
            <w:gridSpan w:val="2"/>
          </w:tcPr>
          <w:p>
            <w:pPr>
              <w:jc w:val="right"/>
              <w:ind w:right="240"/>
              <w:spacing w:after="0" w:line="12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475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27"/>
              <w:spacing w:after="0" w:line="121" w:lineRule="exact"/>
              <w:rPr>
                <w:sz w:val="20"/>
                <w:szCs w:val="20"/>
                <w:color w:val="auto"/>
              </w:rPr>
            </w:pPr>
            <w:r>
              <w:rPr>
                <w:rFonts w:ascii="Times New Roman" w:cs="Times New Roman" w:eastAsia="Times New Roman" w:hAnsi="Times New Roman"/>
                <w:sz w:val="11"/>
                <w:szCs w:val="11"/>
                <w:color w:val="auto"/>
              </w:rPr>
              <w:t>(68)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right"/>
              <w:ind w:right="67"/>
              <w:spacing w:after="0" w:line="121" w:lineRule="exact"/>
              <w:rPr>
                <w:sz w:val="20"/>
                <w:szCs w:val="20"/>
                <w:color w:val="auto"/>
              </w:rPr>
            </w:pPr>
            <w:r>
              <w:rPr>
                <w:rFonts w:ascii="Times New Roman" w:cs="Times New Roman" w:eastAsia="Times New Roman" w:hAnsi="Times New Roman"/>
                <w:sz w:val="11"/>
                <w:szCs w:val="11"/>
                <w:color w:val="auto"/>
              </w:rPr>
              <w:t>407</w:t>
            </w:r>
          </w:p>
        </w:tc>
        <w:tc>
          <w:tcPr>
            <w:tcW w:w="0" w:type="dxa"/>
            <w:vAlign w:val="bottom"/>
          </w:tcPr>
          <w:p>
            <w:pPr>
              <w:spacing w:after="0"/>
              <w:rPr>
                <w:sz w:val="1"/>
                <w:szCs w:val="1"/>
                <w:color w:val="auto"/>
              </w:rPr>
            </w:pPr>
          </w:p>
        </w:tc>
      </w:tr>
      <w:tr>
        <w:trPr>
          <w:trHeight w:val="107"/>
        </w:trPr>
        <w:tc>
          <w:tcPr>
            <w:tcW w:w="2880" w:type="dxa"/>
            <w:vAlign w:val="bottom"/>
            <w:gridSpan w:val="2"/>
            <w:shd w:val="clear" w:color="auto" w:fill="CFF0FC"/>
          </w:tcPr>
          <w:p>
            <w:pPr>
              <w:ind w:left="40"/>
              <w:spacing w:after="0" w:line="107" w:lineRule="exact"/>
              <w:rPr>
                <w:sz w:val="20"/>
                <w:szCs w:val="20"/>
                <w:color w:val="auto"/>
              </w:rPr>
            </w:pPr>
            <w:r>
              <w:rPr>
                <w:rFonts w:ascii="Times New Roman" w:cs="Times New Roman" w:eastAsia="Times New Roman" w:hAnsi="Times New Roman"/>
                <w:sz w:val="11"/>
                <w:szCs w:val="11"/>
                <w:color w:val="auto"/>
              </w:rPr>
              <w:t>Net actuarial gain on amortization of net transition</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880" w:type="dxa"/>
            <w:vAlign w:val="bottom"/>
            <w:gridSpan w:val="2"/>
            <w:shd w:val="clear" w:color="auto" w:fill="CFF0FC"/>
          </w:tcPr>
          <w:p>
            <w:pPr>
              <w:ind w:left="40"/>
              <w:spacing w:after="0" w:line="121" w:lineRule="exact"/>
              <w:rPr>
                <w:sz w:val="20"/>
                <w:szCs w:val="20"/>
                <w:color w:val="auto"/>
              </w:rPr>
            </w:pPr>
            <w:r>
              <w:rPr>
                <w:rFonts w:ascii="Times New Roman" w:cs="Times New Roman" w:eastAsia="Times New Roman" w:hAnsi="Times New Roman"/>
                <w:sz w:val="11"/>
                <w:szCs w:val="11"/>
                <w:color w:val="auto"/>
              </w:rPr>
              <w:t>obligation and prior service costs related to defined</w:t>
            </w:r>
          </w:p>
        </w:tc>
        <w:tc>
          <w:tcPr>
            <w:tcW w:w="2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24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18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1,076</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rPr>
              <w:t>1,076</w:t>
            </w:r>
          </w:p>
        </w:tc>
        <w:tc>
          <w:tcPr>
            <w:tcW w:w="0" w:type="dxa"/>
            <w:vAlign w:val="bottom"/>
          </w:tcPr>
          <w:p>
            <w:pPr>
              <w:spacing w:after="0"/>
              <w:rPr>
                <w:sz w:val="1"/>
                <w:szCs w:val="1"/>
                <w:color w:val="auto"/>
              </w:rPr>
            </w:pPr>
          </w:p>
        </w:tc>
      </w:tr>
      <w:tr>
        <w:trPr>
          <w:trHeight w:val="121"/>
        </w:trPr>
        <w:tc>
          <w:tcPr>
            <w:tcW w:w="2440" w:type="dxa"/>
            <w:vAlign w:val="bottom"/>
            <w:tcBorders>
              <w:bottom w:val="single" w:sz="8" w:color="CFF0FC"/>
            </w:tcBorders>
            <w:shd w:val="clear" w:color="auto" w:fill="CFF0FC"/>
          </w:tcPr>
          <w:p>
            <w:pPr>
              <w:ind w:left="40"/>
              <w:spacing w:after="0" w:line="121" w:lineRule="exact"/>
              <w:rPr>
                <w:sz w:val="20"/>
                <w:szCs w:val="20"/>
                <w:color w:val="auto"/>
              </w:rPr>
            </w:pPr>
            <w:r>
              <w:rPr>
                <w:rFonts w:ascii="Times New Roman" w:cs="Times New Roman" w:eastAsia="Times New Roman" w:hAnsi="Times New Roman"/>
                <w:sz w:val="11"/>
                <w:szCs w:val="11"/>
                <w:color w:val="auto"/>
              </w:rPr>
              <w:t>benefit plans, net of tax</w:t>
            </w:r>
          </w:p>
        </w:tc>
        <w:tc>
          <w:tcPr>
            <w:tcW w:w="440" w:type="dxa"/>
            <w:vAlign w:val="bottom"/>
            <w:tcBorders>
              <w:bottom w:val="single" w:sz="8" w:color="auto"/>
            </w:tcBorders>
            <w:shd w:val="clear" w:color="auto" w:fill="CFF0FC"/>
          </w:tcPr>
          <w:p>
            <w:pPr>
              <w:spacing w:after="0"/>
              <w:rPr>
                <w:sz w:val="10"/>
                <w:szCs w:val="10"/>
                <w:color w:val="auto"/>
              </w:rPr>
            </w:pPr>
          </w:p>
        </w:tc>
        <w:tc>
          <w:tcPr>
            <w:tcW w:w="24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vMerge w:val="continue"/>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62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68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70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118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88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Balance at March 27, 2026</w:t>
            </w:r>
          </w:p>
        </w:tc>
        <w:tc>
          <w:tcPr>
            <w:tcW w:w="24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tcPr>
          <w:p>
            <w:pPr>
              <w:jc w:val="right"/>
              <w:ind w:right="2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ind w:left="3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185,357,343</w:t>
            </w:r>
          </w:p>
        </w:tc>
        <w:tc>
          <w:tcPr>
            <w:tcW w:w="120" w:type="dxa"/>
            <w:vAlign w:val="bottom"/>
          </w:tcPr>
          <w:p>
            <w:pPr>
              <w:spacing w:after="0"/>
              <w:rPr>
                <w:sz w:val="9"/>
                <w:szCs w:val="9"/>
                <w:color w:val="auto"/>
              </w:rPr>
            </w:pPr>
          </w:p>
        </w:tc>
        <w:tc>
          <w:tcPr>
            <w:tcW w:w="10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1,854</w:t>
            </w:r>
          </w:p>
        </w:tc>
        <w:tc>
          <w:tcPr>
            <w:tcW w:w="180" w:type="dxa"/>
            <w:vAlign w:val="bottom"/>
            <w:gridSpan w:val="2"/>
          </w:tcPr>
          <w:p>
            <w:pPr>
              <w:jc w:val="right"/>
              <w:ind w:right="2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1,050,582</w:t>
            </w:r>
          </w:p>
        </w:tc>
        <w:tc>
          <w:tcPr>
            <w:tcW w:w="200" w:type="dxa"/>
            <w:vAlign w:val="bottom"/>
            <w:gridSpan w:val="2"/>
          </w:tcPr>
          <w:p>
            <w:pPr>
              <w:ind w:left="120"/>
              <w:spacing w:after="0" w:line="114"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7"/>
              <w:spacing w:after="0" w:line="114" w:lineRule="exact"/>
              <w:rPr>
                <w:sz w:val="20"/>
                <w:szCs w:val="20"/>
                <w:color w:val="auto"/>
              </w:rPr>
            </w:pPr>
            <w:r>
              <w:rPr>
                <w:rFonts w:ascii="Times New Roman" w:cs="Times New Roman" w:eastAsia="Times New Roman" w:hAnsi="Times New Roman"/>
                <w:sz w:val="11"/>
                <w:szCs w:val="11"/>
                <w:color w:val="auto"/>
              </w:rPr>
              <w:t>(68,488)</w:t>
            </w:r>
          </w:p>
        </w:tc>
        <w:tc>
          <w:tcPr>
            <w:tcW w:w="16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7"/>
              <w:spacing w:after="0" w:line="114" w:lineRule="exact"/>
              <w:rPr>
                <w:sz w:val="20"/>
                <w:szCs w:val="20"/>
                <w:color w:val="auto"/>
              </w:rPr>
            </w:pPr>
            <w:r>
              <w:rPr>
                <w:rFonts w:ascii="Times New Roman" w:cs="Times New Roman" w:eastAsia="Times New Roman" w:hAnsi="Times New Roman"/>
                <w:sz w:val="11"/>
                <w:szCs w:val="11"/>
                <w:color w:val="auto"/>
              </w:rPr>
              <w:t>(29,201)</w:t>
            </w:r>
          </w:p>
        </w:tc>
        <w:tc>
          <w:tcPr>
            <w:tcW w:w="220" w:type="dxa"/>
            <w:vAlign w:val="bottom"/>
            <w:gridSpan w:val="2"/>
          </w:tcPr>
          <w:p>
            <w:pPr>
              <w:jc w:val="right"/>
              <w:ind w:right="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1,698</w:t>
            </w:r>
          </w:p>
        </w:tc>
        <w:tc>
          <w:tcPr>
            <w:tcW w:w="16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67"/>
              <w:spacing w:after="0" w:line="114" w:lineRule="exact"/>
              <w:rPr>
                <w:sz w:val="20"/>
                <w:szCs w:val="20"/>
                <w:color w:val="auto"/>
              </w:rPr>
            </w:pPr>
            <w:r>
              <w:rPr>
                <w:rFonts w:ascii="Times New Roman" w:cs="Times New Roman" w:eastAsia="Times New Roman" w:hAnsi="Times New Roman"/>
                <w:sz w:val="11"/>
                <w:szCs w:val="11"/>
                <w:color w:val="auto"/>
              </w:rPr>
              <w:t>956,445</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-2224405</wp:posOffset>
            </wp:positionV>
            <wp:extent cx="762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-2224405</wp:posOffset>
            </wp:positionV>
            <wp:extent cx="762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-2224405</wp:posOffset>
            </wp:positionV>
            <wp:extent cx="762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-2224405</wp:posOffset>
            </wp:positionV>
            <wp:extent cx="679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-2224405</wp:posOffset>
            </wp:positionV>
            <wp:extent cx="679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-2224405</wp:posOffset>
            </wp:positionV>
            <wp:extent cx="679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-2224405</wp:posOffset>
            </wp:positionV>
            <wp:extent cx="679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6509385</wp:posOffset>
            </wp:positionH>
            <wp:positionV relativeFrom="paragraph">
              <wp:posOffset>-2224405</wp:posOffset>
            </wp:positionV>
            <wp:extent cx="679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-1052195</wp:posOffset>
            </wp:positionV>
            <wp:extent cx="762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-1052195</wp:posOffset>
            </wp:positionV>
            <wp:extent cx="762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-1052195</wp:posOffset>
            </wp:positionV>
            <wp:extent cx="762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-1052195</wp:posOffset>
            </wp:positionV>
            <wp:extent cx="679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-1052195</wp:posOffset>
            </wp:positionV>
            <wp:extent cx="679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-1052195</wp:posOffset>
            </wp:positionV>
            <wp:extent cx="679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-1052195</wp:posOffset>
            </wp:positionV>
            <wp:extent cx="679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6509385</wp:posOffset>
            </wp:positionH>
            <wp:positionV relativeFrom="paragraph">
              <wp:posOffset>-1052195</wp:posOffset>
            </wp:positionV>
            <wp:extent cx="679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-109855</wp:posOffset>
            </wp:positionV>
            <wp:extent cx="762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-109855</wp:posOffset>
            </wp:positionV>
            <wp:extent cx="762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-109855</wp:posOffset>
            </wp:positionV>
            <wp:extent cx="762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-109855</wp:posOffset>
            </wp:positionV>
            <wp:extent cx="679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-109855</wp:posOffset>
            </wp:positionV>
            <wp:extent cx="679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-109855</wp:posOffset>
            </wp:positionV>
            <wp:extent cx="679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-109855</wp:posOffset>
            </wp:positionV>
            <wp:extent cx="679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6509385</wp:posOffset>
            </wp:positionH>
            <wp:positionV relativeFrom="paragraph">
              <wp:posOffset>-109855</wp:posOffset>
            </wp:positionV>
            <wp:extent cx="679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0">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16"/>
        </w:trPr>
        <w:tc>
          <w:tcPr>
            <w:tcW w:w="6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jc w:val="right"/>
              <w:ind w:right="409"/>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tcPr>
          <w:p>
            <w:pPr>
              <w:jc w:val="right"/>
              <w:ind w:right="409"/>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right"/>
              <w:ind w:right="389"/>
              <w:spacing w:after="0" w:line="116" w:lineRule="exact"/>
              <w:rPr>
                <w:sz w:val="20"/>
                <w:szCs w:val="20"/>
                <w:color w:val="auto"/>
              </w:rPr>
            </w:pPr>
            <w:r>
              <w:rPr>
                <w:rFonts w:ascii="Times New Roman" w:cs="Times New Roman" w:eastAsia="Times New Roman" w:hAnsi="Times New Roman"/>
                <w:sz w:val="13"/>
                <w:szCs w:val="13"/>
                <w:b w:val="1"/>
                <w:bCs w:val="1"/>
                <w:color w:val="auto"/>
              </w:rPr>
              <w:t>March 29,</w:t>
            </w:r>
          </w:p>
        </w:tc>
      </w:tr>
      <w:tr>
        <w:trPr>
          <w:trHeight w:val="172"/>
        </w:trPr>
        <w:tc>
          <w:tcPr>
            <w:tcW w:w="6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0"/>
        </w:trPr>
        <w:tc>
          <w:tcPr>
            <w:tcW w:w="6620" w:type="dxa"/>
            <w:vAlign w:val="bottom"/>
            <w:shd w:val="clear" w:color="auto" w:fill="CFF0FC"/>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r>
      <w:tr>
        <w:trPr>
          <w:trHeight w:val="160"/>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(72,763)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152,888</w:t>
            </w:r>
          </w:p>
        </w:tc>
      </w:tr>
      <w:tr>
        <w:trPr>
          <w:trHeight w:val="147"/>
        </w:trPr>
        <w:tc>
          <w:tcPr>
            <w:tcW w:w="662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r>
      <w:tr>
        <w:trPr>
          <w:trHeight w:val="147"/>
        </w:trPr>
        <w:tc>
          <w:tcPr>
            <w:tcW w:w="66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2"/>
                <w:szCs w:val="12"/>
                <w:color w:val="auto"/>
              </w:rPr>
            </w:pPr>
          </w:p>
        </w:tc>
        <w:tc>
          <w:tcPr>
            <w:tcW w:w="126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67,593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64,502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71,382</w:t>
            </w:r>
          </w:p>
        </w:tc>
      </w:tr>
      <w:tr>
        <w:trPr>
          <w:trHeight w:val="147"/>
        </w:trPr>
        <w:tc>
          <w:tcPr>
            <w:tcW w:w="662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2,245</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2,513</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527</w:t>
            </w:r>
          </w:p>
        </w:tc>
      </w:tr>
      <w:tr>
        <w:trPr>
          <w:trHeight w:val="147"/>
        </w:trPr>
        <w:tc>
          <w:tcPr>
            <w:tcW w:w="66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Pr>
          <w:p>
            <w:pPr>
              <w:spacing w:after="0"/>
              <w:rPr>
                <w:sz w:val="12"/>
                <w:szCs w:val="12"/>
                <w:color w:val="auto"/>
              </w:rPr>
            </w:pPr>
          </w:p>
        </w:tc>
        <w:tc>
          <w:tcPr>
            <w:tcW w:w="1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(11,994)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(16,301)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(18,613)</w:t>
            </w:r>
          </w:p>
        </w:tc>
      </w:tr>
      <w:tr>
        <w:trPr>
          <w:trHeight w:val="147"/>
        </w:trPr>
        <w:tc>
          <w:tcPr>
            <w:tcW w:w="662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47,910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41,868</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42,457</w:t>
            </w:r>
          </w:p>
        </w:tc>
      </w:tr>
      <w:tr>
        <w:trPr>
          <w:trHeight w:val="147"/>
        </w:trPr>
        <w:tc>
          <w:tcPr>
            <w:tcW w:w="66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Loss on change in fair value of forward repurchase contract</w:t>
            </w:r>
          </w:p>
        </w:tc>
        <w:tc>
          <w:tcPr>
            <w:tcW w:w="200" w:type="dxa"/>
            <w:vAlign w:val="bottom"/>
          </w:tcPr>
          <w:p>
            <w:pPr>
              <w:spacing w:after="0"/>
              <w:rPr>
                <w:sz w:val="12"/>
                <w:szCs w:val="12"/>
                <w:color w:val="auto"/>
              </w:rPr>
            </w:pPr>
          </w:p>
        </w:tc>
        <w:tc>
          <w:tcPr>
            <w:tcW w:w="126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34,752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r>
      <w:tr>
        <w:trPr>
          <w:trHeight w:val="147"/>
        </w:trPr>
        <w:tc>
          <w:tcPr>
            <w:tcW w:w="662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rPr>
              <w:t>Impairment of assets held for sale</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6,590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r>
      <w:tr>
        <w:trPr>
          <w:trHeight w:val="147"/>
        </w:trPr>
        <w:tc>
          <w:tcPr>
            <w:tcW w:w="66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Impairment of long-lived assets</w:t>
            </w:r>
          </w:p>
        </w:tc>
        <w:tc>
          <w:tcPr>
            <w:tcW w:w="200" w:type="dxa"/>
            <w:vAlign w:val="bottom"/>
          </w:tcPr>
          <w:p>
            <w:pPr>
              <w:spacing w:after="0"/>
              <w:rPr>
                <w:sz w:val="12"/>
                <w:szCs w:val="12"/>
                <w:color w:val="auto"/>
              </w:rPr>
            </w:pPr>
          </w:p>
        </w:tc>
        <w:tc>
          <w:tcPr>
            <w:tcW w:w="126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13,218</w:t>
            </w:r>
          </w:p>
        </w:tc>
      </w:tr>
      <w:tr>
        <w:trPr>
          <w:trHeight w:val="147"/>
        </w:trPr>
        <w:tc>
          <w:tcPr>
            <w:tcW w:w="662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rPr>
              <w:t>Provisions for inventory and expected credit losses</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10,011</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9,216</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10,286</w:t>
            </w:r>
          </w:p>
        </w:tc>
      </w:tr>
      <w:tr>
        <w:trPr>
          <w:trHeight w:val="147"/>
        </w:trPr>
        <w:tc>
          <w:tcPr>
            <w:tcW w:w="66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Change in fair value of marketable securities</w:t>
            </w:r>
          </w:p>
        </w:tc>
        <w:tc>
          <w:tcPr>
            <w:tcW w:w="200" w:type="dxa"/>
            <w:vAlign w:val="bottom"/>
          </w:tcPr>
          <w:p>
            <w:pPr>
              <w:spacing w:after="0"/>
              <w:rPr>
                <w:sz w:val="12"/>
                <w:szCs w:val="12"/>
                <w:color w:val="auto"/>
              </w:rPr>
            </w:pPr>
          </w:p>
        </w:tc>
        <w:tc>
          <w:tcPr>
            <w:tcW w:w="126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3,579</w:t>
            </w:r>
          </w:p>
        </w:tc>
      </w:tr>
      <w:tr>
        <w:trPr>
          <w:trHeight w:val="147"/>
        </w:trPr>
        <w:tc>
          <w:tcPr>
            <w:tcW w:w="662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rPr>
              <w:t>Other non-cash reconciling items</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653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6,984</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70</w:t>
            </w:r>
          </w:p>
        </w:tc>
      </w:tr>
      <w:tr>
        <w:trPr>
          <w:trHeight w:val="147"/>
        </w:trPr>
        <w:tc>
          <w:tcPr>
            <w:tcW w:w="66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7"/>
        </w:trPr>
        <w:tc>
          <w:tcPr>
            <w:tcW w:w="662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rPr>
              <w:t>Trade accounts receivable</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(9,201)</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33,081</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(7,964)</w:t>
            </w:r>
          </w:p>
        </w:tc>
      </w:tr>
      <w:tr>
        <w:trPr>
          <w:trHeight w:val="147"/>
        </w:trPr>
        <w:tc>
          <w:tcPr>
            <w:tcW w:w="66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Accounts receivable - other</w:t>
            </w:r>
          </w:p>
        </w:tc>
        <w:tc>
          <w:tcPr>
            <w:tcW w:w="200" w:type="dxa"/>
            <w:vAlign w:val="bottom"/>
          </w:tcPr>
          <w:p>
            <w:pPr>
              <w:spacing w:after="0"/>
              <w:rPr>
                <w:sz w:val="12"/>
                <w:szCs w:val="12"/>
                <w:color w:val="auto"/>
              </w:rPr>
            </w:pPr>
          </w:p>
        </w:tc>
        <w:tc>
          <w:tcPr>
            <w:tcW w:w="1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(9,805)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155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(1,035)</w:t>
            </w:r>
          </w:p>
        </w:tc>
      </w:tr>
      <w:tr>
        <w:trPr>
          <w:trHeight w:val="147"/>
        </w:trPr>
        <w:tc>
          <w:tcPr>
            <w:tcW w:w="662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(6,267)</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(30,160)</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(15,848)</w:t>
            </w:r>
          </w:p>
        </w:tc>
      </w:tr>
      <w:tr>
        <w:trPr>
          <w:trHeight w:val="147"/>
        </w:trPr>
        <w:tc>
          <w:tcPr>
            <w:tcW w:w="66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Payment to related party</w:t>
            </w:r>
          </w:p>
        </w:tc>
        <w:tc>
          <w:tcPr>
            <w:tcW w:w="200" w:type="dxa"/>
            <w:vAlign w:val="bottom"/>
          </w:tcPr>
          <w:p>
            <w:pPr>
              <w:spacing w:after="0"/>
              <w:rPr>
                <w:sz w:val="12"/>
                <w:szCs w:val="12"/>
                <w:color w:val="auto"/>
              </w:rPr>
            </w:pPr>
          </w:p>
        </w:tc>
        <w:tc>
          <w:tcPr>
            <w:tcW w:w="1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(15,000)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r>
      <w:tr>
        <w:trPr>
          <w:trHeight w:val="147"/>
        </w:trPr>
        <w:tc>
          <w:tcPr>
            <w:tcW w:w="662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49,417</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(4,756)</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(40,231)</w:t>
            </w:r>
          </w:p>
        </w:tc>
      </w:tr>
      <w:tr>
        <w:trPr>
          <w:trHeight w:val="147"/>
        </w:trPr>
        <w:tc>
          <w:tcPr>
            <w:tcW w:w="66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Trade accounts payable</w:t>
            </w:r>
          </w:p>
        </w:tc>
        <w:tc>
          <w:tcPr>
            <w:tcW w:w="200" w:type="dxa"/>
            <w:vAlign w:val="bottom"/>
          </w:tcPr>
          <w:p>
            <w:pPr>
              <w:spacing w:after="0"/>
              <w:rPr>
                <w:sz w:val="12"/>
                <w:szCs w:val="12"/>
                <w:color w:val="auto"/>
              </w:rPr>
            </w:pPr>
          </w:p>
        </w:tc>
        <w:tc>
          <w:tcPr>
            <w:tcW w:w="126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5,996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4,044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(12,653)</w:t>
            </w:r>
          </w:p>
        </w:tc>
      </w:tr>
      <w:tr>
        <w:trPr>
          <w:trHeight w:val="147"/>
        </w:trPr>
        <w:tc>
          <w:tcPr>
            <w:tcW w:w="662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rPr>
              <w:t>Due to and from related party</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(1,740)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5,115</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5,231</w:t>
            </w:r>
          </w:p>
        </w:tc>
      </w:tr>
      <w:tr>
        <w:trPr>
          <w:trHeight w:val="167"/>
        </w:trPr>
        <w:tc>
          <w:tcPr>
            <w:tcW w:w="66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Other changes in operating assets and liabilities, net</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41,314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(16,337)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(21,579)</w:t>
            </w:r>
          </w:p>
        </w:tc>
      </w:tr>
      <w:tr>
        <w:trPr>
          <w:trHeight w:val="134"/>
        </w:trPr>
        <w:tc>
          <w:tcPr>
            <w:tcW w:w="6620" w:type="dxa"/>
            <w:vAlign w:val="bottom"/>
            <w:tcBorders>
              <w:top w:val="single" w:sz="8" w:color="CFF0FC"/>
              <w:bottom w:val="single" w:sz="8" w:color="CFF0FC"/>
            </w:tcBorders>
            <w:shd w:val="clear" w:color="auto" w:fill="CFF0FC"/>
          </w:tcPr>
          <w:p>
            <w:pPr>
              <w:spacing w:after="0" w:line="134"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tcBorders>
              <w:top w:val="single" w:sz="8" w:color="CFF0FC"/>
              <w:bottom w:val="single" w:sz="8" w:color="auto"/>
            </w:tcBorders>
            <w:shd w:val="clear" w:color="auto" w:fill="CFF0FC"/>
          </w:tcPr>
          <w:p>
            <w:pPr>
              <w:spacing w:after="0"/>
              <w:rPr>
                <w:sz w:val="11"/>
                <w:szCs w:val="11"/>
                <w:color w:val="auto"/>
              </w:rPr>
            </w:pPr>
          </w:p>
        </w:tc>
        <w:tc>
          <w:tcPr>
            <w:tcW w:w="1260" w:type="dxa"/>
            <w:vAlign w:val="bottom"/>
            <w:tcBorders>
              <w:top w:val="single" w:sz="8" w:color="CFF0FC"/>
              <w:bottom w:val="single" w:sz="8" w:color="auto"/>
            </w:tcBorders>
            <w:shd w:val="clear" w:color="auto" w:fill="CFF0FC"/>
          </w:tcPr>
          <w:p>
            <w:pPr>
              <w:jc w:val="right"/>
              <w:ind w:right="49"/>
              <w:spacing w:after="0" w:line="134" w:lineRule="exact"/>
              <w:rPr>
                <w:sz w:val="20"/>
                <w:szCs w:val="20"/>
                <w:color w:val="auto"/>
              </w:rPr>
            </w:pPr>
            <w:r>
              <w:rPr>
                <w:rFonts w:ascii="Times New Roman" w:cs="Times New Roman" w:eastAsia="Times New Roman" w:hAnsi="Times New Roman"/>
                <w:sz w:val="14"/>
                <w:szCs w:val="14"/>
                <w:color w:val="auto"/>
              </w:rPr>
              <w:t>163,069</w:t>
            </w:r>
          </w:p>
        </w:tc>
        <w:tc>
          <w:tcPr>
            <w:tcW w:w="160" w:type="dxa"/>
            <w:vAlign w:val="bottom"/>
            <w:tcBorders>
              <w:top w:val="single" w:sz="8" w:color="CFF0FC"/>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1380" w:type="dxa"/>
            <w:vAlign w:val="bottom"/>
            <w:tcBorders>
              <w:top w:val="single" w:sz="8" w:color="auto"/>
              <w:bottom w:val="single" w:sz="8" w:color="auto"/>
            </w:tcBorders>
            <w:shd w:val="clear" w:color="auto" w:fill="CFF0FC"/>
          </w:tcPr>
          <w:p>
            <w:pPr>
              <w:jc w:val="right"/>
              <w:ind w:right="49"/>
              <w:spacing w:after="0" w:line="134" w:lineRule="exact"/>
              <w:rPr>
                <w:sz w:val="20"/>
                <w:szCs w:val="20"/>
                <w:color w:val="auto"/>
              </w:rPr>
            </w:pPr>
            <w:r>
              <w:rPr>
                <w:rFonts w:ascii="Times New Roman" w:cs="Times New Roman" w:eastAsia="Times New Roman" w:hAnsi="Times New Roman"/>
                <w:sz w:val="14"/>
                <w:szCs w:val="14"/>
                <w:color w:val="auto"/>
              </w:rPr>
              <w:t>61,913</w:t>
            </w:r>
          </w:p>
        </w:tc>
        <w:tc>
          <w:tcPr>
            <w:tcW w:w="140" w:type="dxa"/>
            <w:vAlign w:val="bottom"/>
            <w:tcBorders>
              <w:top w:val="single" w:sz="8" w:color="CFF0FC"/>
              <w:bottom w:val="single" w:sz="8" w:color="CFF0FC"/>
            </w:tcBorders>
            <w:shd w:val="clear" w:color="auto" w:fill="CFF0FC"/>
          </w:tcPr>
          <w:p>
            <w:pPr>
              <w:spacing w:after="0"/>
              <w:rPr>
                <w:sz w:val="11"/>
                <w:szCs w:val="11"/>
                <w:color w:val="auto"/>
              </w:rPr>
            </w:pPr>
          </w:p>
        </w:tc>
        <w:tc>
          <w:tcPr>
            <w:tcW w:w="200" w:type="dxa"/>
            <w:vAlign w:val="bottom"/>
            <w:tcBorders>
              <w:top w:val="single" w:sz="8" w:color="auto"/>
              <w:bottom w:val="single" w:sz="8" w:color="auto"/>
            </w:tcBorders>
            <w:shd w:val="clear" w:color="auto" w:fill="CFF0FC"/>
          </w:tcPr>
          <w:p>
            <w:pPr>
              <w:spacing w:after="0"/>
              <w:rPr>
                <w:sz w:val="11"/>
                <w:szCs w:val="11"/>
                <w:color w:val="auto"/>
              </w:rPr>
            </w:pPr>
          </w:p>
        </w:tc>
        <w:tc>
          <w:tcPr>
            <w:tcW w:w="1220" w:type="dxa"/>
            <w:vAlign w:val="bottom"/>
            <w:tcBorders>
              <w:top w:val="single" w:sz="8" w:color="auto"/>
              <w:bottom w:val="single" w:sz="8" w:color="auto"/>
            </w:tcBorders>
            <w:shd w:val="clear" w:color="auto" w:fill="CFF0FC"/>
          </w:tcPr>
          <w:p>
            <w:pPr>
              <w:jc w:val="right"/>
              <w:ind w:right="49"/>
              <w:spacing w:after="0" w:line="134" w:lineRule="exact"/>
              <w:rPr>
                <w:sz w:val="20"/>
                <w:szCs w:val="20"/>
                <w:color w:val="auto"/>
              </w:rPr>
            </w:pPr>
            <w:r>
              <w:rPr>
                <w:rFonts w:ascii="Times New Roman" w:cs="Times New Roman" w:eastAsia="Times New Roman" w:hAnsi="Times New Roman"/>
                <w:sz w:val="14"/>
                <w:szCs w:val="14"/>
                <w:color w:val="auto"/>
              </w:rPr>
              <w:t>181,715</w:t>
            </w:r>
          </w:p>
        </w:tc>
      </w:tr>
      <w:tr>
        <w:trPr>
          <w:trHeight w:val="140"/>
        </w:trPr>
        <w:tc>
          <w:tcPr>
            <w:tcW w:w="662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7"/>
        </w:trPr>
        <w:tc>
          <w:tcPr>
            <w:tcW w:w="662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(38,176)</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(39,955)</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(124,772)</w:t>
            </w:r>
          </w:p>
        </w:tc>
      </w:tr>
      <w:tr>
        <w:trPr>
          <w:trHeight w:val="147"/>
        </w:trPr>
        <w:tc>
          <w:tcPr>
            <w:tcW w:w="66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Purchases of intangible assets</w:t>
            </w:r>
          </w:p>
        </w:tc>
        <w:tc>
          <w:tcPr>
            <w:tcW w:w="200" w:type="dxa"/>
            <w:vAlign w:val="bottom"/>
          </w:tcPr>
          <w:p>
            <w:pPr>
              <w:spacing w:after="0"/>
              <w:rPr>
                <w:sz w:val="12"/>
                <w:szCs w:val="12"/>
                <w:color w:val="auto"/>
              </w:rPr>
            </w:pPr>
          </w:p>
        </w:tc>
        <w:tc>
          <w:tcPr>
            <w:tcW w:w="126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(1,180)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r>
      <w:tr>
        <w:trPr>
          <w:trHeight w:val="147"/>
        </w:trPr>
        <w:tc>
          <w:tcPr>
            <w:tcW w:w="662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rPr>
              <w:t>Acquisition of business, net of cash acquired and working capital adjustment</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319</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(408,119)</w:t>
            </w:r>
          </w:p>
        </w:tc>
      </w:tr>
      <w:tr>
        <w:trPr>
          <w:trHeight w:val="147"/>
        </w:trPr>
        <w:tc>
          <w:tcPr>
            <w:tcW w:w="66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Investment in debt security</w:t>
            </w:r>
          </w:p>
        </w:tc>
        <w:tc>
          <w:tcPr>
            <w:tcW w:w="200" w:type="dxa"/>
            <w:vAlign w:val="bottom"/>
          </w:tcPr>
          <w:p>
            <w:pPr>
              <w:spacing w:after="0"/>
              <w:rPr>
                <w:sz w:val="12"/>
                <w:szCs w:val="12"/>
                <w:color w:val="auto"/>
              </w:rPr>
            </w:pPr>
          </w:p>
        </w:tc>
        <w:tc>
          <w:tcPr>
            <w:tcW w:w="1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(3,541)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r>
      <w:tr>
        <w:trPr>
          <w:trHeight w:val="147"/>
        </w:trPr>
        <w:tc>
          <w:tcPr>
            <w:tcW w:w="6620" w:type="dxa"/>
            <w:vAlign w:val="bottom"/>
            <w:tcBorders>
              <w:bottom w:val="single" w:sz="8" w:color="CFF0FC"/>
            </w:tcBorders>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rPr>
              <w:t>Sales in marketable securities</w:t>
            </w:r>
          </w:p>
        </w:tc>
        <w:tc>
          <w:tcPr>
            <w:tcW w:w="20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16,175</w:t>
            </w:r>
          </w:p>
        </w:tc>
      </w:tr>
      <w:tr>
        <w:trPr>
          <w:trHeight w:val="140"/>
        </w:trPr>
        <w:tc>
          <w:tcPr>
            <w:tcW w:w="662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(41,717)</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(40,816)</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(516,716)</w:t>
            </w:r>
          </w:p>
        </w:tc>
      </w:tr>
      <w:tr>
        <w:trPr>
          <w:trHeight w:val="140"/>
        </w:trPr>
        <w:tc>
          <w:tcPr>
            <w:tcW w:w="6620" w:type="dxa"/>
            <w:vAlign w:val="bottom"/>
            <w:shd w:val="clear" w:color="auto" w:fill="CFF0FC"/>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r>
      <w:tr>
        <w:trPr>
          <w:trHeight w:val="147"/>
        </w:trPr>
        <w:tc>
          <w:tcPr>
            <w:tcW w:w="66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Borrowings of 2023 term loan facility, net of deferred financing costs</w:t>
            </w:r>
          </w:p>
        </w:tc>
        <w:tc>
          <w:tcPr>
            <w:tcW w:w="200" w:type="dxa"/>
            <w:vAlign w:val="bottom"/>
          </w:tcPr>
          <w:p>
            <w:pPr>
              <w:spacing w:after="0"/>
              <w:rPr>
                <w:sz w:val="12"/>
                <w:szCs w:val="12"/>
                <w:color w:val="auto"/>
              </w:rPr>
            </w:pPr>
          </w:p>
        </w:tc>
        <w:tc>
          <w:tcPr>
            <w:tcW w:w="126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245,452</w:t>
            </w:r>
          </w:p>
        </w:tc>
      </w:tr>
      <w:tr>
        <w:trPr>
          <w:trHeight w:val="147"/>
        </w:trPr>
        <w:tc>
          <w:tcPr>
            <w:tcW w:w="662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rPr>
              <w:t>Repayment of 2020 term loan facility</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(25,000)</w:t>
            </w:r>
          </w:p>
        </w:tc>
      </w:tr>
      <w:tr>
        <w:trPr>
          <w:trHeight w:val="147"/>
        </w:trPr>
        <w:tc>
          <w:tcPr>
            <w:tcW w:w="66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Net proceeds from 2026 Refinanced Term Loan Facility</w:t>
            </w:r>
          </w:p>
        </w:tc>
        <w:tc>
          <w:tcPr>
            <w:tcW w:w="200" w:type="dxa"/>
            <w:vAlign w:val="bottom"/>
          </w:tcPr>
          <w:p>
            <w:pPr>
              <w:spacing w:after="0"/>
              <w:rPr>
                <w:sz w:val="12"/>
                <w:szCs w:val="12"/>
                <w:color w:val="auto"/>
              </w:rPr>
            </w:pPr>
          </w:p>
        </w:tc>
        <w:tc>
          <w:tcPr>
            <w:tcW w:w="126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285,000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193,081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r>
      <w:tr>
        <w:trPr>
          <w:trHeight w:val="147"/>
        </w:trPr>
        <w:tc>
          <w:tcPr>
            <w:tcW w:w="662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rPr>
              <w:t>Repayment of term loan</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(345,000)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(105,000)</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(625)</w:t>
            </w:r>
          </w:p>
        </w:tc>
      </w:tr>
      <w:tr>
        <w:trPr>
          <w:trHeight w:val="147"/>
        </w:trPr>
        <w:tc>
          <w:tcPr>
            <w:tcW w:w="66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Repayments of other debt</w:t>
            </w:r>
          </w:p>
        </w:tc>
        <w:tc>
          <w:tcPr>
            <w:tcW w:w="200" w:type="dxa"/>
            <w:vAlign w:val="bottom"/>
          </w:tcPr>
          <w:p>
            <w:pPr>
              <w:spacing w:after="0"/>
              <w:rPr>
                <w:sz w:val="12"/>
                <w:szCs w:val="12"/>
                <w:color w:val="auto"/>
              </w:rPr>
            </w:pPr>
          </w:p>
        </w:tc>
        <w:tc>
          <w:tcPr>
            <w:tcW w:w="126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(842)</w:t>
            </w:r>
          </w:p>
        </w:tc>
      </w:tr>
      <w:tr>
        <w:trPr>
          <w:trHeight w:val="147"/>
        </w:trPr>
        <w:tc>
          <w:tcPr>
            <w:tcW w:w="662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rPr>
              <w:t>Finance lease payments</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(1,368)</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(1,201)</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(142)</w:t>
            </w:r>
          </w:p>
        </w:tc>
      </w:tr>
      <w:tr>
        <w:trPr>
          <w:trHeight w:val="147"/>
        </w:trPr>
        <w:tc>
          <w:tcPr>
            <w:tcW w:w="66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Receipts on related party notes receivable</w:t>
            </w:r>
          </w:p>
        </w:tc>
        <w:tc>
          <w:tcPr>
            <w:tcW w:w="200" w:type="dxa"/>
            <w:vAlign w:val="bottom"/>
          </w:tcPr>
          <w:p>
            <w:pPr>
              <w:spacing w:after="0"/>
              <w:rPr>
                <w:sz w:val="12"/>
                <w:szCs w:val="12"/>
                <w:color w:val="auto"/>
              </w:rPr>
            </w:pPr>
          </w:p>
        </w:tc>
        <w:tc>
          <w:tcPr>
            <w:tcW w:w="126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1,875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3,750</w:t>
            </w:r>
          </w:p>
        </w:tc>
      </w:tr>
      <w:tr>
        <w:trPr>
          <w:trHeight w:val="147"/>
        </w:trPr>
        <w:tc>
          <w:tcPr>
            <w:tcW w:w="662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rPr>
              <w:t>Payments for intangible assets</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(5,000)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r>
      <w:tr>
        <w:trPr>
          <w:trHeight w:val="147"/>
        </w:trPr>
        <w:tc>
          <w:tcPr>
            <w:tcW w:w="66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Payments for taxes related to net share settlement of equity awards</w:t>
            </w:r>
          </w:p>
        </w:tc>
        <w:tc>
          <w:tcPr>
            <w:tcW w:w="200" w:type="dxa"/>
            <w:vAlign w:val="bottom"/>
          </w:tcPr>
          <w:p>
            <w:pPr>
              <w:spacing w:after="0"/>
              <w:rPr>
                <w:sz w:val="12"/>
                <w:szCs w:val="12"/>
                <w:color w:val="auto"/>
              </w:rPr>
            </w:pPr>
          </w:p>
        </w:tc>
        <w:tc>
          <w:tcPr>
            <w:tcW w:w="1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(12,612)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(16,238)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(25,900)</w:t>
            </w:r>
          </w:p>
        </w:tc>
      </w:tr>
      <w:tr>
        <w:trPr>
          <w:trHeight w:val="147"/>
        </w:trPr>
        <w:tc>
          <w:tcPr>
            <w:tcW w:w="662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rPr>
              <w:t>Proceeds from issuance of common stock under employee purchase plan</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3,337</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3,511</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3,635</w:t>
            </w:r>
          </w:p>
        </w:tc>
      </w:tr>
      <w:tr>
        <w:trPr>
          <w:trHeight w:val="147"/>
        </w:trPr>
        <w:tc>
          <w:tcPr>
            <w:tcW w:w="66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Repurchases of common stock</w:t>
            </w:r>
          </w:p>
        </w:tc>
        <w:tc>
          <w:tcPr>
            <w:tcW w:w="200" w:type="dxa"/>
            <w:vAlign w:val="bottom"/>
          </w:tcPr>
          <w:p>
            <w:pPr>
              <w:spacing w:after="0"/>
              <w:rPr>
                <w:sz w:val="12"/>
                <w:szCs w:val="12"/>
                <w:color w:val="auto"/>
              </w:rPr>
            </w:pPr>
          </w:p>
        </w:tc>
        <w:tc>
          <w:tcPr>
            <w:tcW w:w="126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(853,921)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r>
      <w:tr>
        <w:trPr>
          <w:trHeight w:val="147"/>
        </w:trPr>
        <w:tc>
          <w:tcPr>
            <w:tcW w:w="662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rPr>
              <w:t>Net proceeds from issuance of common stock</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665,850</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r>
      <w:tr>
        <w:trPr>
          <w:trHeight w:val="147"/>
        </w:trPr>
        <w:tc>
          <w:tcPr>
            <w:tcW w:w="66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Payments for taxes related to repurchase of common stock</w:t>
            </w:r>
          </w:p>
        </w:tc>
        <w:tc>
          <w:tcPr>
            <w:tcW w:w="200" w:type="dxa"/>
            <w:vAlign w:val="bottom"/>
          </w:tcPr>
          <w:p>
            <w:pPr>
              <w:spacing w:after="0"/>
              <w:rPr>
                <w:sz w:val="12"/>
                <w:szCs w:val="12"/>
                <w:color w:val="auto"/>
              </w:rPr>
            </w:pPr>
          </w:p>
        </w:tc>
        <w:tc>
          <w:tcPr>
            <w:tcW w:w="1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(1,713)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r>
      <w:tr>
        <w:trPr>
          <w:trHeight w:val="147"/>
        </w:trPr>
        <w:tc>
          <w:tcPr>
            <w:tcW w:w="6620" w:type="dxa"/>
            <w:vAlign w:val="bottom"/>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rPr>
              <w:t>Dividends paid to non-controlling interest</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(23)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7" w:lineRule="exact"/>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r>
      <w:tr>
        <w:trPr>
          <w:trHeight w:val="147"/>
        </w:trPr>
        <w:tc>
          <w:tcPr>
            <w:tcW w:w="66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Payments of debt issuance costs</w:t>
            </w: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(1,450)</w:t>
            </w:r>
          </w:p>
        </w:tc>
      </w:tr>
      <w:tr>
        <w:trPr>
          <w:trHeight w:val="140"/>
        </w:trPr>
        <w:tc>
          <w:tcPr>
            <w:tcW w:w="6620" w:type="dxa"/>
            <w:vAlign w:val="bottom"/>
            <w:shd w:val="clear" w:color="auto" w:fill="CFF0FC"/>
          </w:tcPr>
          <w:p>
            <w:pPr>
              <w:spacing w:after="0" w:line="141"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(77,379)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(112,062)</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49"/>
              <w:spacing w:after="0" w:line="141" w:lineRule="exact"/>
              <w:rPr>
                <w:sz w:val="20"/>
                <w:szCs w:val="20"/>
                <w:color w:val="auto"/>
              </w:rPr>
            </w:pPr>
            <w:r>
              <w:rPr>
                <w:rFonts w:ascii="Times New Roman" w:cs="Times New Roman" w:eastAsia="Times New Roman" w:hAnsi="Times New Roman"/>
                <w:sz w:val="14"/>
                <w:szCs w:val="14"/>
                <w:color w:val="auto"/>
              </w:rPr>
              <w:t>198,878</w:t>
            </w:r>
          </w:p>
        </w:tc>
      </w:tr>
      <w:tr>
        <w:trPr>
          <w:trHeight w:val="147"/>
        </w:trPr>
        <w:tc>
          <w:tcPr>
            <w:tcW w:w="66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 and restricted cash</w:t>
            </w: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277</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(89)</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(421)</w:t>
            </w:r>
          </w:p>
        </w:tc>
      </w:tr>
      <w:tr>
        <w:trPr>
          <w:trHeight w:val="140"/>
        </w:trPr>
        <w:tc>
          <w:tcPr>
            <w:tcW w:w="6620" w:type="dxa"/>
            <w:vAlign w:val="bottom"/>
            <w:shd w:val="clear" w:color="auto" w:fill="CFF0FC"/>
          </w:tcPr>
          <w:p>
            <w:pPr>
              <w:spacing w:after="0" w:line="141" w:lineRule="exact"/>
              <w:rPr>
                <w:sz w:val="20"/>
                <w:szCs w:val="20"/>
                <w:color w:val="auto"/>
              </w:rPr>
            </w:pPr>
            <w:r>
              <w:rPr>
                <w:rFonts w:ascii="Times New Roman" w:cs="Times New Roman" w:eastAsia="Times New Roman" w:hAnsi="Times New Roman"/>
                <w:sz w:val="14"/>
                <w:szCs w:val="14"/>
                <w:color w:val="auto"/>
              </w:rPr>
              <w:t>Net increase (decrease) in cash and cash equivalents and restricted cash</w:t>
            </w: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49"/>
              <w:spacing w:after="0" w:line="141" w:lineRule="exact"/>
              <w:rPr>
                <w:sz w:val="20"/>
                <w:szCs w:val="20"/>
                <w:color w:val="auto"/>
              </w:rPr>
            </w:pPr>
            <w:r>
              <w:rPr>
                <w:rFonts w:ascii="Times New Roman" w:cs="Times New Roman" w:eastAsia="Times New Roman" w:hAnsi="Times New Roman"/>
                <w:sz w:val="14"/>
                <w:szCs w:val="14"/>
                <w:color w:val="auto"/>
              </w:rPr>
              <w:t>44,250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(91,054)</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1" w:lineRule="exact"/>
              <w:rPr>
                <w:sz w:val="20"/>
                <w:szCs w:val="20"/>
                <w:color w:val="auto"/>
              </w:rPr>
            </w:pPr>
            <w:r>
              <w:rPr>
                <w:rFonts w:ascii="Times New Roman" w:cs="Times New Roman" w:eastAsia="Times New Roman" w:hAnsi="Times New Roman"/>
                <w:sz w:val="14"/>
                <w:szCs w:val="14"/>
                <w:color w:val="auto"/>
              </w:rPr>
              <w:t>(136,544)</w:t>
            </w:r>
          </w:p>
        </w:tc>
      </w:tr>
      <w:tr>
        <w:trPr>
          <w:trHeight w:val="147"/>
        </w:trPr>
        <w:tc>
          <w:tcPr>
            <w:tcW w:w="66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131,107</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222,161</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358,705</w:t>
            </w:r>
          </w:p>
        </w:tc>
      </w:tr>
      <w:tr>
        <w:trPr>
          <w:trHeight w:val="194"/>
        </w:trPr>
        <w:tc>
          <w:tcPr>
            <w:tcW w:w="6620" w:type="dxa"/>
            <w:vAlign w:val="bottom"/>
            <w:shd w:val="clear" w:color="auto" w:fill="CFF0FC"/>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Cash and cash equivalents and restricted cash at end of period:</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FF0FC"/>
          </w:tcPr>
          <w:p>
            <w:pPr>
              <w:jc w:val="right"/>
              <w:ind w:right="49"/>
              <w:spacing w:after="0" w:line="154" w:lineRule="exact"/>
              <w:rPr>
                <w:sz w:val="20"/>
                <w:szCs w:val="20"/>
                <w:color w:val="auto"/>
              </w:rPr>
            </w:pPr>
            <w:r>
              <w:rPr>
                <w:rFonts w:ascii="Times New Roman" w:cs="Times New Roman" w:eastAsia="Times New Roman" w:hAnsi="Times New Roman"/>
                <w:sz w:val="14"/>
                <w:szCs w:val="14"/>
                <w:color w:val="auto"/>
              </w:rPr>
              <w:t>175,357</w:t>
            </w:r>
          </w:p>
        </w:tc>
        <w:tc>
          <w:tcPr>
            <w:tcW w:w="220" w:type="dxa"/>
            <w:vAlign w:val="bottom"/>
            <w:gridSpan w:val="2"/>
            <w:shd w:val="clear" w:color="auto" w:fill="CFF0FC"/>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ind w:right="49"/>
              <w:spacing w:after="0" w:line="154" w:lineRule="exact"/>
              <w:rPr>
                <w:sz w:val="20"/>
                <w:szCs w:val="20"/>
                <w:color w:val="auto"/>
              </w:rPr>
            </w:pPr>
            <w:r>
              <w:rPr>
                <w:rFonts w:ascii="Times New Roman" w:cs="Times New Roman" w:eastAsia="Times New Roman" w:hAnsi="Times New Roman"/>
                <w:sz w:val="14"/>
                <w:szCs w:val="14"/>
                <w:color w:val="auto"/>
              </w:rPr>
              <w:t>131,107</w:t>
            </w:r>
          </w:p>
        </w:tc>
        <w:tc>
          <w:tcPr>
            <w:tcW w:w="340" w:type="dxa"/>
            <w:vAlign w:val="bottom"/>
            <w:gridSpan w:val="2"/>
            <w:shd w:val="clear" w:color="auto" w:fill="CFF0FC"/>
          </w:tcPr>
          <w:p>
            <w:pPr>
              <w:jc w:val="right"/>
              <w:ind w:right="140"/>
              <w:spacing w:after="0" w:line="154"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ind w:right="49"/>
              <w:spacing w:after="0" w:line="154" w:lineRule="exact"/>
              <w:rPr>
                <w:sz w:val="20"/>
                <w:szCs w:val="20"/>
                <w:color w:val="auto"/>
              </w:rPr>
            </w:pPr>
            <w:r>
              <w:rPr>
                <w:rFonts w:ascii="Times New Roman" w:cs="Times New Roman" w:eastAsia="Times New Roman" w:hAnsi="Times New Roman"/>
                <w:sz w:val="14"/>
                <w:szCs w:val="14"/>
                <w:color w:val="auto"/>
              </w:rPr>
              <w:t>222,161</w:t>
            </w:r>
          </w:p>
        </w:tc>
      </w:tr>
      <w:tr>
        <w:trPr>
          <w:trHeight w:val="127"/>
        </w:trPr>
        <w:tc>
          <w:tcPr>
            <w:tcW w:w="6620" w:type="dxa"/>
            <w:vAlign w:val="bottom"/>
            <w:tcBorders>
              <w:top w:val="single" w:sz="8" w:color="CFF0FC"/>
            </w:tcBorders>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2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r>
      <w:tr>
        <w:trPr>
          <w:trHeight w:val="160"/>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121,334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212,143</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351,576</w:t>
            </w:r>
          </w:p>
        </w:tc>
      </w:tr>
      <w:tr>
        <w:trPr>
          <w:trHeight w:val="147"/>
        </w:trPr>
        <w:tc>
          <w:tcPr>
            <w:tcW w:w="662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Restricted cash at beginning of period</w:t>
            </w: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9,773</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10,018</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7,129</w:t>
            </w:r>
          </w:p>
        </w:tc>
      </w:tr>
      <w:tr>
        <w:trPr>
          <w:trHeight w:val="154"/>
        </w:trPr>
        <w:tc>
          <w:tcPr>
            <w:tcW w:w="6620" w:type="dxa"/>
            <w:vAlign w:val="bottom"/>
            <w:shd w:val="clear" w:color="auto" w:fill="CFF0FC"/>
          </w:tcPr>
          <w:p>
            <w:pPr>
              <w:spacing w:after="0" w:line="154" w:lineRule="exact"/>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FF0FC"/>
          </w:tcPr>
          <w:p>
            <w:pPr>
              <w:jc w:val="right"/>
              <w:ind w:right="49"/>
              <w:spacing w:after="0" w:line="154" w:lineRule="exact"/>
              <w:rPr>
                <w:sz w:val="20"/>
                <w:szCs w:val="20"/>
                <w:color w:val="auto"/>
              </w:rPr>
            </w:pPr>
            <w:r>
              <w:rPr>
                <w:rFonts w:ascii="Times New Roman" w:cs="Times New Roman" w:eastAsia="Times New Roman" w:hAnsi="Times New Roman"/>
                <w:sz w:val="14"/>
                <w:szCs w:val="14"/>
                <w:color w:val="auto"/>
              </w:rPr>
              <w:t>131,107</w:t>
            </w:r>
          </w:p>
        </w:tc>
        <w:tc>
          <w:tcPr>
            <w:tcW w:w="220" w:type="dxa"/>
            <w:vAlign w:val="bottom"/>
            <w:gridSpan w:val="2"/>
            <w:shd w:val="clear" w:color="auto" w:fill="CFF0FC"/>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ind w:right="49"/>
              <w:spacing w:after="0" w:line="154" w:lineRule="exact"/>
              <w:rPr>
                <w:sz w:val="20"/>
                <w:szCs w:val="20"/>
                <w:color w:val="auto"/>
              </w:rPr>
            </w:pPr>
            <w:r>
              <w:rPr>
                <w:rFonts w:ascii="Times New Roman" w:cs="Times New Roman" w:eastAsia="Times New Roman" w:hAnsi="Times New Roman"/>
                <w:sz w:val="14"/>
                <w:szCs w:val="14"/>
                <w:color w:val="auto"/>
              </w:rPr>
              <w:t>222,161</w:t>
            </w:r>
          </w:p>
        </w:tc>
        <w:tc>
          <w:tcPr>
            <w:tcW w:w="340" w:type="dxa"/>
            <w:vAlign w:val="bottom"/>
            <w:gridSpan w:val="2"/>
            <w:shd w:val="clear" w:color="auto" w:fill="CFF0FC"/>
          </w:tcPr>
          <w:p>
            <w:pPr>
              <w:jc w:val="right"/>
              <w:ind w:right="140"/>
              <w:spacing w:after="0" w:line="154"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ind w:right="49"/>
              <w:spacing w:after="0" w:line="154" w:lineRule="exact"/>
              <w:rPr>
                <w:sz w:val="20"/>
                <w:szCs w:val="20"/>
                <w:color w:val="auto"/>
              </w:rPr>
            </w:pPr>
            <w:r>
              <w:rPr>
                <w:rFonts w:ascii="Times New Roman" w:cs="Times New Roman" w:eastAsia="Times New Roman" w:hAnsi="Times New Roman"/>
                <w:sz w:val="14"/>
                <w:szCs w:val="14"/>
                <w:color w:val="auto"/>
              </w:rPr>
              <w:t>358,705</w:t>
            </w:r>
          </w:p>
        </w:tc>
      </w:tr>
      <w:tr>
        <w:trPr>
          <w:trHeight w:val="140"/>
        </w:trPr>
        <w:tc>
          <w:tcPr>
            <w:tcW w:w="6620" w:type="dxa"/>
            <w:vAlign w:val="bottom"/>
            <w:tcBorders>
              <w:top w:val="single" w:sz="8" w:color="CFF0FC"/>
            </w:tcBorders>
          </w:tcPr>
          <w:p>
            <w:pPr>
              <w:ind w:left="120"/>
              <w:spacing w:after="0" w:line="141"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49"/>
              <w:spacing w:after="0" w:line="141" w:lineRule="exact"/>
              <w:rPr>
                <w:sz w:val="20"/>
                <w:szCs w:val="20"/>
                <w:color w:val="auto"/>
              </w:rPr>
            </w:pPr>
            <w:r>
              <w:rPr>
                <w:rFonts w:ascii="Times New Roman" w:cs="Times New Roman" w:eastAsia="Times New Roman" w:hAnsi="Times New Roman"/>
                <w:sz w:val="14"/>
                <w:szCs w:val="14"/>
                <w:color w:val="auto"/>
              </w:rPr>
              <w:t>168,753</w:t>
            </w:r>
          </w:p>
        </w:tc>
        <w:tc>
          <w:tcPr>
            <w:tcW w:w="160" w:type="dxa"/>
            <w:vAlign w:val="bottom"/>
            <w:tcBorders>
              <w:top w:val="single" w:sz="8" w:color="CFF0FC"/>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49"/>
              <w:spacing w:after="0" w:line="141" w:lineRule="exact"/>
              <w:rPr>
                <w:sz w:val="20"/>
                <w:szCs w:val="20"/>
                <w:color w:val="auto"/>
              </w:rPr>
            </w:pPr>
            <w:r>
              <w:rPr>
                <w:rFonts w:ascii="Times New Roman" w:cs="Times New Roman" w:eastAsia="Times New Roman" w:hAnsi="Times New Roman"/>
                <w:sz w:val="14"/>
                <w:szCs w:val="14"/>
                <w:color w:val="auto"/>
              </w:rPr>
              <w:t>121,334</w:t>
            </w:r>
          </w:p>
        </w:tc>
        <w:tc>
          <w:tcPr>
            <w:tcW w:w="14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49"/>
              <w:spacing w:after="0" w:line="141" w:lineRule="exact"/>
              <w:rPr>
                <w:sz w:val="20"/>
                <w:szCs w:val="20"/>
                <w:color w:val="auto"/>
              </w:rPr>
            </w:pPr>
            <w:r>
              <w:rPr>
                <w:rFonts w:ascii="Times New Roman" w:cs="Times New Roman" w:eastAsia="Times New Roman" w:hAnsi="Times New Roman"/>
                <w:sz w:val="14"/>
                <w:szCs w:val="14"/>
                <w:color w:val="auto"/>
              </w:rPr>
              <w:t>212,143</w:t>
            </w:r>
          </w:p>
        </w:tc>
      </w:tr>
      <w:tr>
        <w:trPr>
          <w:trHeight w:val="147"/>
        </w:trPr>
        <w:tc>
          <w:tcPr>
            <w:tcW w:w="6620" w:type="dxa"/>
            <w:vAlign w:val="bottom"/>
            <w:tcBorders>
              <w:bottom w:val="single" w:sz="8" w:color="CFF0FC"/>
            </w:tcBorders>
            <w:shd w:val="clear" w:color="auto" w:fill="CFF0FC"/>
          </w:tcPr>
          <w:p>
            <w:pPr>
              <w:ind w:left="120"/>
              <w:spacing w:after="0" w:line="147" w:lineRule="exact"/>
              <w:rPr>
                <w:sz w:val="20"/>
                <w:szCs w:val="20"/>
                <w:color w:val="auto"/>
              </w:rPr>
            </w:pPr>
            <w:r>
              <w:rPr>
                <w:rFonts w:ascii="Times New Roman" w:cs="Times New Roman" w:eastAsia="Times New Roman" w:hAnsi="Times New Roman"/>
                <w:sz w:val="14"/>
                <w:szCs w:val="14"/>
                <w:color w:val="auto"/>
              </w:rPr>
              <w:t>Restricted cash at end of period</w:t>
            </w:r>
          </w:p>
        </w:tc>
        <w:tc>
          <w:tcPr>
            <w:tcW w:w="20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6,604</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9,773</w:t>
            </w:r>
          </w:p>
        </w:tc>
        <w:tc>
          <w:tcPr>
            <w:tcW w:w="1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ind w:right="49"/>
              <w:spacing w:after="0" w:line="147" w:lineRule="exact"/>
              <w:rPr>
                <w:sz w:val="20"/>
                <w:szCs w:val="20"/>
                <w:color w:val="auto"/>
              </w:rPr>
            </w:pPr>
            <w:r>
              <w:rPr>
                <w:rFonts w:ascii="Times New Roman" w:cs="Times New Roman" w:eastAsia="Times New Roman" w:hAnsi="Times New Roman"/>
                <w:sz w:val="14"/>
                <w:szCs w:val="14"/>
                <w:color w:val="auto"/>
              </w:rPr>
              <w:t>10,018</w:t>
            </w:r>
          </w:p>
        </w:tc>
      </w:tr>
      <w:tr>
        <w:trPr>
          <w:trHeight w:val="154"/>
        </w:trPr>
        <w:tc>
          <w:tcPr>
            <w:tcW w:w="662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ind w:right="49"/>
              <w:spacing w:after="0" w:line="154" w:lineRule="exact"/>
              <w:rPr>
                <w:sz w:val="20"/>
                <w:szCs w:val="20"/>
                <w:color w:val="auto"/>
              </w:rPr>
            </w:pPr>
            <w:r>
              <w:rPr>
                <w:rFonts w:ascii="Times New Roman" w:cs="Times New Roman" w:eastAsia="Times New Roman" w:hAnsi="Times New Roman"/>
                <w:sz w:val="14"/>
                <w:szCs w:val="14"/>
                <w:color w:val="auto"/>
              </w:rPr>
              <w:t>175,357</w:t>
            </w:r>
          </w:p>
        </w:tc>
        <w:tc>
          <w:tcPr>
            <w:tcW w:w="22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49"/>
              <w:spacing w:after="0" w:line="154" w:lineRule="exact"/>
              <w:rPr>
                <w:sz w:val="20"/>
                <w:szCs w:val="20"/>
                <w:color w:val="auto"/>
              </w:rPr>
            </w:pPr>
            <w:r>
              <w:rPr>
                <w:rFonts w:ascii="Times New Roman" w:cs="Times New Roman" w:eastAsia="Times New Roman" w:hAnsi="Times New Roman"/>
                <w:sz w:val="14"/>
                <w:szCs w:val="14"/>
                <w:color w:val="auto"/>
              </w:rPr>
              <w:t>131,107</w:t>
            </w:r>
          </w:p>
        </w:tc>
        <w:tc>
          <w:tcPr>
            <w:tcW w:w="340" w:type="dxa"/>
            <w:vAlign w:val="bottom"/>
            <w:gridSpan w:val="2"/>
          </w:tcPr>
          <w:p>
            <w:pPr>
              <w:jc w:val="right"/>
              <w:ind w:right="140"/>
              <w:spacing w:after="0" w:line="154"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9"/>
              <w:spacing w:after="0" w:line="154" w:lineRule="exact"/>
              <w:rPr>
                <w:sz w:val="20"/>
                <w:szCs w:val="20"/>
                <w:color w:val="auto"/>
              </w:rPr>
            </w:pPr>
            <w:r>
              <w:rPr>
                <w:rFonts w:ascii="Times New Roman" w:cs="Times New Roman" w:eastAsia="Times New Roman" w:hAnsi="Times New Roman"/>
                <w:sz w:val="14"/>
                <w:szCs w:val="14"/>
                <w:color w:val="auto"/>
              </w:rPr>
              <w:t>222,161</w:t>
            </w:r>
          </w:p>
        </w:tc>
      </w:tr>
      <w:tr>
        <w:trPr>
          <w:trHeight w:val="20"/>
        </w:trPr>
        <w:tc>
          <w:tcPr>
            <w:tcW w:w="6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-3430270</wp:posOffset>
            </wp:positionV>
            <wp:extent cx="933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6131560</wp:posOffset>
            </wp:positionH>
            <wp:positionV relativeFrom="paragraph">
              <wp:posOffset>-3545205</wp:posOffset>
            </wp:positionV>
            <wp:extent cx="110490" cy="135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110490" cy="13589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-2861310</wp:posOffset>
            </wp:positionV>
            <wp:extent cx="933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-2861310</wp:posOffset>
            </wp:positionV>
            <wp:extent cx="850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-755015</wp:posOffset>
            </wp:positionV>
            <wp:extent cx="933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-738505</wp:posOffset>
            </wp:positionV>
            <wp:extent cx="933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-755015</wp:posOffset>
            </wp:positionV>
            <wp:extent cx="850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-738505</wp:posOffset>
            </wp:positionV>
            <wp:extent cx="850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-330835</wp:posOffset>
            </wp:positionV>
            <wp:extent cx="933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-330835</wp:posOffset>
            </wp:positionV>
            <wp:extent cx="850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-135255</wp:posOffset>
            </wp:positionV>
            <wp:extent cx="933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-135255</wp:posOffset>
            </wp:positionV>
            <wp:extent cx="850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Fiscal Year Ended</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33"/>
        </w:trPr>
        <w:tc>
          <w:tcPr>
            <w:tcW w:w="5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ind w:right="384"/>
              <w:spacing w:after="0" w:line="133" w:lineRule="exact"/>
              <w:rPr>
                <w:sz w:val="20"/>
                <w:szCs w:val="20"/>
                <w:color w:val="auto"/>
              </w:rPr>
            </w:pPr>
            <w:r>
              <w:rPr>
                <w:rFonts w:ascii="Times New Roman" w:cs="Times New Roman" w:eastAsia="Times New Roman" w:hAnsi="Times New Roman"/>
                <w:sz w:val="15"/>
                <w:szCs w:val="15"/>
                <w:b w:val="1"/>
                <w:bCs w:val="1"/>
                <w:color w:val="auto"/>
              </w:rPr>
              <w:t>March 27,</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right"/>
              <w:ind w:right="384"/>
              <w:spacing w:after="0" w:line="133" w:lineRule="exact"/>
              <w:rPr>
                <w:sz w:val="20"/>
                <w:szCs w:val="20"/>
                <w:color w:val="auto"/>
              </w:rPr>
            </w:pPr>
            <w:r>
              <w:rPr>
                <w:rFonts w:ascii="Times New Roman" w:cs="Times New Roman" w:eastAsia="Times New Roman" w:hAnsi="Times New Roman"/>
                <w:sz w:val="15"/>
                <w:szCs w:val="15"/>
                <w:b w:val="1"/>
                <w:bCs w:val="1"/>
                <w:color w:val="auto"/>
              </w:rPr>
              <w:t>March 28,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right"/>
              <w:ind w:right="364"/>
              <w:spacing w:after="0" w:line="133" w:lineRule="exact"/>
              <w:rPr>
                <w:sz w:val="20"/>
                <w:szCs w:val="20"/>
                <w:color w:val="auto"/>
              </w:rPr>
            </w:pPr>
            <w:r>
              <w:rPr>
                <w:rFonts w:ascii="Times New Roman" w:cs="Times New Roman" w:eastAsia="Times New Roman" w:hAnsi="Times New Roman"/>
                <w:sz w:val="15"/>
                <w:szCs w:val="15"/>
                <w:b w:val="1"/>
                <w:bCs w:val="1"/>
                <w:color w:val="auto"/>
              </w:rPr>
              <w:t>March 29,</w:t>
            </w:r>
          </w:p>
        </w:tc>
      </w:tr>
      <w:tr>
        <w:trPr>
          <w:trHeight w:val="182"/>
        </w:trPr>
        <w:tc>
          <w:tcPr>
            <w:tcW w:w="5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54"/>
        </w:trPr>
        <w:tc>
          <w:tcPr>
            <w:tcW w:w="5660" w:type="dxa"/>
            <w:vAlign w:val="bottom"/>
            <w:shd w:val="clear" w:color="auto" w:fill="CFF0FC"/>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Supplemental disclosures of cash flow information:</w:t>
            </w:r>
          </w:p>
        </w:tc>
        <w:tc>
          <w:tcPr>
            <w:tcW w:w="9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r>
      <w:tr>
        <w:trPr>
          <w:trHeight w:val="160"/>
        </w:trPr>
        <w:tc>
          <w:tcPr>
            <w:tcW w:w="566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Cash paid for interest</w:t>
            </w:r>
          </w:p>
        </w:tc>
        <w:tc>
          <w:tcPr>
            <w:tcW w:w="1160" w:type="dxa"/>
            <w:vAlign w:val="bottom"/>
            <w:gridSpan w:val="2"/>
          </w:tcPr>
          <w:p>
            <w:pPr>
              <w:jc w:val="right"/>
              <w:ind w:right="140"/>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19,375</w:t>
            </w:r>
          </w:p>
        </w:tc>
        <w:tc>
          <w:tcPr>
            <w:tcW w:w="360" w:type="dxa"/>
            <w:vAlign w:val="bottom"/>
            <w:gridSpan w:val="2"/>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21,959</w:t>
            </w:r>
          </w:p>
        </w:tc>
        <w:tc>
          <w:tcPr>
            <w:tcW w:w="320" w:type="dxa"/>
            <w:vAlign w:val="bottom"/>
            <w:gridSpan w:val="2"/>
          </w:tcPr>
          <w:p>
            <w:pPr>
              <w:jc w:val="right"/>
              <w:ind w:right="1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10,153</w:t>
            </w:r>
          </w:p>
        </w:tc>
      </w:tr>
      <w:tr>
        <w:trPr>
          <w:trHeight w:val="160"/>
        </w:trPr>
        <w:tc>
          <w:tcPr>
            <w:tcW w:w="566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5"/>
                <w:szCs w:val="15"/>
                <w:color w:val="auto"/>
              </w:rPr>
              <w:t>Cash (received) paid for income taxes, net of refunds</w:t>
            </w:r>
          </w:p>
        </w:tc>
        <w:tc>
          <w:tcPr>
            <w:tcW w:w="1160" w:type="dxa"/>
            <w:vAlign w:val="bottom"/>
            <w:gridSpan w:val="2"/>
            <w:shd w:val="clear" w:color="auto" w:fill="CFF0FC"/>
          </w:tcPr>
          <w:p>
            <w:pPr>
              <w:jc w:val="right"/>
              <w:ind w:right="140"/>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(27,081)</w:t>
            </w:r>
          </w:p>
        </w:tc>
        <w:tc>
          <w:tcPr>
            <w:tcW w:w="360" w:type="dxa"/>
            <w:vAlign w:val="bottom"/>
            <w:gridSpan w:val="2"/>
            <w:shd w:val="clear" w:color="auto" w:fill="CFF0FC"/>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11,639</w:t>
            </w:r>
          </w:p>
        </w:tc>
        <w:tc>
          <w:tcPr>
            <w:tcW w:w="320" w:type="dxa"/>
            <w:vAlign w:val="bottom"/>
            <w:gridSpan w:val="2"/>
            <w:shd w:val="clear" w:color="auto" w:fill="CFF0FC"/>
          </w:tcPr>
          <w:p>
            <w:pPr>
              <w:jc w:val="right"/>
              <w:ind w:right="1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89,927</w:t>
            </w:r>
          </w:p>
        </w:tc>
      </w:tr>
      <w:tr>
        <w:trPr>
          <w:trHeight w:val="160"/>
        </w:trPr>
        <w:tc>
          <w:tcPr>
            <w:tcW w:w="566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Non-cash transactions:</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43"/>
        </w:trPr>
        <w:tc>
          <w:tcPr>
            <w:tcW w:w="566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5"/>
                <w:szCs w:val="15"/>
                <w:color w:val="auto"/>
              </w:rPr>
              <w:t>Property, plant and equipment purchases included in trade</w:t>
            </w: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r>
      <w:tr>
        <w:trPr>
          <w:trHeight w:val="178"/>
        </w:trPr>
        <w:tc>
          <w:tcPr>
            <w:tcW w:w="5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(3,961)</w:t>
            </w:r>
          </w:p>
        </w:tc>
        <w:tc>
          <w:tcPr>
            <w:tcW w:w="36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(4,463)</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(4,157)</w:t>
            </w:r>
          </w:p>
        </w:tc>
      </w:tr>
      <w:tr>
        <w:trPr>
          <w:trHeight w:val="160"/>
        </w:trPr>
        <w:tc>
          <w:tcPr>
            <w:tcW w:w="5660" w:type="dxa"/>
            <w:vAlign w:val="bottom"/>
          </w:tcPr>
          <w:p>
            <w:pPr>
              <w:ind w:left="120"/>
              <w:spacing w:after="0" w:line="161" w:lineRule="exact"/>
              <w:rPr>
                <w:sz w:val="20"/>
                <w:szCs w:val="20"/>
                <w:color w:val="auto"/>
              </w:rPr>
            </w:pPr>
            <w:r>
              <w:rPr>
                <w:rFonts w:ascii="Times New Roman" w:cs="Times New Roman" w:eastAsia="Times New Roman" w:hAnsi="Times New Roman"/>
                <w:sz w:val="15"/>
                <w:szCs w:val="15"/>
                <w:color w:val="auto"/>
              </w:rPr>
              <w:t>Right-of-use assets obtained in exchange for lease liabilities</w:t>
            </w:r>
          </w:p>
        </w:tc>
        <w:tc>
          <w:tcPr>
            <w:tcW w:w="1160" w:type="dxa"/>
            <w:vAlign w:val="bottom"/>
            <w:gridSpan w:val="2"/>
          </w:tcPr>
          <w:p>
            <w:pPr>
              <w:jc w:val="right"/>
              <w:ind w:right="140"/>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1,584</w:t>
            </w:r>
          </w:p>
        </w:tc>
        <w:tc>
          <w:tcPr>
            <w:tcW w:w="360" w:type="dxa"/>
            <w:vAlign w:val="bottom"/>
            <w:gridSpan w:val="2"/>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6,999</w:t>
            </w:r>
          </w:p>
        </w:tc>
        <w:tc>
          <w:tcPr>
            <w:tcW w:w="320" w:type="dxa"/>
            <w:vAlign w:val="bottom"/>
            <w:gridSpan w:val="2"/>
          </w:tcPr>
          <w:p>
            <w:pPr>
              <w:jc w:val="right"/>
              <w:ind w:right="1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10,450</w:t>
            </w:r>
          </w:p>
        </w:tc>
      </w:tr>
      <w:tr>
        <w:trPr>
          <w:trHeight w:val="160"/>
        </w:trPr>
        <w:tc>
          <w:tcPr>
            <w:tcW w:w="5660" w:type="dxa"/>
            <w:vAlign w:val="bottom"/>
            <w:shd w:val="clear" w:color="auto" w:fill="CFF0FC"/>
          </w:tcPr>
          <w:p>
            <w:pPr>
              <w:ind w:left="120"/>
              <w:spacing w:after="0" w:line="161" w:lineRule="exact"/>
              <w:rPr>
                <w:sz w:val="20"/>
                <w:szCs w:val="20"/>
                <w:color w:val="auto"/>
              </w:rPr>
            </w:pPr>
            <w:r>
              <w:rPr>
                <w:rFonts w:ascii="Times New Roman" w:cs="Times New Roman" w:eastAsia="Times New Roman" w:hAnsi="Times New Roman"/>
                <w:sz w:val="15"/>
                <w:szCs w:val="15"/>
                <w:color w:val="auto"/>
              </w:rPr>
              <w:t>Assets held for sale transferred (to) from property, plant and equipment, net</w:t>
            </w:r>
          </w:p>
        </w:tc>
        <w:tc>
          <w:tcPr>
            <w:tcW w:w="1160" w:type="dxa"/>
            <w:vAlign w:val="bottom"/>
            <w:gridSpan w:val="2"/>
            <w:shd w:val="clear" w:color="auto" w:fill="CFF0FC"/>
          </w:tcPr>
          <w:p>
            <w:pPr>
              <w:jc w:val="right"/>
              <w:ind w:right="140"/>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5"/>
                <w:szCs w:val="15"/>
                <w:color w:val="auto"/>
              </w:rPr>
              <w:t>(9,751)</w:t>
            </w:r>
          </w:p>
        </w:tc>
        <w:tc>
          <w:tcPr>
            <w:tcW w:w="360" w:type="dxa"/>
            <w:vAlign w:val="bottom"/>
            <w:gridSpan w:val="2"/>
            <w:shd w:val="clear" w:color="auto" w:fill="CFF0FC"/>
          </w:tcPr>
          <w:p>
            <w:pPr>
              <w:jc w:val="right"/>
              <w:ind w:right="64"/>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16,508</w:t>
            </w:r>
          </w:p>
        </w:tc>
        <w:tc>
          <w:tcPr>
            <w:tcW w:w="320" w:type="dxa"/>
            <w:vAlign w:val="bottom"/>
            <w:gridSpan w:val="2"/>
            <w:shd w:val="clear" w:color="auto" w:fill="CFF0FC"/>
          </w:tcPr>
          <w:p>
            <w:pPr>
              <w:jc w:val="right"/>
              <w:ind w:right="120"/>
              <w:spacing w:after="0" w:line="161"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ind w:right="44"/>
              <w:spacing w:after="0" w:line="161" w:lineRule="exact"/>
              <w:rPr>
                <w:sz w:val="20"/>
                <w:szCs w:val="20"/>
                <w:color w:val="auto"/>
              </w:rPr>
            </w:pPr>
            <w:r>
              <w:rPr>
                <w:rFonts w:ascii="Times New Roman" w:cs="Times New Roman" w:eastAsia="Times New Roman" w:hAnsi="Times New Roman"/>
                <w:sz w:val="15"/>
                <w:szCs w:val="15"/>
                <w:color w:val="auto"/>
              </w:rPr>
              <w:t>—</w:t>
            </w:r>
          </w:p>
        </w:tc>
      </w:tr>
    </w:tbl>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05" w:lineRule="exact"/>
        <w:rPr>
          <w:sz w:val="20"/>
          <w:szCs w:val="20"/>
          <w:color w:val="auto"/>
        </w:rPr>
      </w:pPr>
    </w:p>
    <w:p>
      <w:pPr>
        <w:ind w:left="580" w:hanging="573"/>
        <w:spacing w:after="0"/>
        <w:tabs>
          <w:tab w:leader="none" w:pos="5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118"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Allegro MicroSystems, Inc., together with its consolidated subsidiaries (the “Company”), is a global leader in the design, development, and marketing of sensor integrated circuits (“ICs”) and application-specific power ICs, that enable the sensing, motion control, and power management functions of complex electromechanical or power conversion systems. The Company primarily serves automotive and industrial markets, where its solutions enable customers to sense, move, and manage power with efficiency, precision, and reliability. The Company is incorporated under the laws of Delaware. The Company is headquartered in Manchester, New Hampshire and has a global footprint, with 27 locations across four continents.</w:t>
      </w:r>
    </w:p>
    <w:p>
      <w:pPr>
        <w:spacing w:after="0" w:line="77" w:lineRule="exact"/>
        <w:rPr>
          <w:sz w:val="20"/>
          <w:szCs w:val="20"/>
          <w:color w:val="auto"/>
        </w:rPr>
      </w:pPr>
    </w:p>
    <w:p>
      <w:pPr>
        <w:ind w:right="680" w:firstLine="569"/>
        <w:spacing w:after="0" w:line="372" w:lineRule="auto"/>
        <w:rPr>
          <w:sz w:val="20"/>
          <w:szCs w:val="20"/>
          <w:color w:val="auto"/>
        </w:rPr>
      </w:pPr>
      <w:r>
        <w:rPr>
          <w:rFonts w:ascii="Times New Roman" w:cs="Times New Roman" w:eastAsia="Times New Roman" w:hAnsi="Times New Roman"/>
          <w:sz w:val="18"/>
          <w:szCs w:val="18"/>
          <w:color w:val="auto"/>
        </w:rPr>
        <w:t xml:space="preserve">The Company prepares its financial statements in accordance with accounting principles generally accepted in the United States (“GAAP”). </w:t>
      </w:r>
      <w:r>
        <w:rPr>
          <w:rFonts w:ascii="Times New Roman" w:cs="Times New Roman" w:eastAsia="Times New Roman" w:hAnsi="Times New Roman"/>
          <w:sz w:val="18"/>
          <w:szCs w:val="18"/>
          <w:b w:val="1"/>
          <w:bCs w:val="1"/>
          <w:i w:val="1"/>
          <w:iCs w:val="1"/>
          <w:color w:val="auto"/>
        </w:rPr>
        <w:t>Financial Periods</w:t>
      </w: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The Company’s fiscal year is the 52-week or 53-week period ending on the last Friday in March. The Company’s 2026 fiscal year ended March 27, 2026 (“fiscal year 2026”), the 2025 fiscal year ended March 28, 2025 (“fiscal year 2025”), and 2024 fiscal year ended March 29, 2024 (“fiscal year 2024”) were each 52-week periods.</w:t>
      </w:r>
    </w:p>
    <w:p>
      <w:pPr>
        <w:spacing w:after="0" w:line="278" w:lineRule="exact"/>
        <w:rPr>
          <w:sz w:val="20"/>
          <w:szCs w:val="20"/>
          <w:color w:val="auto"/>
        </w:rPr>
      </w:pPr>
    </w:p>
    <w:p>
      <w:pPr>
        <w:ind w:left="580" w:hanging="573"/>
        <w:spacing w:after="0"/>
        <w:tabs>
          <w:tab w:leader="none" w:pos="5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1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those entities required to be consolidated under GAAP. Intercompany profits, transactions, and balances among the consolidated entities have been eliminated.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8"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liabilities, and disclosures of contingencies at the date of the consolidated financial statements and the reported amounts of net sales and expenses during the reporting period. On an ongoing basis, management evaluates its estimates, assumptions and judgments, including those related to the valuation of acquired intangible assets, impairment assessment and valuation of goodwill, intangible assets and tangible long-lived assets, the net realizable value of inventory, income taxes, stock-based compensation, and sales allowances. Actual results could differ from those estimates, and such differences may be material to the consolidated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Certain reclassifications have been made to prior-period amounts to conform to current-period reporting classifications.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18"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As of March 27, 2026, the Company operates in one reportable segment, which involves the design, development, production and distribution of various ICs in various markets worldwide. The Company has a single, company-wide management team that administers all properties as a whole rather than as discrete operating segments. The Chief Operating Decision Maker (“CODM”), who is the Company’s Chief Executive Officer, measures financial performance as a single enterprise and not on a legal entity or end market basis. The CODM uses consolidated net income or loss, as reported in the Consolidated Statement of Operations, as the profitability measure in making decisions. The measure of segment assets is reported on the balance sheet as total assets. Throughout the year, the CODM allocates capital resources on a project-by-project basis across the Company’s entire asset base to maximize profitability without regard to a legal entity or end market basis. The Company operates in a number of countries throughout the world in a variety of product lines through its business unit structure.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Company accounts for business combinations under the acquisition method of accounting. Accordingly, at the date of each acquisition, the Company measures the fair value of all identifiable assets acquired (including intangible assets), liabilities assumed and any remaining non-controlling interests and allocates the consideration paid to all items measured. The fair value of identifiable intangible assets acquired are based on valuations that use information and assumptions determined by management’s best estimates of inputs and assumptions a market participant would use.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71" w:name="page72"/>
    <w:bookmarkEnd w:id="7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118"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The Company’s reporting currency is the U.S. Dollar. The financial statements of the Company’s foreign subsidiaries are translated from functional currency into U.S. dollars using the current exchange rate at the balance sheet date for assets and liabilities, and the average exchange rate in effect during the period for net sales and expenses. The functional currency for the Company’s international subsidiaries is generally considered to be the local currency for each entity, and, accordingly, translation adjustments for these entities are included as a component of accumulated other comprehensive loss in the Company’s consolidated balance sheets.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18"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The Company, through one of its wholly owned subsidiaries, established an affiliated entity in the Philippines for the primary purpose of purchasing, selling, leasing, developing and otherwise managing real estate acquired by the Company in the Philippines. The Company owns 40% of the equity interest in this entity, and the remaining 60% is held in a trust for the benefit of its employee retirement fund. The portion of the results of operations of this entity is shown as net income attributable to the non-controlling interests in the Company’s consolidated statements of operations for fiscal years 2026, 2025 and 2024. Additionally, the cumulative portion of the results of operations of this entity along with the interest in the net assets is shown as a component of non-controlling interest in the Company’s consolidated balance sheets.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 and Restricted Cash</w:t>
      </w:r>
    </w:p>
    <w:p>
      <w:pPr>
        <w:spacing w:after="0" w:line="118"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The Company considers all highly liquid instruments with original maturities of three months or less at the time of acquisition to be cash equivalents. At March 27, 2026 and March 28, 2025, the Company maintained investments in interest-bearing cash accounts. Because of the investments’ short term to maturity and the investments’ relative price insensitivity to changes in market interest rates, cost approximates fair value for these investments. As a result, there were no realized or unrealized gains or losses for the fiscal years ended March 27, 2026, March 28, 2025 and March 29, 2024. The Company has restricted cash, the use of which is restricted to the benefit of employees through a deferred compensation program.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8"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the exchange price that would be received for an asset or paid to transfer a liability (at exit price) in the principal or most advantageous market for the asset or liability in an orderly transaction between market participants on the measurement date. The Company establishes a fair value hierarchy that requires an entity to maximize the use of observable inputs and minimize the use of unobservable inputs when measuring fair value. The standard describes three levels of inputs that may be used to measure fair value, which are provided below:</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60" w:lineRule="exact"/>
        <w:rPr>
          <w:sz w:val="20"/>
          <w:szCs w:val="20"/>
          <w:color w:val="auto"/>
        </w:rPr>
      </w:pPr>
    </w:p>
    <w:p>
      <w:pPr>
        <w:jc w:val="both"/>
        <w:ind w:left="1080" w:right="20" w:hanging="1062"/>
        <w:spacing w:after="0" w:line="278"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 w:lineRule="exact"/>
        <w:rPr>
          <w:sz w:val="20"/>
          <w:szCs w:val="20"/>
          <w:color w:val="auto"/>
        </w:rPr>
      </w:pPr>
    </w:p>
    <w:p>
      <w:pPr>
        <w:jc w:val="both"/>
        <w:ind w:left="1080" w:hanging="1062"/>
        <w:spacing w:after="0" w:line="285" w:lineRule="auto"/>
        <w:rPr>
          <w:sz w:val="20"/>
          <w:szCs w:val="20"/>
          <w:color w:val="auto"/>
        </w:rPr>
      </w:pPr>
      <w:r>
        <w:rPr>
          <w:rFonts w:ascii="Times New Roman" w:cs="Times New Roman" w:eastAsia="Times New Roman" w:hAnsi="Times New Roman"/>
          <w:sz w:val="17"/>
          <w:szCs w:val="17"/>
          <w:color w:val="auto"/>
        </w:rPr>
        <w:t>Level 3 — 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examination.</w:t>
      </w:r>
    </w:p>
    <w:p>
      <w:pPr>
        <w:spacing w:after="0" w:line="53"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on the lowest level of input that is significant to the fair value measurement.</w:t>
      </w:r>
    </w:p>
    <w:p>
      <w:pPr>
        <w:spacing w:after="0" w:line="55"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Company’s cash equivalents and restricted cash are carried at fair values as determined according to the fair value hierarchy described above (see Note 5, “Fair Value Measurements”). The carrying value of accounts receivable, accounts payable and accrued expenses approximate their respective fair value due to the short-term nature of these assets and liabilities. The carrying value of outstanding borrowings under the line of credit agreements approximates fair value as it bears interest at a rate approximating a market interest rate.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72" w:name="page73"/>
    <w:bookmarkEnd w:id="7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36"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Loans held-for-investment are carried at amortized cost and reduced by a valuation allowance for estimated credit losses, as necessary. The Company recognizes interest income on loans, including the amortization of discounts and premiums, loan fees paid and received, using the interest method. The interest method is applied on a loan-by-loan basis when collectability of the future payments is reasonably assured. Premiums and discounts are recognized as yield adjustments over the term of the related loans.</w:t>
      </w:r>
    </w:p>
    <w:p>
      <w:pPr>
        <w:spacing w:after="0" w:line="73" w:lineRule="exact"/>
        <w:rPr>
          <w:sz w:val="20"/>
          <w:szCs w:val="20"/>
          <w:color w:val="auto"/>
        </w:rPr>
      </w:pPr>
    </w:p>
    <w:p>
      <w:pPr>
        <w:ind w:right="520" w:firstLine="569"/>
        <w:spacing w:after="0" w:line="372" w:lineRule="auto"/>
        <w:rPr>
          <w:sz w:val="20"/>
          <w:szCs w:val="20"/>
          <w:color w:val="auto"/>
        </w:rPr>
      </w:pPr>
      <w:r>
        <w:rPr>
          <w:rFonts w:ascii="Times New Roman" w:cs="Times New Roman" w:eastAsia="Times New Roman" w:hAnsi="Times New Roman"/>
          <w:sz w:val="18"/>
          <w:szCs w:val="18"/>
          <w:color w:val="auto"/>
        </w:rPr>
        <w:t xml:space="preserve">A detailed description of fair value measurement of the assets of the non-U.S. defined benefit plan is included in Note 15, “Retirement Plans.” </w:t>
      </w:r>
      <w:r>
        <w:rPr>
          <w:rFonts w:ascii="Times New Roman" w:cs="Times New Roman" w:eastAsia="Times New Roman" w:hAnsi="Times New Roman"/>
          <w:sz w:val="18"/>
          <w:szCs w:val="18"/>
          <w:b w:val="1"/>
          <w:bCs w:val="1"/>
          <w:i w:val="1"/>
          <w:iCs w:val="1"/>
          <w:color w:val="auto"/>
        </w:rPr>
        <w:t>Trade Accounts Receivable, Net</w:t>
      </w: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A receivable is a right to consideration that is unconditional where only the passage of time is required before payment is due. Accounts receivables are presented net of a provision for expected credit losses, which is an estimate of amounts that may not be collectible and returns and sales allowances.</w:t>
      </w:r>
    </w:p>
    <w:p>
      <w:pPr>
        <w:spacing w:after="0" w:line="55"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The provision for expected credit losses is our estimate of current expected credit losses (“CECL”) based on historical loss experience. The Company periodically performs detailed reviews to assess the adequacy of the allowance. The Company exercises judgment in estimating the timing, frequency and severity of losses. The Company uses an aging schedule method to estimate current expected credit losses based on days of delinquency, including information about past events and current economic conditions, as well as future forecasts of economic conditions. The Company’s accounts receivable is separated into two categories using a portfolio methodology to evaluate the allowance under the CECL impairment model based on sales categorization and similar credit quality and worthiness of the customers: original equipment manufacturers and distributors. The receivables in each category share similar risk characteristics. The Company increases the allowance for expected credit losses when the Company determines all or a portion of a receivable is uncollectible. The Company recognizes recoveries as a decrease to the allowance for expected credit losses. Adjustments to the allowance for expected credit losses are recorded as selling, general and administrative expenses in the consolidated statements of operations.</w:t>
      </w:r>
    </w:p>
    <w:p>
      <w:pPr>
        <w:spacing w:after="0" w:line="85"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Sales allowances include sales in which the amount of consideration that the Company will receive is unknown as of the end of a reporting period. Such consideration primarily includes price protection provisions provided to distributors. The Company estimates potential future sales allowances based on historical data from prior sales adjustments. Historical experience can change over time. As a result, estimated sales allowances may differ significantly from amounts recorded in the current and historical periods.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18"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being determined using a standard costing system that approximates actual costs, based on a first-in, first-out method. Inventory costs include materials, labor and manufacturing overhead. The Company records inventory provisions when conditions exist that suggest that inventory may be in excess of anticipated demand, is obsolete based upon expected future demand for products and market conditions, or quality-related rejections. These provisions are reported as a reduction to raw materials and supplies, work in process and finished goods. The Company regularly evaluates the ability to realize the value of inventory based on a combination of factors, including historical usage rates, forecasted sales or usage, and product end of life dates. Assumptions used in determining management’s estimates of future product demand may prove to be incorrect, in which case the provision required for excess and obsolete inventory would have to be adjusted in the future. Although the Company performs a detailed review of its forecasts of future product demand, any significant unanticipated changes in demand could have a significant impact on the value of the Company’s inventory and reported operating results.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1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Property, plant and equipment, net, including improvements that significantly add to productive capacity or extend useful life, are stated at historical cost less accumulated depreciation. Depreciation is computed using the straight-line method over the estimated useful lives of the assets. The Company capitalizes interest on certain projects with long-term construction periods. Maintenance and repairs expenditures are charged to expense as incurred. Estimated useful lives of the respective property, plant and equipment assets are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540" w:type="dxa"/>
            <w:vAlign w:val="bottom"/>
            <w:tcBorders>
              <w:bottom w:val="single" w:sz="8" w:color="auto"/>
            </w:tcBorders>
          </w:tcPr>
          <w:p>
            <w:pPr>
              <w:ind w:left="328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07"/>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w:t>
            </w:r>
          </w:p>
        </w:tc>
        <w:tc>
          <w:tcPr>
            <w:tcW w:w="200" w:type="dxa"/>
            <w:vAlign w:val="bottom"/>
            <w:shd w:val="clear" w:color="auto" w:fill="CFF0FC"/>
          </w:tcPr>
          <w:p>
            <w:pPr>
              <w:spacing w:after="0"/>
              <w:rPr>
                <w:sz w:val="18"/>
                <w:szCs w:val="18"/>
                <w:color w:val="auto"/>
              </w:rPr>
            </w:pPr>
          </w:p>
        </w:tc>
        <w:tc>
          <w:tcPr>
            <w:tcW w:w="76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31 years</w:t>
            </w:r>
          </w:p>
        </w:tc>
      </w:tr>
      <w:tr>
        <w:trPr>
          <w:trHeight w:val="21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Buildings improvements</w:t>
            </w:r>
          </w:p>
        </w:tc>
        <w:tc>
          <w:tcPr>
            <w:tcW w:w="200" w:type="dxa"/>
            <w:vAlign w:val="bottom"/>
          </w:tcPr>
          <w:p>
            <w:pPr>
              <w:spacing w:after="0"/>
              <w:rPr>
                <w:sz w:val="18"/>
                <w:szCs w:val="18"/>
                <w:color w:val="auto"/>
              </w:rPr>
            </w:pPr>
          </w:p>
        </w:tc>
        <w:tc>
          <w:tcPr>
            <w:tcW w:w="7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Economic life of the building improvements</w:t>
            </w:r>
          </w:p>
        </w:tc>
      </w:tr>
      <w:tr>
        <w:trPr>
          <w:trHeight w:val="214"/>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FF0FC"/>
          </w:tcPr>
          <w:p>
            <w:pPr>
              <w:spacing w:after="0"/>
              <w:rPr>
                <w:sz w:val="18"/>
                <w:szCs w:val="18"/>
                <w:color w:val="auto"/>
              </w:rPr>
            </w:pPr>
          </w:p>
        </w:tc>
        <w:tc>
          <w:tcPr>
            <w:tcW w:w="76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The shorter of the remaining term of the lease or estimated useful life</w:t>
            </w:r>
          </w:p>
        </w:tc>
      </w:tr>
      <w:tr>
        <w:trPr>
          <w:trHeight w:val="21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3</w:t>
            </w: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4"/>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3</w:t>
            </w:r>
          </w:p>
        </w:tc>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642"/>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F-12</w:t>
            </w:r>
          </w:p>
        </w:tc>
      </w:tr>
      <w:tr>
        <w:trPr>
          <w:trHeight w:val="755"/>
        </w:trPr>
        <w:tc>
          <w:tcPr>
            <w:tcW w:w="3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73" w:name="page74"/>
    <w:bookmarkEnd w:id="7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1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Intangible assets, net primarily consist of identified intangible assets related to completed acquisitions, as well as capitalized costs to acquire and defend patent and trademark-related awards. In addition, the Company holds technology, customer relationships, and non-compete agreements. The Company’s intangible assets are amortized using a method that approximates their economic benefit over their estimated useful lives ranging from three to 15 years.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18" w:lineRule="exact"/>
        <w:rPr>
          <w:sz w:val="20"/>
          <w:szCs w:val="20"/>
          <w:color w:val="auto"/>
        </w:rPr>
      </w:pPr>
    </w:p>
    <w:p>
      <w:pPr>
        <w:jc w:val="both"/>
        <w:ind w:right="20" w:firstLine="569"/>
        <w:spacing w:after="0" w:line="278" w:lineRule="auto"/>
        <w:rPr>
          <w:sz w:val="20"/>
          <w:szCs w:val="20"/>
          <w:color w:val="auto"/>
        </w:rPr>
      </w:pPr>
      <w:r>
        <w:rPr>
          <w:rFonts w:ascii="Times New Roman" w:cs="Times New Roman" w:eastAsia="Times New Roman" w:hAnsi="Times New Roman"/>
          <w:sz w:val="18"/>
          <w:szCs w:val="18"/>
          <w:color w:val="auto"/>
        </w:rPr>
        <w:t>Long-lived assets consist of property, plant and equipment, finite-lived intangibles, such as patents, completed technologies, customer relationships and indefinite-lived intangible assets such as process technology and trademarks.</w:t>
      </w:r>
    </w:p>
    <w:p>
      <w:pPr>
        <w:spacing w:after="0" w:line="55"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Property, plant and equipment, intangible assets and other finite-lived assets are tested for impairment whenever events or changes in business circumstances indicate that the carrying amount of the assets may not be fully recoverable. Factors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If such assets are not impaired, but their useful lives have decreased, the remaining net book value is amortized over the revised useful life.</w:t>
      </w:r>
    </w:p>
    <w:p>
      <w:pPr>
        <w:spacing w:after="0" w:line="80"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Indefinite-lived intangible assets are reviewed for impairment at least annually or whenever events or changes in circumstances indicate that it is more likely than not that the asset is impaired. The impairment test consists of a qualitative assessment to determine if events or changes in circumstances indicate that the carrying amount of the assets may not be fully recoverable. Factors that the Company considers in deciding when to perform a quantitative impairment review include significant underperformance of the business in relation to expectations, significant negative industry or economic trends and significant changes or planned changes in the use of the assets. If such events occur, a comparison of the fair value of the intangible asset with its carrying value is performed. If the carrying value of the intangible asset exceeds its fair value, an impairment loss is recognized in an amount equal to that excess. The Company has elected the first business day of the fourth quarter of its fiscal year as the annual impairment testing date.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8"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the net tangible and intangible assets acquired. Goodwill is not amortized, but rather is assessed for impairment at the reporting unit level annually during the fourth quarter of each fiscal year or more frequently if we believe indicators of impairment exist.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w:t>
      </w:r>
    </w:p>
    <w:p>
      <w:pPr>
        <w:spacing w:after="0" w:line="7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In testing goodwill for impairment, the Company has the option to first consider qualitative factors to determine whether it is more likely than not that the fair value of a reporting unit is less than its carrying value. Such qualitative factors include industry and market considerations, economic conditions, entity-specific financial performance and other events, such as changes in management, strategy and primary customer base. If based on the Company’s qualitative assessment it is more likely than not that the fair value of the reporting unit is less than its carrying amount, quantitative impairment testing is required. However, if the Company concludes otherwise, quantitative impairment testing is not required. The results of the Company’s qualitative goodwill impairment test performed on the first business day of the fourth quarter for fiscal years 2026, 2025 and 2024 did not indicate any impairments.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74" w:name="page75"/>
    <w:bookmarkEnd w:id="7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8"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a lease arrangement or contains a lease based on the unique facts and circumstances present. Leases with a term greater than 12 months are recognized on the balance sheet as right-of-use (“ROU”) assets with a corresponding lease liability. The Company has elected not to recognize on the consolidated balance sheets leases with an initial term of 12 months or less. Leases with an initial term of 12 months or less are directly expensed as incurred. Leases are classified as either operating or finance depending on the specific terms of the arrangement.</w:t>
      </w:r>
    </w:p>
    <w:p>
      <w:pPr>
        <w:spacing w:after="0" w:line="77"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Company’s leases mainly consist of facilities, office equipment, and vehicles. The majority of leases are classified as operating leases. Certain lease agreements contain provisions for future rent increases. Lease payments included in the measurement of the lease liability comprise fixed payments and future rent increases tied to an index or rate. Future rent increases dependent on an index or rate are initially measured at the index or rate at the commencement date. The Company’s leases typically do not contain residual value guarantees.</w:t>
      </w:r>
    </w:p>
    <w:p>
      <w:pPr>
        <w:spacing w:after="0" w:line="73"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At the commencement date, operating and finance lease liabilities and their corresponding ROU assets are recorded based on the present value of lease payments over the expected lease term. The lease term includes the non-cancelable period of the lease, plus any additional periods covered by either a Company option to extend (or not to terminate) the lease that the Company is reasonably certain to exercise, or an option to extend (or not to terminate) the lease controlled by the lessor. The interest rate implicit in a lease contract is typically not readily determinable, therefore an incremental borrowing rate is used to calculate the lease liability. The incremental borrowing rate is the rate incurred to borrow on a collateralized basis over a similar term an amount equal to the lease payments in a similar economic environment. Certain adjustments to the ROU asset may be required for items such as prepayments, lease incentives received or initial direct costs paid.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118"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The Company provides warranties on its products to its customers, generally for one year from the date of shipment and in limited cases for longer periods. In the event of a failure of a product covered by these warranties, the Company must repair or replace the product or, if those remedies are insufficient, and at the discretion of the Company, provide a refund. In limited cases, the Company warrants its products to include significant liability beyond the cost of repairing or replacing the product or refunding the sales price of the product. The Company periodically assesses the adequacy of the warranty reserve and adjusts the amount, as necessary. If there is a material increase in the rate of customer claims, or the Company’s estimates of probable losses relating to specifically identified warranty exposures are inaccurate, the Company may need to record a charge against future cost of goods sold. There were $3,193 and $1,026 accrued for warranty reserves as of March 27, 2026 and March 28, 2025, respectively.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75" w:name="page76"/>
    <w:bookmarkEnd w:id="7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8" w:lineRule="exact"/>
        <w:rPr>
          <w:sz w:val="20"/>
          <w:szCs w:val="20"/>
          <w:color w:val="auto"/>
        </w:rPr>
      </w:pPr>
    </w:p>
    <w:p>
      <w:pPr>
        <w:ind w:firstLine="569"/>
        <w:spacing w:after="0" w:line="278" w:lineRule="auto"/>
        <w:rPr>
          <w:sz w:val="20"/>
          <w:szCs w:val="20"/>
          <w:color w:val="auto"/>
        </w:rPr>
      </w:pPr>
      <w:r>
        <w:rPr>
          <w:rFonts w:ascii="Times New Roman" w:cs="Times New Roman" w:eastAsia="Times New Roman" w:hAnsi="Times New Roman"/>
          <w:sz w:val="18"/>
          <w:szCs w:val="18"/>
          <w:color w:val="auto"/>
        </w:rPr>
        <w:t>Revenue is recognized on contracts with customers when transfer of control to the customer occurs in exchange for an amount reflecting the consideration that the Company expects to be entitled. In order to achieve this core principle, the Company applies the following five step approach:</w:t>
      </w:r>
    </w:p>
    <w:p>
      <w:pPr>
        <w:spacing w:after="0" w:line="53" w:lineRule="exact"/>
        <w:rPr>
          <w:sz w:val="20"/>
          <w:szCs w:val="20"/>
          <w:color w:val="auto"/>
        </w:rPr>
      </w:pPr>
    </w:p>
    <w:p>
      <w:pPr>
        <w:jc w:val="both"/>
        <w:ind w:firstLine="576"/>
        <w:spacing w:after="0" w:line="256" w:lineRule="auto"/>
        <w:tabs>
          <w:tab w:leader="none" w:pos="8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Identify the contract with a customer </w:t>
      </w:r>
      <w:r>
        <w:rPr>
          <w:rFonts w:ascii="Times New Roman" w:cs="Times New Roman" w:eastAsia="Times New Roman" w:hAnsi="Times New Roman"/>
          <w:sz w:val="18"/>
          <w:szCs w:val="18"/>
          <w:color w:val="auto"/>
        </w:rPr>
        <w:t>— The Company considers customer purchase orders, which in some cases are governed by master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to be customer contracts. A contract exists when it is approved by both parties, each party’s rights and obligations are identified, payment terms are known, the customer has the ability and intent to pay and the contract has commercial substance. The Company uses judgment in determining the customer’s ability and intent to pay, which is based on factors such as the customer’s historical payment experience or, for new customers, credit and financial information pertaining to the customers.</w:t>
      </w:r>
    </w:p>
    <w:p>
      <w:pPr>
        <w:spacing w:after="0" w:line="72" w:lineRule="exact"/>
        <w:rPr>
          <w:rFonts w:ascii="Times New Roman" w:cs="Times New Roman" w:eastAsia="Times New Roman" w:hAnsi="Times New Roman"/>
          <w:sz w:val="18"/>
          <w:szCs w:val="18"/>
          <w:color w:val="auto"/>
        </w:rPr>
      </w:pPr>
    </w:p>
    <w:p>
      <w:pPr>
        <w:jc w:val="both"/>
        <w:ind w:firstLine="576"/>
        <w:spacing w:after="0" w:line="256" w:lineRule="auto"/>
        <w:tabs>
          <w:tab w:leader="none" w:pos="8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 Performance obligations are identified as products and services that will be transferred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products or services is separately identifiable from other promises in the contract. Substantially, all of the Company’s contracts with customers contain a single performance obligation, such as the sale of mixed-signal integrated circuit products.</w:t>
      </w:r>
    </w:p>
    <w:p>
      <w:pPr>
        <w:spacing w:after="0" w:line="72" w:lineRule="exact"/>
        <w:rPr>
          <w:rFonts w:ascii="Times New Roman" w:cs="Times New Roman" w:eastAsia="Times New Roman" w:hAnsi="Times New Roman"/>
          <w:sz w:val="18"/>
          <w:szCs w:val="18"/>
          <w:color w:val="auto"/>
        </w:rPr>
      </w:pPr>
    </w:p>
    <w:p>
      <w:pPr>
        <w:jc w:val="both"/>
        <w:ind w:firstLine="576"/>
        <w:spacing w:after="0" w:line="264" w:lineRule="auto"/>
        <w:tabs>
          <w:tab w:leader="none" w:pos="82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 The transaction price is determined based on the consideration to which the Company expects to be entitled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transferring products to the customer. Variable consideration is included in the transaction price if, in the Company’s judgment, it is probable that no significant future reversal of cumulative revenue under the contract will occur.</w:t>
      </w:r>
    </w:p>
    <w:p>
      <w:pPr>
        <w:spacing w:after="0" w:line="65" w:lineRule="exact"/>
        <w:rPr>
          <w:rFonts w:ascii="Times New Roman" w:cs="Times New Roman" w:eastAsia="Times New Roman" w:hAnsi="Times New Roman"/>
          <w:sz w:val="18"/>
          <w:szCs w:val="18"/>
          <w:color w:val="auto"/>
        </w:rPr>
      </w:pPr>
    </w:p>
    <w:p>
      <w:pPr>
        <w:jc w:val="both"/>
        <w:ind w:firstLine="576"/>
        <w:spacing w:after="0" w:line="264" w:lineRule="auto"/>
        <w:tabs>
          <w:tab w:leader="none" w:pos="84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Allocate the transaction price to the performance obligations in the contract </w:t>
      </w:r>
      <w:r>
        <w:rPr>
          <w:rFonts w:ascii="Times New Roman" w:cs="Times New Roman" w:eastAsia="Times New Roman" w:hAnsi="Times New Roman"/>
          <w:sz w:val="18"/>
          <w:szCs w:val="18"/>
          <w:color w:val="auto"/>
        </w:rPr>
        <w:t>— If the contract contains a single performance obligation,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entire transaction price is allocated to that performance obligation. Contracts that contain multiple performance obligations require an allocation of the transaction price to each performance obligation based on a relative standalone selling price.</w:t>
      </w:r>
    </w:p>
    <w:p>
      <w:pPr>
        <w:spacing w:after="0" w:line="65" w:lineRule="exact"/>
        <w:rPr>
          <w:rFonts w:ascii="Times New Roman" w:cs="Times New Roman" w:eastAsia="Times New Roman" w:hAnsi="Times New Roman"/>
          <w:sz w:val="18"/>
          <w:szCs w:val="18"/>
          <w:color w:val="auto"/>
        </w:rPr>
      </w:pPr>
    </w:p>
    <w:p>
      <w:pPr>
        <w:jc w:val="both"/>
        <w:ind w:firstLine="576"/>
        <w:spacing w:after="0" w:line="264" w:lineRule="auto"/>
        <w:tabs>
          <w:tab w:leader="none" w:pos="8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Recognize revenue when a performance obligation is satisfied </w:t>
      </w:r>
      <w:r>
        <w:rPr>
          <w:rFonts w:ascii="Times New Roman" w:cs="Times New Roman" w:eastAsia="Times New Roman" w:hAnsi="Times New Roman"/>
          <w:sz w:val="18"/>
          <w:szCs w:val="18"/>
          <w:color w:val="auto"/>
        </w:rPr>
        <w:t>— Revenue is recognized when control of the product is transferred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(i.e., when the Company’s performance obligation is satisfied), which typically occurs at a point in time at shipment or delivery, depending on the terms of the contract.</w:t>
      </w:r>
    </w:p>
    <w:p>
      <w:pPr>
        <w:spacing w:after="0" w:line="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Sales channels</w:t>
      </w:r>
    </w:p>
    <w:p>
      <w:pPr>
        <w:spacing w:after="0" w:line="116"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 sells products globally through its direct sales force, third-party distributors, independent sales representatives and consignment. The Company records revenue based on the amount of any discounted arrangement fee. When the Company transacts with a distributor, its contractual arrangement is with the distributor and not with the end customer. Whether the Company transacts business with and receives the order from a distributor or directly from an end customer, its revenue recognition policy and resulting pattern of revenue recognition for the order are the same.</w:t>
      </w:r>
    </w:p>
    <w:p>
      <w:pPr>
        <w:spacing w:after="0" w:line="73"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The Company also uses independent sales representatives to assist in the sales process with certain customers. Sales representatives are not distributors. If a sales representative is engaged in the sales process, the Company receives the order directly from and sells the products directly to the end customer. The Company pays a commission to the sales representative, calculated as a percentage of the related customer payment. Sales representatives’ commissions are recorded as expenses when incurred and are classified as selling, general and administrative expenses in the Company’s consolidated statements of operations.</w:t>
      </w:r>
    </w:p>
    <w:p>
      <w:pPr>
        <w:spacing w:after="0" w:line="77"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For consignment arrangements with distributors, delivery occurs and revenue is recognized when the distributor pulls product from consignment inventory that is stored at designated distributor locations. Recognition is not contingent upon resale of the products to the distributors’ customers. Until the products are pulled for use or sale by the distributor, the Company retains control over the products’ disposition, including the right to pull back or relocate the products.</w:t>
      </w:r>
    </w:p>
    <w:p>
      <w:pPr>
        <w:spacing w:after="0" w:line="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16"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Variable consideration includes sales in which the amount of consideration that the Company will receive is unknown as of the end of a reporting period. Such consideration primarily includes price protection provisions provided to distributors, sales under agreements that allow rights of return, referred to as stock rotation, provided to distributors, discounts and credits provided to distributors and returns provisions offered to direct customers. The Company estimates potential future returns, credits, and sales allowances based on historical return rates, anticipated customer claims, credits issued, and changes in product sales to customers.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76" w:name="page77"/>
    <w:bookmarkEnd w:id="7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Practical expedients elected</w:t>
      </w:r>
    </w:p>
    <w:p>
      <w:pPr>
        <w:spacing w:after="0" w:line="116"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Revenue recognized is adjusted based on allowances, which are prepared on a portfolio basis using a most likely amount methodology. The length of time between revenue recognition and payment is not significant under any of the Company’s payment terms. Moreover, if the period between revenue recognition and when the customer pays is one year or less, the Company elected not to account for the significant financing component.</w:t>
      </w:r>
    </w:p>
    <w:p>
      <w:pPr>
        <w:spacing w:after="0" w:line="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Revenue Recognition Policies</w:t>
      </w:r>
    </w:p>
    <w:p>
      <w:pPr>
        <w:spacing w:after="0" w:line="116"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Shipping and handling activities are not considered a contractual performance obligation. The Company records shipping and handling costs billed to customers as revenue with offsetting costs recorded as cost of sale.</w:t>
      </w:r>
    </w:p>
    <w:p>
      <w:pPr>
        <w:spacing w:after="0" w:line="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16"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Contract assets and contract liabilities (deferred revenue) net are reported at the contract level for each reporting period. Contract assets typically result from contracts when revenue recognized exceeds the amount billed to the customer, and right to payment is not just subject to the passage of time. Contract assets are transferred to accounts receivable when the rights become unconditional. The Company had no material contract assets as of March 27, 2026 or March 28, 2025.</w:t>
      </w:r>
    </w:p>
    <w:p>
      <w:pPr>
        <w:spacing w:after="0" w:line="73" w:lineRule="exact"/>
        <w:rPr>
          <w:sz w:val="20"/>
          <w:szCs w:val="20"/>
          <w:color w:val="auto"/>
        </w:rPr>
      </w:pPr>
    </w:p>
    <w:p>
      <w:pPr>
        <w:jc w:val="both"/>
        <w:ind w:firstLine="569"/>
        <w:spacing w:after="0" w:line="308" w:lineRule="auto"/>
        <w:rPr>
          <w:sz w:val="20"/>
          <w:szCs w:val="20"/>
          <w:color w:val="auto"/>
        </w:rPr>
      </w:pPr>
      <w:r>
        <w:rPr>
          <w:rFonts w:ascii="Times New Roman" w:cs="Times New Roman" w:eastAsia="Times New Roman" w:hAnsi="Times New Roman"/>
          <w:sz w:val="17"/>
          <w:szCs w:val="17"/>
          <w:color w:val="auto"/>
        </w:rPr>
        <w:t>Contract liabilities typically result from billings in excess of revenues recognized and relate to products shipped near the end of the reporting period for which the required revenue recognition criteria were not met. The Company had no material contract liabilities as of March 27, 2026 or March 28, 2025.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8"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The Company recognizes compensation costs for all stock-based compensation awards made to employees based upon the awards’ estimated grant-date fair value. Typically, stock-based compensation expense is recognized evenly over the vesting period. However, stock-based compensation expense related to performance-based awards is recognized relative to the probability of achievement of the requisite milestones during the vesting period. The Company accounts for forfeitures as they occur. Determining the fair value of certain stock-based compensation awards at the grant date requires judgment, including estimating the expected life of the stock awards and the volatility of the underlying market-based and projected future cash flow assumptions. Any changes to those estimates that the Company makes from time to time may have a significant impact on the stock-based compensation expense recorded and could materially impact the Company’s results of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18"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The Company commits substantial capital and resources to internal and collaborative research and development projects in order to provide innovative products and solutions to its customers. The Company conducts research primarily to develop new technologies, enhance current product performance, improve the functionality and reliability of existing products, and develop revolutionary new products and solutions. Research and development costs are expensed as incurred and include salaries, wages and other personnel-related costs, material costs and depreciation, consulting costs, software licensing costs, maintenance costs and facility costs.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Benefit Obligations</w:t>
      </w:r>
    </w:p>
    <w:p>
      <w:pPr>
        <w:spacing w:after="0" w:line="11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Company, through its subsidiaries, has various foreign defined benefit plans as well as U.S. defined contribution plans. Accredited independent actuaries calculate related plan assets, liabilities and expenses. The Company is required to make certain assumptions to assign value to the plan assets and liabilities. These assumptions are reviewed annually, based on current plan information and consultations with independent investment advisors and actuaries. The Company does not offer other defined benefits associated with postretirement benefit plans other than pensions.</w:t>
      </w:r>
    </w:p>
    <w:p>
      <w:pPr>
        <w:spacing w:after="0" w:line="73"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The Company recognizes the funded status of a benefit plan on its consolidated balance sheets and recognizes gains, losses and prior service cost or credits that arise during the period that are not recognized as components of net periodic benefit cost as a component of other comprehensive (loss) income, net of tax. In addition, the Company measures defined benefit plan assets and obligations as of the date of the employer’s fiscal year-end consolidated balance sheets and discloses in the notes to the consolidated financial statements the gains or losses, prior service costs or credits and transition asset or obligation.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77" w:name="page78"/>
    <w:bookmarkEnd w:id="7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8"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temporary differences between the financial statement and tax basis of assets and liabilities, as measured by enacted tax rates anticipated to be in effect when these differences are expected to reverse. This method also requires the recognition of future tax benefits to the extent that realization of such benefits is more likely than not. Deferred tax expense or benefit is the result of changes in the deferred tax assets and liabilities. The Company assesses the likelihood that its deferred tax assets will be recovered from future taxable income and, to the extent it believes, based upon the weight of available evidence, it is more likely than not that some or all of the deferred tax assets will not be realized, a valuation allowance is established.</w:t>
      </w:r>
    </w:p>
    <w:p>
      <w:pPr>
        <w:spacing w:after="0" w:line="77" w:lineRule="exact"/>
        <w:rPr>
          <w:sz w:val="20"/>
          <w:szCs w:val="20"/>
          <w:color w:val="auto"/>
        </w:rPr>
      </w:pPr>
    </w:p>
    <w:p>
      <w:pPr>
        <w:jc w:val="both"/>
        <w:ind w:firstLine="562"/>
        <w:spacing w:after="0" w:line="251" w:lineRule="auto"/>
        <w:rPr>
          <w:sz w:val="20"/>
          <w:szCs w:val="20"/>
          <w:color w:val="auto"/>
        </w:rPr>
      </w:pPr>
      <w:r>
        <w:rPr>
          <w:rFonts w:ascii="Times New Roman" w:cs="Times New Roman" w:eastAsia="Times New Roman" w:hAnsi="Times New Roman"/>
          <w:sz w:val="18"/>
          <w:szCs w:val="18"/>
          <w:color w:val="auto"/>
        </w:rPr>
        <w:t>The Company recognizes a liability for potential payments of taxes to various tax authorities related to uncertain tax positions and other tax matters. The recorded liability is based on a determination of whether and how much of a tax benefit taken by the Company in its tax filings or positions is “more likely than not” to be realized. The amount of the benefit that may be recognized in the consolidated financial statements is the largest amount that has a greater than 50% likelihood of being realized upon ultimate settlement. To the extent that the assessment of such tax positions changes, the change in estimate is recorded in the period in which the determination is made. The Company establishes a liability, which is included in other long-term liabilities in the consolidated balance sheets, for tax-related uncertainties based on estimates of whether, and the extent to which, additional taxes will be due. These liabilities are established when the Company believes that certain positions might be challenged despite the Company’s belief that the tax return positions are fully supportable. The recorded liability is adjusted considering changes in the facts and circumstances. The provision for income taxes includes the impact of the recorded liability and changes thereto.</w:t>
      </w:r>
    </w:p>
    <w:p>
      <w:pPr>
        <w:spacing w:after="0" w:line="85"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as a component of income tax provision in the consolidated statements of operations. Accrued interest and penalties are included in accrued expenses and other current liabilities in the consolidated balance sheets.</w:t>
      </w:r>
    </w:p>
    <w:p>
      <w:pPr>
        <w:spacing w:after="0" w:line="55"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All undistributed earnings of our foreign subsidiaries are permanently reinvested. Accordingly, the Company does not provide for U.S. income taxes on such undistributed earnings.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Share</w:t>
      </w:r>
    </w:p>
    <w:p>
      <w:pPr>
        <w:spacing w:after="0" w:line="118"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Basic net (loss) income per share is computed by dividing net (loss) income attributable to stockholders of the Company by the weighted-average number of common shares outstanding during the reporting period. Diluted net (loss) income per share is computed similarly to basic net (loss) income per share, except that it includes the potential dilution that could occur if dilutive securities were exercised. Information about potentially dilutive and antidilutive shares for the reporting period is provided in Note 17, “Net (Loss) Income per Share.”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78" w:name="page79"/>
    <w:bookmarkEnd w:id="7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Customers</w:t>
      </w:r>
    </w:p>
    <w:p>
      <w:pPr>
        <w:spacing w:after="0" w:line="118"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and accounts receivable. The Company maintains its cash and cash equivalents with financial institutions that management believes to be of a high credit quality. To manage credit risk related to accounts receivables, the Company evaluates the creditworthiness of its customers and maintains allowances, to the extent necessary, for potential credit losses based upon the aging of its accounts receivable balances and known collection issues. The Company has not experienced any material credit losses during the prior two years.</w:t>
      </w:r>
    </w:p>
    <w:p>
      <w:pPr>
        <w:spacing w:after="0" w:line="77"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As of both March 27, 2026 and March 28, 2025, no distributor or customer accounted for 10% or more of the Company’s outstanding trade accounts receivable.</w:t>
      </w:r>
    </w:p>
    <w:p>
      <w:pPr>
        <w:spacing w:after="0" w:line="55"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For the fiscal year ended March 29, 2024, Sanken Electric Co., Ltd. (“Sanken”) accounted for 0.6% of total net sales. For the fiscal years ended March 27, 2026, March 28, 2025 and March 29, 2024, sales to our largest, non-affiliated distributor accounted for 9.4%, 9.3%, and 10.2% of total net sales, respectively. No other customers accounted for 10% or more of total net sales for any of these periods. See Note 21, “Related Party Transactions” for a discussion of the termination, distribution and consulting agreements between Sanken and the Company to transition the marketing and sale of the Company’s products in Japan from Sanken to the Company.</w:t>
      </w:r>
    </w:p>
    <w:p>
      <w:pPr>
        <w:spacing w:after="0" w:line="77"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During the fiscal year ended March 27, 2026, sales from customers located outside of the United States in the aggregate accounted for 89.7% of the Company’s total net sales, with Greater China accounting for 28.0%, Japan accounting for 17.0% and Taiwan, included in Other Asia with net sales of $89,038, accounting for 10.0%. No other country accounted for greater than 10.0% of total net sales for the fiscal year ended March 27, 2026.</w:t>
      </w:r>
    </w:p>
    <w:p>
      <w:pPr>
        <w:spacing w:after="0" w:line="68"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During the fiscal year ended March 28, 2025, sales from customers located outside of the United States in the aggregate accounted for 87.2% of the Company’s total net sales, with Greater China accounting for 25.2%, Japan accounting for 21.2%, and South Korea accounting for 10.2%. No other country accounted for greater than 10.0% of total net sales for the fiscal year ended March 28, 2025.</w:t>
      </w:r>
    </w:p>
    <w:p>
      <w:pPr>
        <w:spacing w:after="0" w:line="68"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During the fiscal year ended March 29, 2024, sales from customers located outside of the United States in the aggregate accounted for 85.8% of the Company’s total net sales, with Greater China accounting for 26.2%, Japan accounting for 16.7%, and South Korea accounting for 10.9%. No other country accounted for greater than 10.0% of total net sales for the fiscal year ended March 29,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(Loss) Income</w:t>
      </w:r>
    </w:p>
    <w:p>
      <w:pPr>
        <w:spacing w:after="0" w:line="118"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Other comprehensive (loss) income refers to revenues, expenses, gains and losses that are excluded from net income as these amounts are recorded directly as an adjustment to stockholders’ equity, net of tax. The Company’s other comprehensive (loss) income was composed of foreign currency translation adjustments and pension liability adjustments.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Equity-Method Investments</w:t>
      </w:r>
    </w:p>
    <w:p>
      <w:pPr>
        <w:spacing w:after="0" w:line="118"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in common stock or partnership interests under the equity method if the Company has the ability to exercise significant influence, but not control, over an investee. Investments in equity-method investees are included within “Equity investment in related party” in the consolidated balance sheets. The Company’s proportional share of the earnings or losses as reported by equity-method investees are classified as “(Loss) income in earnings of equity investment” in the consolidated statements of operations. The Company regularly evaluates these investments, which are not carried at fair value, for other-than-temporary impairment and records any impairment charge in earnings when the decline in value below the carrying amount of its equity-method investment is determined to be other-than-temporary.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 Considerations</w:t>
      </w:r>
    </w:p>
    <w:p>
      <w:pPr>
        <w:spacing w:after="0" w:line="11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The Company has evaluated all subsequent events and determined that, other than as reported herein, there are no material recognized or unrecognized subsequent events.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79" w:name="page80"/>
    <w:bookmarkEnd w:id="7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8"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In July 2025, the Financial Accounting Standards Board (“FASB”) issued Accounting Standards Update (“ASU”) No. 2025-05 Financial Instruments—Credit Losses (Topic 326): Measurement of Credit Losses for Accounts Receivable and Contract Assets (“ASU 2025-05”). ASU 2025-05 provides a practical expedient that can be elected to be applied to accounts receivable and contract assets, which would allow entities to assume that current conditions as of the balance sheet date do not change for the remaining life of the assets when estimating expected credit losses for such assets. ASU 2025-05 is effective for annual reporting periods that began after December 15, 2025 and interim reporting periods within those annual reporting periods. Early adoption is permitted. ASU 2025-05 is currently being evaluated by the Company, but it is not expected to have a material effect on the Company’s position or operations.</w:t>
      </w:r>
    </w:p>
    <w:p>
      <w:pPr>
        <w:spacing w:after="0" w:line="77"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 - Expense Disaggregation Disclosures (Subtopic 220-40): Disaggregation of Income Statement Expenses (“ASU 2024-03”). ASU 2024-03 requires additional disclosures of the nature of expenses included in the Company’s income statement. The new standard requires disclosures about specific types of expenses included in the expense captions presented on the face of the income statement as well as disclosures about selling expenses. ASU 2024-03 will be applied prospectively with the option for retrospective application. The FASB subsequently issued ASU 2025-01 Income Statement - Reporting Comprehensive Income - Expense Disaggregation Disclosures (Subtopic 220-40) to clarify that all public business entities are required to adopt the guidance as stipulated in ASU 2024-03 in annual reporting periods beginning after December 15, 2026, and interim periods within annual reporting periods beginning after December 15, 2027. Early adoption is permitted. The Company is currently evaluating the impact of adopting this guidance.</w:t>
      </w:r>
    </w:p>
    <w:p>
      <w:pPr>
        <w:spacing w:after="0" w:line="80"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ASU 2023-09 requires entities to provide additional information of the Company’s tax rate reconciliation, as well as additional disclosures about income taxes paid by jurisdiction. ASU 2023-09 became effective for annual reporting periods that began after December 15, 2024, with early adoption permitted. ASU 2023-09 should be applied prospectively, but entities have the option to apply it retrospectively for each period presented. In fiscal year 2026, the Company adopted ASU 2023-09, which requires enhanced disaggregation of income taxes paid and the effective tax rate reconciliation. The Company adopted this guidance on a prospective basis; accordingly, the newly required disaggregated disclosures are provided for the current period, while prior period disclosures have not been retroactively adjusted and continue to be presented under the previous disclosure requirements, as permitted by ASU 2023-09.</w:t>
      </w:r>
    </w:p>
    <w:p>
      <w:pPr>
        <w:spacing w:after="0" w:line="80"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All other recent accounting pronouncements were determined to not have a material impact on the Company’s financial position, results of operations, cash flows, or related disclosures.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80" w:name="page81"/>
    <w:bookmarkEnd w:id="8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346" w:lineRule="exact"/>
        <w:rPr>
          <w:sz w:val="20"/>
          <w:szCs w:val="20"/>
          <w:color w:val="auto"/>
        </w:rPr>
      </w:pPr>
    </w:p>
    <w:p>
      <w:pPr>
        <w:ind w:left="580" w:hanging="573"/>
        <w:spacing w:after="0"/>
        <w:tabs>
          <w:tab w:leader="none" w:pos="5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Crocus</w:t>
      </w:r>
    </w:p>
    <w:p>
      <w:pPr>
        <w:spacing w:after="0" w:line="11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On August 7, 2023, the Company entered into an Agreement and Plan of Merger (the “Merger Agreement”) with Crocus Technology International Corp., (“Crocus”). Pursuant to the terms and conditions of the Merger Agreement, on October 31, 2023 (the “Closing Date”), the Company acquired all of the outstanding equity interests of Crocus. The acquisition of Crocus complemented and accelerated the Company’s tunnel magnetoresistance sensors roadmap and strengthens its position in the magnetic sensing market.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 from Crocus</w:t>
      </w:r>
    </w:p>
    <w:p>
      <w:pPr>
        <w:spacing w:after="0" w:line="116"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On September 11, 2023, to fund the ongoing operations of Crocus prior to the Closing Date, the Company entered into a note purchase agreement with Crocus, wherein the Company agreed to purchase promissory notes of up to $7,000. An initial promissory note of $4,000 was issued on September 11, 2023, and an additional promissory note was issued on October 2, 2023 for $3,000. The promissory notes were repaid in full in connection with the closing of the merger and included within the estimated fair value of consideration paid.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Purchase Price</w:t>
      </w:r>
    </w:p>
    <w:p>
      <w:pPr>
        <w:spacing w:after="0" w:line="116"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The acquisition of Crocus was accounted for as a business combination. The purchase price for the acquisition was allocated based upon a valuation of the fair values of assets acquired and liabilities assumed. Assets acquired and liabilities assumed were recorded at their estimated fair values as of the acquisition date. Management applied the multi-period excess earnings method under the income approach to estimate the fair value of the completed technology asset and the distributor method under the income approach to estimate the fair value of the customer relationships asset. The fair value of intangible assets was based on estimates and assumptions developed by management. The process for estimating the fair values of identifiable intangible assets required the use of significant estimates and assumptions, including estimating future cash flows relating to revenue growth rates, operating margins, discount rates, and technology obsolescence curves. The excess of the purchase price over the fair values of tangible assets, identifiable intangible assets and assumed liabilities were recorded as goodwill for the acquisition. The allocation of the purchase price was finalized as of March 28, 2025, and no material changes have been made to the preliminary purchase price allocation.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4"/>
        </w:trPr>
        <w:tc>
          <w:tcPr>
            <w:tcW w:w="9240" w:type="dxa"/>
            <w:vAlign w:val="bottom"/>
          </w:tcPr>
          <w:p>
            <w:pPr>
              <w:ind w:left="4220"/>
              <w:spacing w:after="0"/>
              <w:rPr>
                <w:sz w:val="20"/>
                <w:szCs w:val="20"/>
                <w:color w:val="auto"/>
              </w:rPr>
            </w:pPr>
            <w:r>
              <w:rPr>
                <w:rFonts w:ascii="Times New Roman" w:cs="Times New Roman" w:eastAsia="Times New Roman" w:hAnsi="Times New Roman"/>
                <w:sz w:val="18"/>
                <w:szCs w:val="18"/>
                <w:b w:val="1"/>
                <w:bCs w:val="1"/>
                <w:color w:val="auto"/>
              </w:rPr>
              <w:t>ALLEGRO MICROSYSTEMS, INC.</w:t>
            </w: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4"/>
        </w:trPr>
        <w:tc>
          <w:tcPr>
            <w:tcW w:w="924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9240" w:type="dxa"/>
            <w:vAlign w:val="bottom"/>
          </w:tcPr>
          <w:p>
            <w:pPr>
              <w:ind w:left="330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tc>
        <w:tc>
          <w:tcPr>
            <w:tcW w:w="7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62"/>
        </w:trPr>
        <w:tc>
          <w:tcPr>
            <w:tcW w:w="9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final purchase price allocation is as follows:</w:t>
            </w: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06"/>
        </w:trPr>
        <w:tc>
          <w:tcPr>
            <w:tcW w:w="9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14"/>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700" w:type="dxa"/>
            <w:vAlign w:val="bottom"/>
            <w:shd w:val="clear" w:color="auto" w:fill="CFF0FC"/>
          </w:tcPr>
          <w:p>
            <w:pPr>
              <w:jc w:val="right"/>
              <w:ind w:right="5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411,772</w:t>
            </w:r>
          </w:p>
        </w:tc>
      </w:tr>
      <w:tr>
        <w:trPr>
          <w:trHeight w:val="21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7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4,155</w:t>
            </w:r>
          </w:p>
        </w:tc>
      </w:tr>
      <w:tr>
        <w:trPr>
          <w:trHeight w:val="214"/>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7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4,208</w:t>
            </w:r>
          </w:p>
        </w:tc>
      </w:tr>
      <w:tr>
        <w:trPr>
          <w:trHeight w:val="21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7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484</w:t>
            </w:r>
          </w:p>
        </w:tc>
      </w:tr>
      <w:tr>
        <w:trPr>
          <w:trHeight w:val="214"/>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2,400</w:t>
            </w:r>
          </w:p>
        </w:tc>
      </w:tr>
      <w:tr>
        <w:trPr>
          <w:trHeight w:val="21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7,606</w:t>
            </w:r>
          </w:p>
        </w:tc>
      </w:tr>
      <w:tr>
        <w:trPr>
          <w:trHeight w:val="214"/>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7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9,770</w:t>
            </w:r>
          </w:p>
        </w:tc>
      </w:tr>
      <w:tr>
        <w:trPr>
          <w:trHeight w:val="21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Completed technology**</w:t>
            </w:r>
          </w:p>
        </w:tc>
        <w:tc>
          <w:tcPr>
            <w:tcW w:w="7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234,000</w:t>
            </w:r>
          </w:p>
        </w:tc>
      </w:tr>
      <w:tr>
        <w:trPr>
          <w:trHeight w:val="214"/>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7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12,000</w:t>
            </w:r>
          </w:p>
        </w:tc>
      </w:tr>
      <w:tr>
        <w:trPr>
          <w:trHeight w:val="21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226</w:t>
            </w:r>
          </w:p>
        </w:tc>
      </w:tr>
      <w:tr>
        <w:trPr>
          <w:trHeight w:val="207"/>
        </w:trPr>
        <w:tc>
          <w:tcPr>
            <w:tcW w:w="9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7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274,849</w:t>
            </w:r>
          </w:p>
        </w:tc>
      </w:tr>
      <w:tr>
        <w:trPr>
          <w:trHeight w:val="21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r>
      <w:tr>
        <w:trPr>
          <w:trHeight w:val="214"/>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w:t>
            </w:r>
          </w:p>
        </w:tc>
      </w:tr>
      <w:tr>
        <w:trPr>
          <w:trHeight w:val="21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7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14"/>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7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(10,390)</w:t>
            </w:r>
          </w:p>
        </w:tc>
      </w:tr>
      <w:tr>
        <w:trPr>
          <w:trHeight w:val="21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7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r>
      <w:tr>
        <w:trPr>
          <w:trHeight w:val="214"/>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7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(15,889)</w:t>
            </w:r>
          </w:p>
        </w:tc>
      </w:tr>
      <w:tr>
        <w:trPr>
          <w:trHeight w:val="207"/>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7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237,156</w:t>
            </w:r>
          </w:p>
        </w:tc>
      </w:tr>
      <w:tr>
        <w:trPr>
          <w:trHeight w:val="247"/>
        </w:trPr>
        <w:tc>
          <w:tcPr>
            <w:tcW w:w="92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Borders>
              <w:bottom w:val="single" w:sz="8" w:color="auto"/>
            </w:tcBorders>
            <w:shd w:val="clear" w:color="auto" w:fill="CFF0FC"/>
          </w:tcPr>
          <w:p>
            <w:pPr>
              <w:jc w:val="right"/>
              <w:ind w:right="5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174,616</w:t>
            </w:r>
          </w:p>
        </w:tc>
      </w:tr>
    </w:tbl>
    <w:p>
      <w:pPr>
        <w:spacing w:after="0" w:line="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Primarily included in Property, plant and equipment, net in the consolidated balance sheets.</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**Included in Intangible assets, net in the consolidated balance sheets.</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***Primarily included in Long-term debt in the consolidated balance sheets.</w:t>
      </w:r>
    </w:p>
    <w:p>
      <w:pPr>
        <w:spacing w:after="0" w:line="111"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The goodwill acquired is not deductible for U.S. income tax purposes. The amortization period for the intangible assets acquired is 12 years for completed technology and 15 years for customer relationships. The intangible assets are amortized using a method that approximates their economic benefit over their estimated useful lives. The goodwill recorded represents the anticipated incremental value of future cash flows potentially attributable to: (i) Crocus’ ability to grow the business with existing and new customers, including leveraging the Company’s customer base; (ii) Crocus’ ability to grow the business through new product introductions; and (iii) cost improvements due to the integration of Crocus’ operations into the Company’s existing infrastructure. Amortization of completed technology is included within cost of goods sold, and customer relationships are included within selling, general and administrative expenses.</w:t>
      </w:r>
    </w:p>
    <w:p>
      <w:pPr>
        <w:spacing w:after="0" w:line="77" w:lineRule="exact"/>
        <w:rPr>
          <w:sz w:val="20"/>
          <w:szCs w:val="20"/>
          <w:color w:val="auto"/>
        </w:rPr>
      </w:pPr>
    </w:p>
    <w:p>
      <w:pPr>
        <w:jc w:val="both"/>
        <w:ind w:right="20" w:firstLine="569"/>
        <w:spacing w:after="0" w:line="278" w:lineRule="auto"/>
        <w:rPr>
          <w:sz w:val="20"/>
          <w:szCs w:val="20"/>
          <w:color w:val="auto"/>
        </w:rPr>
      </w:pPr>
      <w:r>
        <w:rPr>
          <w:rFonts w:ascii="Times New Roman" w:cs="Times New Roman" w:eastAsia="Times New Roman" w:hAnsi="Times New Roman"/>
          <w:sz w:val="18"/>
          <w:szCs w:val="18"/>
          <w:color w:val="auto"/>
        </w:rPr>
        <w:t>The Company has not presented pro forma results of operations for Crocus because they are not material to the Company’s consolidated results of operations, financial position, or cash flows.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116"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Crocus acquisition-related costs were $722 and $8,229 for the fiscal years ended March 28, 2025 and March 29, 2024, respectively, and are included in the selling, general and administrative expenses in the consolidated statements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82" w:name="page83"/>
    <w:bookmarkEnd w:id="8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346" w:lineRule="exact"/>
        <w:rPr>
          <w:sz w:val="20"/>
          <w:szCs w:val="20"/>
          <w:color w:val="auto"/>
        </w:rPr>
      </w:pPr>
    </w:p>
    <w:p>
      <w:pPr>
        <w:ind w:left="580" w:hanging="573"/>
        <w:spacing w:after="0"/>
        <w:tabs>
          <w:tab w:leader="none" w:pos="5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1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following tables summarize net sales disaggregated by market, by product and by geography for the fiscal years ended March 27, 2026, March 28, 2025 and March 29, 2024. The categorization of net sales by market is determined using various characteristics of the product and the application into which the Company’s product will be incorporated. The categorization of net sales by geography is determined based on the location to which the products are shipped.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 by market: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16"/>
        </w:trPr>
        <w:tc>
          <w:tcPr>
            <w:tcW w:w="42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center"/>
              <w:ind w:right="257"/>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center"/>
              <w:ind w:right="237"/>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center"/>
              <w:ind w:right="237"/>
              <w:spacing w:after="0" w:line="116" w:lineRule="exact"/>
              <w:rPr>
                <w:sz w:val="20"/>
                <w:szCs w:val="20"/>
                <w:color w:val="auto"/>
              </w:rPr>
            </w:pPr>
            <w:r>
              <w:rPr>
                <w:rFonts w:ascii="Times New Roman" w:cs="Times New Roman" w:eastAsia="Times New Roman" w:hAnsi="Times New Roman"/>
                <w:sz w:val="13"/>
                <w:szCs w:val="13"/>
                <w:b w:val="1"/>
                <w:bCs w:val="1"/>
                <w:color w:val="auto"/>
              </w:rPr>
              <w:t>March 29,</w:t>
            </w:r>
          </w:p>
        </w:tc>
      </w:tr>
      <w:tr>
        <w:trPr>
          <w:trHeight w:val="172"/>
        </w:trPr>
        <w:tc>
          <w:tcPr>
            <w:tcW w:w="42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7"/>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628,561</w:t>
            </w:r>
          </w:p>
        </w:tc>
        <w:tc>
          <w:tcPr>
            <w:tcW w:w="3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535,205</w:t>
            </w:r>
          </w:p>
        </w:tc>
        <w:tc>
          <w:tcPr>
            <w:tcW w:w="36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759,454</w:t>
            </w:r>
          </w:p>
        </w:tc>
      </w:tr>
      <w:tr>
        <w:trPr>
          <w:trHeight w:val="21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Industrial and other</w:t>
            </w:r>
          </w:p>
        </w:tc>
        <w:tc>
          <w:tcPr>
            <w:tcW w:w="2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261,535</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189,801</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289,913</w:t>
            </w:r>
          </w:p>
        </w:tc>
      </w:tr>
      <w:tr>
        <w:trPr>
          <w:trHeight w:val="247"/>
        </w:trPr>
        <w:tc>
          <w:tcPr>
            <w:tcW w:w="4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6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890,096</w:t>
            </w:r>
          </w:p>
        </w:tc>
        <w:tc>
          <w:tcPr>
            <w:tcW w:w="3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725,006</w:t>
            </w:r>
          </w:p>
        </w:tc>
        <w:tc>
          <w:tcPr>
            <w:tcW w:w="36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1,049,367</w:t>
            </w:r>
          </w:p>
        </w:tc>
      </w:tr>
      <w:tr>
        <w:trPr>
          <w:trHeight w:val="516"/>
        </w:trPr>
        <w:tc>
          <w:tcPr>
            <w:tcW w:w="4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Net sales by product:</w:t>
            </w:r>
          </w:p>
        </w:tc>
        <w:tc>
          <w:tcPr>
            <w:tcW w:w="24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4"/>
        </w:trPr>
        <w:tc>
          <w:tcPr>
            <w:tcW w:w="42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r>
      <w:tr>
        <w:trPr>
          <w:trHeight w:val="116"/>
        </w:trPr>
        <w:tc>
          <w:tcPr>
            <w:tcW w:w="42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center"/>
              <w:ind w:right="257"/>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center"/>
              <w:ind w:right="237"/>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center"/>
              <w:ind w:right="237"/>
              <w:spacing w:after="0" w:line="116" w:lineRule="exact"/>
              <w:rPr>
                <w:sz w:val="20"/>
                <w:szCs w:val="20"/>
                <w:color w:val="auto"/>
              </w:rPr>
            </w:pPr>
            <w:r>
              <w:rPr>
                <w:rFonts w:ascii="Times New Roman" w:cs="Times New Roman" w:eastAsia="Times New Roman" w:hAnsi="Times New Roman"/>
                <w:sz w:val="13"/>
                <w:szCs w:val="13"/>
                <w:b w:val="1"/>
                <w:bCs w:val="1"/>
                <w:color w:val="auto"/>
              </w:rPr>
              <w:t>March 29,</w:t>
            </w:r>
          </w:p>
        </w:tc>
      </w:tr>
      <w:tr>
        <w:trPr>
          <w:trHeight w:val="172"/>
        </w:trPr>
        <w:tc>
          <w:tcPr>
            <w:tcW w:w="42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7"/>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Magnetic sensors</w:t>
            </w:r>
          </w:p>
        </w:tc>
        <w:tc>
          <w:tcPr>
            <w:tcW w:w="26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538,538</w:t>
            </w:r>
          </w:p>
        </w:tc>
        <w:tc>
          <w:tcPr>
            <w:tcW w:w="3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474,557</w:t>
            </w:r>
          </w:p>
        </w:tc>
        <w:tc>
          <w:tcPr>
            <w:tcW w:w="36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649,869</w:t>
            </w:r>
          </w:p>
        </w:tc>
      </w:tr>
      <w:tr>
        <w:trPr>
          <w:trHeight w:val="21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Power integrated circuits</w:t>
            </w:r>
          </w:p>
        </w:tc>
        <w:tc>
          <w:tcPr>
            <w:tcW w:w="2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351,558</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250,449</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399,498</w:t>
            </w:r>
          </w:p>
        </w:tc>
      </w:tr>
      <w:tr>
        <w:trPr>
          <w:trHeight w:val="247"/>
        </w:trPr>
        <w:tc>
          <w:tcPr>
            <w:tcW w:w="4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6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890,096</w:t>
            </w:r>
          </w:p>
        </w:tc>
        <w:tc>
          <w:tcPr>
            <w:tcW w:w="3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725,006</w:t>
            </w:r>
          </w:p>
        </w:tc>
        <w:tc>
          <w:tcPr>
            <w:tcW w:w="36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1,049,367</w:t>
            </w:r>
          </w:p>
        </w:tc>
      </w:tr>
      <w:tr>
        <w:trPr>
          <w:trHeight w:val="422"/>
        </w:trPr>
        <w:tc>
          <w:tcPr>
            <w:tcW w:w="4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Net sales by geography:</w:t>
            </w:r>
          </w:p>
        </w:tc>
        <w:tc>
          <w:tcPr>
            <w:tcW w:w="24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4"/>
        </w:trPr>
        <w:tc>
          <w:tcPr>
            <w:tcW w:w="42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r>
      <w:tr>
        <w:trPr>
          <w:trHeight w:val="116"/>
        </w:trPr>
        <w:tc>
          <w:tcPr>
            <w:tcW w:w="42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center"/>
              <w:ind w:right="257"/>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center"/>
              <w:ind w:right="257"/>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center"/>
              <w:ind w:right="257"/>
              <w:spacing w:after="0" w:line="116" w:lineRule="exact"/>
              <w:rPr>
                <w:sz w:val="20"/>
                <w:szCs w:val="20"/>
                <w:color w:val="auto"/>
              </w:rPr>
            </w:pPr>
            <w:r>
              <w:rPr>
                <w:rFonts w:ascii="Times New Roman" w:cs="Times New Roman" w:eastAsia="Times New Roman" w:hAnsi="Times New Roman"/>
                <w:sz w:val="13"/>
                <w:szCs w:val="13"/>
                <w:b w:val="1"/>
                <w:bCs w:val="1"/>
                <w:color w:val="auto"/>
              </w:rPr>
              <w:t>March 29,</w:t>
            </w:r>
          </w:p>
        </w:tc>
      </w:tr>
      <w:tr>
        <w:trPr>
          <w:trHeight w:val="172"/>
        </w:trPr>
        <w:tc>
          <w:tcPr>
            <w:tcW w:w="42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7"/>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2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4"/>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6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91,412</w:t>
            </w:r>
          </w:p>
        </w:tc>
        <w:tc>
          <w:tcPr>
            <w:tcW w:w="38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92,458</w:t>
            </w:r>
          </w:p>
        </w:tc>
        <w:tc>
          <w:tcPr>
            <w:tcW w:w="3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149,283</w:t>
            </w:r>
          </w:p>
        </w:tc>
      </w:tr>
      <w:tr>
        <w:trPr>
          <w:trHeight w:val="214"/>
        </w:trPr>
        <w:tc>
          <w:tcPr>
            <w:tcW w:w="4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Americas</w:t>
            </w:r>
          </w:p>
        </w:tc>
        <w:tc>
          <w:tcPr>
            <w:tcW w:w="2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41,778</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24,851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32,119</w:t>
            </w:r>
          </w:p>
        </w:tc>
      </w:tr>
      <w:tr>
        <w:trPr>
          <w:trHeight w:val="21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4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2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120,562</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106,726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176,628</w:t>
            </w:r>
          </w:p>
        </w:tc>
      </w:tr>
      <w:tr>
        <w:trPr>
          <w:trHeight w:val="21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Asia:</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4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Greater China</w:t>
            </w:r>
          </w:p>
        </w:tc>
        <w:tc>
          <w:tcPr>
            <w:tcW w:w="2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249,417</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183,033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274,851</w:t>
            </w:r>
          </w:p>
        </w:tc>
      </w:tr>
      <w:tr>
        <w:trPr>
          <w:trHeight w:val="214"/>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150,946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153,842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175,713</w:t>
            </w:r>
          </w:p>
        </w:tc>
      </w:tr>
      <w:tr>
        <w:trPr>
          <w:trHeight w:val="214"/>
        </w:trPr>
        <w:tc>
          <w:tcPr>
            <w:tcW w:w="4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South Korea</w:t>
            </w:r>
          </w:p>
        </w:tc>
        <w:tc>
          <w:tcPr>
            <w:tcW w:w="2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77,976</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73,702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113,877</w:t>
            </w:r>
          </w:p>
        </w:tc>
      </w:tr>
      <w:tr>
        <w:trPr>
          <w:trHeight w:val="214"/>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Asia</w:t>
            </w:r>
          </w:p>
        </w:tc>
        <w:tc>
          <w:tcPr>
            <w:tcW w:w="2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158,005</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90,394</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126,896</w:t>
            </w:r>
          </w:p>
        </w:tc>
      </w:tr>
      <w:tr>
        <w:trPr>
          <w:trHeight w:val="247"/>
        </w:trPr>
        <w:tc>
          <w:tcPr>
            <w:tcW w:w="42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4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890,096</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725,006</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1,049,367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-3345180</wp:posOffset>
            </wp:positionV>
            <wp:extent cx="1016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9">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-3328670</wp:posOffset>
            </wp:positionV>
            <wp:extent cx="1016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-3345180</wp:posOffset>
            </wp:positionV>
            <wp:extent cx="933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1">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-3328670</wp:posOffset>
            </wp:positionV>
            <wp:extent cx="933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2">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-2199005</wp:posOffset>
            </wp:positionV>
            <wp:extent cx="1016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3">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-2181860</wp:posOffset>
            </wp:positionV>
            <wp:extent cx="1016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4">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-2199005</wp:posOffset>
            </wp:positionV>
            <wp:extent cx="9334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5">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-2181860</wp:posOffset>
            </wp:positionV>
            <wp:extent cx="933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6">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1016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7">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1016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8">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933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9">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933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93345" cy="8255"/>
                    </a:xfrm>
                    <a:prstGeom prst="rect">
                      <a:avLst/>
                    </a:prstGeom>
                    <a:noFill/>
                  </pic:spPr>
                </pic:pic>
              </a:graphicData>
            </a:graphic>
          </wp:anchor>
        </w:drawing>
      </w:r>
    </w:p>
    <w:p>
      <w:pPr>
        <w:spacing w:after="0" w:line="82"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The Company recognizes sales net of returns and sales allowances, which include credits issued, price protection adjustments and stock rotation rights. As of March 27, 2026 and March 28, 2025, the obligation associated with returns and sales allowances, was $48,616 and $33,855, respectively, and was netted against trade accounts receivable in the consolidated balance sheets.</w:t>
      </w:r>
    </w:p>
    <w:p>
      <w:pPr>
        <w:spacing w:after="0" w:line="68"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Unsatisfied performance obligations primarily represent contracts for products with future delivery dates. The Company elected not to disclose the amount of unsatisfied performance obligations as these contracts have original expected durations of less than one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83" w:name="page84"/>
    <w:bookmarkEnd w:id="8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346" w:lineRule="exact"/>
        <w:rPr>
          <w:sz w:val="20"/>
          <w:szCs w:val="20"/>
          <w:color w:val="auto"/>
        </w:rPr>
      </w:pPr>
    </w:p>
    <w:p>
      <w:pPr>
        <w:ind w:left="580" w:hanging="573"/>
        <w:spacing w:after="0"/>
        <w:tabs>
          <w:tab w:leader="none" w:pos="5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as of March 27, 2026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2025 measured at fair value on a recurring basis: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 at March 27, 2026:</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40"/>
        </w:trPr>
        <w:tc>
          <w:tcPr>
            <w:tcW w:w="58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5"/>
              <w:spacing w:after="0" w:line="141"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120"/>
              <w:spacing w:after="0" w:line="14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95"/>
              <w:spacing w:after="0" w:line="14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5"/>
              <w:spacing w:after="0" w:line="141"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4"/>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4"/>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Money market fund deposits</w:t>
            </w: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42,173</w:t>
            </w:r>
          </w:p>
        </w:tc>
        <w:tc>
          <w:tcPr>
            <w:tcW w:w="36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42,173</w:t>
            </w:r>
          </w:p>
        </w:tc>
      </w:tr>
      <w:tr>
        <w:trPr>
          <w:trHeight w:val="214"/>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4"/>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Money market fund deposits</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6,604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6,604</w:t>
            </w:r>
          </w:p>
        </w:tc>
      </w:tr>
      <w:tr>
        <w:trPr>
          <w:trHeight w:val="214"/>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4"/>
        </w:trPr>
        <w:tc>
          <w:tcPr>
            <w:tcW w:w="5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Investment in debt security</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3,477</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3,477</w:t>
            </w:r>
          </w:p>
        </w:tc>
      </w:tr>
      <w:tr>
        <w:trPr>
          <w:trHeight w:val="207"/>
        </w:trPr>
        <w:tc>
          <w:tcPr>
            <w:tcW w:w="5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48,777</w:t>
            </w:r>
          </w:p>
        </w:tc>
        <w:tc>
          <w:tcPr>
            <w:tcW w:w="140" w:type="dxa"/>
            <w:vAlign w:val="bottom"/>
          </w:tcPr>
          <w:p>
            <w:pPr>
              <w:spacing w:after="0"/>
              <w:rPr>
                <w:sz w:val="18"/>
                <w:szCs w:val="18"/>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3,477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52,254</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475"/>
        </w:trPr>
        <w:tc>
          <w:tcPr>
            <w:tcW w:w="5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 at March 28, 2025:</w:t>
            </w: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40"/>
        </w:trPr>
        <w:tc>
          <w:tcPr>
            <w:tcW w:w="58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5"/>
              <w:spacing w:after="0" w:line="141"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120"/>
              <w:spacing w:after="0" w:line="14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95"/>
              <w:spacing w:after="0" w:line="14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5"/>
              <w:spacing w:after="0" w:line="141"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4"/>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4"/>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Money market fund deposits</w:t>
            </w: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30,814</w:t>
            </w:r>
          </w:p>
        </w:tc>
        <w:tc>
          <w:tcPr>
            <w:tcW w:w="36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30,814</w:t>
            </w:r>
          </w:p>
        </w:tc>
      </w:tr>
      <w:tr>
        <w:trPr>
          <w:trHeight w:val="214"/>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4"/>
        </w:trPr>
        <w:tc>
          <w:tcPr>
            <w:tcW w:w="5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Money market fund deposits</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9,773</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9,773</w:t>
            </w:r>
          </w:p>
        </w:tc>
      </w:tr>
      <w:tr>
        <w:trPr>
          <w:trHeight w:val="207"/>
        </w:trPr>
        <w:tc>
          <w:tcPr>
            <w:tcW w:w="58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40,587</w:t>
            </w:r>
          </w:p>
        </w:tc>
        <w:tc>
          <w:tcPr>
            <w:tcW w:w="3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40,587</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-1443355</wp:posOffset>
            </wp:positionV>
            <wp:extent cx="850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2">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-1443355</wp:posOffset>
            </wp:positionV>
            <wp:extent cx="850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3">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-1443355</wp:posOffset>
            </wp:positionV>
            <wp:extent cx="850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4">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-168910</wp:posOffset>
            </wp:positionV>
            <wp:extent cx="850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5">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-168910</wp:posOffset>
            </wp:positionV>
            <wp:extent cx="850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6">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-168910</wp:posOffset>
            </wp:positionV>
            <wp:extent cx="850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7">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176"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Financial assets measured at fair value on a recurring basis also consist of assets within the Company’s non-U.S. defined benefit plan assets. Fair value information for those assets, including their classification in the fair value hierarchy, is included in Note 15, “Retirement Plans.”</w:t>
      </w:r>
    </w:p>
    <w:p>
      <w:pPr>
        <w:spacing w:after="0" w:line="55"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During the fiscal years ended March 27, 2026, March 28, 2025 and March 29, 2024, there were no transfers of financial assets or liabilities between Level 1, Level 2 and Level 3.</w:t>
      </w:r>
    </w:p>
    <w:p>
      <w:pPr>
        <w:spacing w:after="0" w:line="55"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As of March 27, 2026 and March 28, 2025, the fair value of the Company’s long-term debt was $283,575 and $343,275, respectively. The fair value was determined based on the quoted price of the debt in an inactive market on the last trading date of the reporting period, and has been classified as Level 2 within the fair value hierarchy.</w:t>
      </w:r>
    </w:p>
    <w:p>
      <w:pPr>
        <w:spacing w:after="0" w:line="68"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As of March 27, 2026, the Company held an investment in debt security with a fair value of $3,477, which is classified as Level 3 within the fair value hierarchy. Given the immateriality of this investment to the Company’s consolidated financial position and results of operations, the quantitative disclosure of significant unobservable inputs otherwise required are not presented.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84" w:name="page85"/>
    <w:bookmarkEnd w:id="8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60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Trade Accounts Receivable, Net</w:t>
            </w: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21"/>
        </w:trPr>
        <w:tc>
          <w:tcPr>
            <w:tcW w:w="140" w:type="dxa"/>
            <w:vAlign w:val="bottom"/>
          </w:tcPr>
          <w:p>
            <w:pPr>
              <w:spacing w:after="0"/>
              <w:rPr>
                <w:sz w:val="24"/>
                <w:szCs w:val="24"/>
                <w:color w:val="auto"/>
              </w:rPr>
            </w:pPr>
          </w:p>
        </w:tc>
        <w:tc>
          <w:tcPr>
            <w:tcW w:w="6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Trade accounts receivable, net consisted of the following:</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9"/>
        </w:trPr>
        <w:tc>
          <w:tcPr>
            <w:tcW w:w="14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March 28,</w:t>
            </w:r>
          </w:p>
        </w:tc>
      </w:tr>
      <w:tr>
        <w:trPr>
          <w:trHeight w:val="172"/>
        </w:trPr>
        <w:tc>
          <w:tcPr>
            <w:tcW w:w="1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7"/>
        </w:trPr>
        <w:tc>
          <w:tcPr>
            <w:tcW w:w="6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141,864</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119,071</w:t>
            </w:r>
          </w:p>
        </w:tc>
      </w:tr>
      <w:tr>
        <w:trPr>
          <w:trHeight w:val="214"/>
        </w:trPr>
        <w:tc>
          <w:tcPr>
            <w:tcW w:w="14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4"/>
        </w:trPr>
        <w:tc>
          <w:tcPr>
            <w:tcW w:w="140" w:type="dxa"/>
            <w:vAlign w:val="bottom"/>
            <w:shd w:val="clear" w:color="auto" w:fill="CFF0FC"/>
          </w:tcPr>
          <w:p>
            <w:pPr>
              <w:spacing w:after="0"/>
              <w:rPr>
                <w:sz w:val="18"/>
                <w:szCs w:val="18"/>
                <w:color w:val="auto"/>
              </w:rPr>
            </w:pPr>
          </w:p>
        </w:tc>
        <w:tc>
          <w:tcPr>
            <w:tcW w:w="6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14"/>
        </w:trPr>
        <w:tc>
          <w:tcPr>
            <w:tcW w:w="140" w:type="dxa"/>
            <w:vAlign w:val="bottom"/>
          </w:tcPr>
          <w:p>
            <w:pPr>
              <w:spacing w:after="0"/>
              <w:rPr>
                <w:sz w:val="18"/>
                <w:szCs w:val="18"/>
                <w:color w:val="auto"/>
              </w:rPr>
            </w:pPr>
          </w:p>
        </w:tc>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Returns and sales allowances</w:t>
            </w:r>
          </w:p>
        </w:tc>
        <w:tc>
          <w:tcPr>
            <w:tcW w:w="1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(48,616)</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(33,855)</w:t>
            </w:r>
          </w:p>
        </w:tc>
      </w:tr>
      <w:tr>
        <w:trPr>
          <w:trHeight w:val="227"/>
        </w:trPr>
        <w:tc>
          <w:tcPr>
            <w:tcW w:w="140" w:type="dxa"/>
            <w:vAlign w:val="bottom"/>
            <w:shd w:val="clear" w:color="auto" w:fill="CFF0FC"/>
          </w:tcPr>
          <w:p>
            <w:pPr>
              <w:spacing w:after="0"/>
              <w:rPr>
                <w:sz w:val="19"/>
                <w:szCs w:val="19"/>
                <w:color w:val="auto"/>
              </w:rPr>
            </w:pPr>
          </w:p>
        </w:tc>
        <w:tc>
          <w:tcPr>
            <w:tcW w:w="6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93,248</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84,598</w:t>
            </w:r>
          </w:p>
        </w:tc>
      </w:tr>
      <w:tr>
        <w:trPr>
          <w:trHeight w:val="20"/>
        </w:trPr>
        <w:tc>
          <w:tcPr>
            <w:tcW w:w="140" w:type="dxa"/>
            <w:vAlign w:val="bottom"/>
            <w:tcBorders>
              <w:top w:val="single" w:sz="8" w:color="CFF0FC"/>
            </w:tcBorders>
            <w:shd w:val="clear" w:color="auto" w:fill="CFF0FC"/>
          </w:tcPr>
          <w:p>
            <w:pPr>
              <w:spacing w:after="0" w:line="20" w:lineRule="exact"/>
              <w:rPr>
                <w:sz w:val="1"/>
                <w:szCs w:val="1"/>
                <w:color w:val="auto"/>
              </w:rPr>
            </w:pPr>
          </w:p>
        </w:tc>
        <w:tc>
          <w:tcPr>
            <w:tcW w:w="608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5965825</wp:posOffset>
            </wp:positionH>
            <wp:positionV relativeFrom="paragraph">
              <wp:posOffset>-24765</wp:posOffset>
            </wp:positionV>
            <wp:extent cx="1104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9">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-7620</wp:posOffset>
            </wp:positionV>
            <wp:extent cx="1104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0">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change in the provision for expected credit losses was not material for the periods presented.</w:t>
      </w:r>
    </w:p>
    <w:p>
      <w:pPr>
        <w:spacing w:after="0" w:line="217" w:lineRule="exact"/>
        <w:rPr>
          <w:sz w:val="20"/>
          <w:szCs w:val="20"/>
          <w:color w:val="auto"/>
        </w:rPr>
      </w:pPr>
    </w:p>
    <w:p>
      <w:pPr>
        <w:ind w:left="580" w:hanging="573"/>
        <w:spacing w:after="0"/>
        <w:tabs>
          <w:tab w:leader="none" w:pos="5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17"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include materials, labor and overhead and consisted of the following: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March 28,</w:t>
            </w:r>
          </w:p>
        </w:tc>
      </w:tr>
      <w:tr>
        <w:trPr>
          <w:trHeight w:val="172"/>
        </w:trPr>
        <w:tc>
          <w:tcPr>
            <w:tcW w:w="7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10,323</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7,354</w:t>
            </w:r>
          </w:p>
        </w:tc>
      </w:tr>
      <w:tr>
        <w:trPr>
          <w:trHeight w:val="21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8"/>
                <w:szCs w:val="18"/>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133,585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127,651</w:t>
            </w:r>
          </w:p>
        </w:tc>
      </w:tr>
      <w:tr>
        <w:trPr>
          <w:trHeight w:val="214"/>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37,844</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48,909</w:t>
            </w:r>
          </w:p>
        </w:tc>
      </w:tr>
      <w:tr>
        <w:trPr>
          <w:trHeight w:val="207"/>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181,752</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183,914</w:t>
            </w: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5965825</wp:posOffset>
            </wp:positionH>
            <wp:positionV relativeFrom="paragraph">
              <wp:posOffset>-168910</wp:posOffset>
            </wp:positionV>
            <wp:extent cx="1104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1">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69"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The Company recorded inventory provisions totaling $8,426, $8,537 and $9,055 for the fiscal years ended March 27, 2026, March 28, 2025 and March 29, 2024,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85" w:name="page86"/>
    <w:bookmarkEnd w:id="8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346" w:lineRule="exact"/>
        <w:rPr>
          <w:sz w:val="20"/>
          <w:szCs w:val="20"/>
          <w:color w:val="auto"/>
        </w:rPr>
      </w:pPr>
    </w:p>
    <w:p>
      <w:pPr>
        <w:ind w:left="580" w:hanging="573"/>
        <w:spacing w:after="0"/>
        <w:tabs>
          <w:tab w:leader="none" w:pos="5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 Net</w:t>
      </w:r>
    </w:p>
    <w:p>
      <w:pPr>
        <w:spacing w:after="0" w:line="117"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net is stated at cost, and consisted of the following: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March 28,</w:t>
            </w:r>
          </w:p>
        </w:tc>
      </w:tr>
      <w:tr>
        <w:trPr>
          <w:trHeight w:val="172"/>
        </w:trPr>
        <w:tc>
          <w:tcPr>
            <w:tcW w:w="6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26,549</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25,175</w:t>
            </w:r>
          </w:p>
        </w:tc>
      </w:tr>
      <w:tr>
        <w:trPr>
          <w:trHeight w:val="21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Buildings, building improvements and leasehold improvements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63,929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66,258</w:t>
            </w:r>
          </w:p>
        </w:tc>
      </w:tr>
      <w:tr>
        <w:trPr>
          <w:trHeight w:val="214"/>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710,678</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670,902</w:t>
            </w:r>
          </w:p>
        </w:tc>
      </w:tr>
      <w:tr>
        <w:trPr>
          <w:trHeight w:val="21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7,243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6,677</w:t>
            </w:r>
          </w:p>
        </w:tc>
      </w:tr>
      <w:tr>
        <w:trPr>
          <w:trHeight w:val="214"/>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8,797</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8,182</w:t>
            </w:r>
          </w:p>
        </w:tc>
      </w:tr>
      <w:tr>
        <w:trPr>
          <w:trHeight w:val="21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51,910</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51,580</w:t>
            </w:r>
          </w:p>
        </w:tc>
      </w:tr>
      <w:tr>
        <w:trPr>
          <w:trHeight w:val="207"/>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869,106</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828,774</w:t>
            </w:r>
          </w:p>
        </w:tc>
      </w:tr>
      <w:tr>
        <w:trPr>
          <w:trHeight w:val="21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(560,848)</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(525,855)</w:t>
            </w:r>
          </w:p>
        </w:tc>
      </w:tr>
      <w:tr>
        <w:trPr>
          <w:trHeight w:val="227"/>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308,258</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302,919</w:t>
            </w: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5965825</wp:posOffset>
            </wp:positionH>
            <wp:positionV relativeFrom="paragraph">
              <wp:posOffset>-24765</wp:posOffset>
            </wp:positionV>
            <wp:extent cx="1104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3">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-7620</wp:posOffset>
            </wp:positionV>
            <wp:extent cx="1104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4">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176"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Total depreciation expense amounted to $39,337, $37,447 and $56,214 for the fiscal years ended March 27, 2026, March 28, 2025 and March 29, 2024, respectively. Total amortization expense for the finance lease right-of-use asset, amounted to $1,392, $1,397 and $581 for the fiscal years ended March 27, 2026, March 28, 2025 and March 29, 2024, respectively.</w:t>
      </w:r>
    </w:p>
    <w:p>
      <w:pPr>
        <w:spacing w:after="0" w:line="68"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The Company continues to expand and optimize its global manufacturing capacities, such as by its expansion of operations at its Philippines location, and its acquisition of Crocus. Through its expansion efforts, newly acquired machinery and equipment and continuous maintenance and evaluation of on-hand equipment, the Company recognized advancements in equipment quality indicating increased estimated useful lives. During the first quarter of fiscal year 2025, following periodic review of the estimated useful lives of long-lived assets, the Company determined that the useful lives of its machinery and equipment should be increased. Effective March 30, 2024, the Company increased the useful lives of a significant portion of its machinery and equipment from seven years to ten years. For the fiscal year ended March 27, 2026, these changes decreased depreciation expense by $14,944, decreased the benefit for income taxes by $3,138 and decreased net loss by $11,806, or $0.06 per share.</w:t>
      </w:r>
    </w:p>
    <w:p>
      <w:pPr>
        <w:spacing w:after="0" w:line="77" w:lineRule="exact"/>
        <w:rPr>
          <w:sz w:val="20"/>
          <w:szCs w:val="20"/>
          <w:color w:val="auto"/>
        </w:rPr>
      </w:pPr>
    </w:p>
    <w:p>
      <w:pPr>
        <w:jc w:val="both"/>
        <w:ind w:right="20" w:firstLine="569"/>
        <w:spacing w:after="0" w:line="278" w:lineRule="auto"/>
        <w:rPr>
          <w:sz w:val="20"/>
          <w:szCs w:val="20"/>
          <w:color w:val="auto"/>
        </w:rPr>
      </w:pPr>
      <w:r>
        <w:rPr>
          <w:rFonts w:ascii="Times New Roman" w:cs="Times New Roman" w:eastAsia="Times New Roman" w:hAnsi="Times New Roman"/>
          <w:sz w:val="18"/>
          <w:szCs w:val="18"/>
          <w:color w:val="auto"/>
        </w:rPr>
        <w:t>The geographic locations of the Company’s property, plant and equipment, net, which includes the finance lease right-of-use asset, based on physical location of the assets, and as of March 27, 2026 and March 28, 2025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March 28,</w:t>
            </w:r>
          </w:p>
        </w:tc>
      </w:tr>
      <w:tr>
        <w:trPr>
          <w:trHeight w:val="172"/>
        </w:trPr>
        <w:tc>
          <w:tcPr>
            <w:tcW w:w="7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37,593</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35,301</w:t>
            </w:r>
          </w:p>
        </w:tc>
      </w:tr>
      <w:tr>
        <w:trPr>
          <w:trHeight w:val="21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Philippines</w:t>
            </w:r>
          </w:p>
        </w:tc>
        <w:tc>
          <w:tcPr>
            <w:tcW w:w="280" w:type="dxa"/>
            <w:vAlign w:val="bottom"/>
          </w:tcPr>
          <w:p>
            <w:pPr>
              <w:spacing w:after="0"/>
              <w:rPr>
                <w:sz w:val="18"/>
                <w:szCs w:val="18"/>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228,664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227,038</w:t>
            </w:r>
          </w:p>
        </w:tc>
      </w:tr>
      <w:tr>
        <w:trPr>
          <w:trHeight w:val="214"/>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42,001</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40,580</w:t>
            </w:r>
          </w:p>
        </w:tc>
      </w:tr>
      <w:tr>
        <w:trPr>
          <w:trHeight w:val="207"/>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308,258</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302,919</w:t>
            </w: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5965825</wp:posOffset>
            </wp:positionH>
            <wp:positionV relativeFrom="paragraph">
              <wp:posOffset>-168910</wp:posOffset>
            </wp:positionV>
            <wp:extent cx="1104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5">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69"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During the year ended March 28, 2025, the Company classified various units of machinery and equipment as held for sale, as management approved a plan in the fourth quarter of fiscal year 2025 to market these assets to third-party buyers. The planned disposal of these assets did not constitute a strategic shift in the Company’s operations and therefore did not meet the discontinued operations criteria. These assets were intended to be sold within one year of their designation as held for sale. Assets held for sale are measured at the lower of carrying value or the fair value less cost. As of March 27, 2026, no assets met the criteria of held for sale, and as of March 28, 2025, the value of these assets were measured at $16,508.</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86" w:name="page87"/>
    <w:bookmarkEnd w:id="8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36"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As of March 27, 2026, management identified various assets that no longer meet the held for sale classification criteria as management no longer has the intent to sell the assets as it was determined the assets would be needed to support production activities. Following the change in circumstances, assets no longer meeting the held for sale criteria were reclassified as held and used. These assets were measured at their unadjusted carrying value, less the cumulative depreciation that would have been recorded had the asset never been classified as held for sale. The total unadjusted carrying value of assets identified as no longer meeting the held for sale criteria was $9,751. The depreciation adjustment to the unadjusted carrying amount was immaterial.</w:t>
      </w:r>
    </w:p>
    <w:p>
      <w:pPr>
        <w:spacing w:after="0" w:line="77"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As of March 27, 2026, the carrying value of the assets classified as held for sale was determined to be greater than their fair value, less costs to sell and, accordingly, the Company recorded a $6,590 impairment on assets held. The impairment charge was recorded to income from continuing operations and is separately disclosed in the Company’s consolidated statement of operations.</w:t>
      </w:r>
    </w:p>
    <w:p>
      <w:pPr>
        <w:spacing w:after="0" w:line="171" w:lineRule="exact"/>
        <w:rPr>
          <w:sz w:val="20"/>
          <w:szCs w:val="20"/>
          <w:color w:val="auto"/>
        </w:rPr>
      </w:pPr>
    </w:p>
    <w:p>
      <w:pPr>
        <w:ind w:left="580" w:hanging="573"/>
        <w:spacing w:after="0"/>
        <w:tabs>
          <w:tab w:leader="none" w:pos="5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17"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table below summarizes the changes in the carrying amount of goodwill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5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29, 2024</w:t>
            </w: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202,425</w:t>
            </w:r>
          </w:p>
        </w:tc>
        <w:tc>
          <w:tcPr>
            <w:tcW w:w="0" w:type="dxa"/>
            <w:vAlign w:val="bottom"/>
          </w:tcPr>
          <w:p>
            <w:pPr>
              <w:spacing w:after="0"/>
              <w:rPr>
                <w:sz w:val="1"/>
                <w:szCs w:val="1"/>
                <w:color w:val="auto"/>
              </w:rPr>
            </w:pPr>
          </w:p>
        </w:tc>
      </w:tr>
      <w:tr>
        <w:trPr>
          <w:trHeight w:val="214"/>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4"/>
        </w:trPr>
        <w:tc>
          <w:tcPr>
            <w:tcW w:w="54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8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7"/>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March 28, 2025</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5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202,475</w:t>
            </w:r>
          </w:p>
        </w:tc>
        <w:tc>
          <w:tcPr>
            <w:tcW w:w="0" w:type="dxa"/>
            <w:vAlign w:val="bottom"/>
          </w:tcPr>
          <w:p>
            <w:pPr>
              <w:spacing w:after="0"/>
              <w:rPr>
                <w:sz w:val="1"/>
                <w:szCs w:val="1"/>
                <w:color w:val="auto"/>
              </w:rPr>
            </w:pPr>
          </w:p>
        </w:tc>
      </w:tr>
      <w:tr>
        <w:trPr>
          <w:trHeight w:val="214"/>
        </w:trPr>
        <w:tc>
          <w:tcPr>
            <w:tcW w:w="54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8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07"/>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March 27, 2026</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203,291</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Intangible assets, net were as follows:</w:t>
            </w: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4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280" w:type="dxa"/>
            <w:vAlign w:val="bottom"/>
            <w:vMerge w:val="restart"/>
          </w:tcPr>
          <w:p>
            <w:pPr>
              <w:ind w:left="2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vMerge w:val="restart"/>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tcPr>
          <w:p>
            <w:pPr>
              <w:jc w:val="center"/>
              <w:ind w:right="299"/>
              <w:spacing w:after="0" w:line="11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tcPr>
          <w:p>
            <w:pPr>
              <w:jc w:val="center"/>
              <w:ind w:right="295"/>
              <w:spacing w:after="0" w:line="116"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2"/>
        </w:trPr>
        <w:tc>
          <w:tcPr>
            <w:tcW w:w="52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7"/>
        </w:trPr>
        <w:tc>
          <w:tcPr>
            <w:tcW w:w="5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w:t>
            </w:r>
          </w:p>
        </w:tc>
        <w:tc>
          <w:tcPr>
            <w:tcW w:w="38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53,126</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(30,009)</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23,117</w:t>
            </w:r>
          </w:p>
        </w:tc>
        <w:tc>
          <w:tcPr>
            <w:tcW w:w="0" w:type="dxa"/>
            <w:vAlign w:val="bottom"/>
          </w:tcPr>
          <w:p>
            <w:pPr>
              <w:spacing w:after="0"/>
              <w:rPr>
                <w:sz w:val="1"/>
                <w:szCs w:val="1"/>
                <w:color w:val="auto"/>
              </w:rPr>
            </w:pPr>
          </w:p>
        </w:tc>
      </w:tr>
      <w:tr>
        <w:trPr>
          <w:trHeight w:val="21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80" w:type="dxa"/>
            <w:vAlign w:val="bottom"/>
          </w:tcPr>
          <w:p>
            <w:pPr>
              <w:spacing w:after="0"/>
              <w:rPr>
                <w:sz w:val="18"/>
                <w:szCs w:val="18"/>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15,187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10,062</w:t>
            </w:r>
          </w:p>
        </w:tc>
        <w:tc>
          <w:tcPr>
            <w:tcW w:w="0" w:type="dxa"/>
            <w:vAlign w:val="bottom"/>
          </w:tcPr>
          <w:p>
            <w:pPr>
              <w:spacing w:after="0"/>
              <w:rPr>
                <w:sz w:val="1"/>
                <w:szCs w:val="1"/>
                <w:color w:val="auto"/>
              </w:rPr>
            </w:pPr>
          </w:p>
        </w:tc>
      </w:tr>
      <w:tr>
        <w:trPr>
          <w:trHeight w:val="214"/>
        </w:trPr>
        <w:tc>
          <w:tcPr>
            <w:tcW w:w="5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Completed technologies</w:t>
            </w: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255,618</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(52,391)</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203,227</w:t>
            </w:r>
          </w:p>
        </w:tc>
        <w:tc>
          <w:tcPr>
            <w:tcW w:w="0" w:type="dxa"/>
            <w:vAlign w:val="bottom"/>
          </w:tcPr>
          <w:p>
            <w:pPr>
              <w:spacing w:after="0"/>
              <w:rPr>
                <w:sz w:val="1"/>
                <w:szCs w:val="1"/>
                <w:color w:val="auto"/>
              </w:rPr>
            </w:pPr>
          </w:p>
        </w:tc>
      </w:tr>
      <w:tr>
        <w:trPr>
          <w:trHeight w:val="21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Indefinite-lived process technology and trademarks</w:t>
            </w:r>
          </w:p>
        </w:tc>
        <w:tc>
          <w:tcPr>
            <w:tcW w:w="380" w:type="dxa"/>
            <w:vAlign w:val="bottom"/>
          </w:tcPr>
          <w:p>
            <w:pPr>
              <w:spacing w:after="0"/>
              <w:rPr>
                <w:sz w:val="18"/>
                <w:szCs w:val="18"/>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2,269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14"/>
        </w:trPr>
        <w:tc>
          <w:tcPr>
            <w:tcW w:w="54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 and other</w:t>
            </w:r>
          </w:p>
        </w:tc>
        <w:tc>
          <w:tcPr>
            <w:tcW w:w="3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5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326,293</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(87,618)</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238,675</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280" w:type="dxa"/>
            <w:vAlign w:val="bottom"/>
            <w:vMerge w:val="restart"/>
          </w:tcPr>
          <w:p>
            <w:pPr>
              <w:ind w:left="2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vMerge w:val="restart"/>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tcPr>
          <w:p>
            <w:pPr>
              <w:jc w:val="center"/>
              <w:ind w:right="299"/>
              <w:spacing w:after="0" w:line="11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tcPr>
          <w:p>
            <w:pPr>
              <w:jc w:val="center"/>
              <w:ind w:right="295"/>
              <w:spacing w:after="0" w:line="116"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2"/>
        </w:trPr>
        <w:tc>
          <w:tcPr>
            <w:tcW w:w="52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7"/>
        </w:trPr>
        <w:tc>
          <w:tcPr>
            <w:tcW w:w="5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w:t>
            </w:r>
          </w:p>
        </w:tc>
        <w:tc>
          <w:tcPr>
            <w:tcW w:w="38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49,749</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(25,710)</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24,039</w:t>
            </w:r>
          </w:p>
        </w:tc>
        <w:tc>
          <w:tcPr>
            <w:tcW w:w="0" w:type="dxa"/>
            <w:vAlign w:val="bottom"/>
          </w:tcPr>
          <w:p>
            <w:pPr>
              <w:spacing w:after="0"/>
              <w:rPr>
                <w:sz w:val="1"/>
                <w:szCs w:val="1"/>
                <w:color w:val="auto"/>
              </w:rPr>
            </w:pPr>
          </w:p>
        </w:tc>
      </w:tr>
      <w:tr>
        <w:trPr>
          <w:trHeight w:val="21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80" w:type="dxa"/>
            <w:vAlign w:val="bottom"/>
          </w:tcPr>
          <w:p>
            <w:pPr>
              <w:spacing w:after="0"/>
              <w:rPr>
                <w:sz w:val="18"/>
                <w:szCs w:val="18"/>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14,964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10,862</w:t>
            </w:r>
          </w:p>
        </w:tc>
        <w:tc>
          <w:tcPr>
            <w:tcW w:w="0" w:type="dxa"/>
            <w:vAlign w:val="bottom"/>
          </w:tcPr>
          <w:p>
            <w:pPr>
              <w:spacing w:after="0"/>
              <w:rPr>
                <w:sz w:val="1"/>
                <w:szCs w:val="1"/>
                <w:color w:val="auto"/>
              </w:rPr>
            </w:pPr>
          </w:p>
        </w:tc>
      </w:tr>
      <w:tr>
        <w:trPr>
          <w:trHeight w:val="214"/>
        </w:trPr>
        <w:tc>
          <w:tcPr>
            <w:tcW w:w="5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Completed technologies</w:t>
            </w: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255,588</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(30,648)</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224,940</w:t>
            </w:r>
          </w:p>
        </w:tc>
        <w:tc>
          <w:tcPr>
            <w:tcW w:w="0" w:type="dxa"/>
            <w:vAlign w:val="bottom"/>
          </w:tcPr>
          <w:p>
            <w:pPr>
              <w:spacing w:after="0"/>
              <w:rPr>
                <w:sz w:val="1"/>
                <w:szCs w:val="1"/>
                <w:color w:val="auto"/>
              </w:rPr>
            </w:pPr>
          </w:p>
        </w:tc>
      </w:tr>
      <w:tr>
        <w:trPr>
          <w:trHeight w:val="21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Indefinite-lived process technology and trademarks</w:t>
            </w:r>
          </w:p>
        </w:tc>
        <w:tc>
          <w:tcPr>
            <w:tcW w:w="380" w:type="dxa"/>
            <w:vAlign w:val="bottom"/>
          </w:tcPr>
          <w:p>
            <w:pPr>
              <w:spacing w:after="0"/>
              <w:rPr>
                <w:sz w:val="18"/>
                <w:szCs w:val="18"/>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2,274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2,274</w:t>
            </w:r>
          </w:p>
        </w:tc>
        <w:tc>
          <w:tcPr>
            <w:tcW w:w="0" w:type="dxa"/>
            <w:vAlign w:val="bottom"/>
          </w:tcPr>
          <w:p>
            <w:pPr>
              <w:spacing w:after="0"/>
              <w:rPr>
                <w:sz w:val="1"/>
                <w:szCs w:val="1"/>
                <w:color w:val="auto"/>
              </w:rPr>
            </w:pPr>
          </w:p>
        </w:tc>
      </w:tr>
      <w:tr>
        <w:trPr>
          <w:trHeight w:val="214"/>
        </w:trPr>
        <w:tc>
          <w:tcPr>
            <w:tcW w:w="54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 and other</w:t>
            </w:r>
          </w:p>
        </w:tc>
        <w:tc>
          <w:tcPr>
            <w:tcW w:w="3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5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322,661</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(60,546)</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262,115</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4607560</wp:posOffset>
            </wp:positionH>
            <wp:positionV relativeFrom="paragraph">
              <wp:posOffset>-1612900</wp:posOffset>
            </wp:positionV>
            <wp:extent cx="11874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7">
                      <a:extLst>
                        <a:ext uri="{28A0092B-C50C-407E-A947-70E740481C1C}"/>
                      </a:extLst>
                    </a:blip>
                    <a:srcRect/>
                    <a:stretch>
                      <a:fillRect/>
                    </a:stretch>
                  </pic:blipFill>
                  <pic:spPr bwMode="auto">
                    <a:xfrm>
                      <a:off x="0" y="0"/>
                      <a:ext cx="118745" cy="825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-1612900</wp:posOffset>
            </wp:positionV>
            <wp:extent cx="11874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8">
                      <a:extLst>
                        <a:ext uri="{28A0092B-C50C-407E-A947-70E740481C1C}"/>
                      </a:extLst>
                    </a:blip>
                    <a:srcRect/>
                    <a:stretch>
                      <a:fillRect/>
                    </a:stretch>
                  </pic:blipFill>
                  <pic:spPr bwMode="auto">
                    <a:xfrm>
                      <a:off x="0" y="0"/>
                      <a:ext cx="118745" cy="825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-168910</wp:posOffset>
            </wp:positionV>
            <wp:extent cx="1187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9">
                      <a:extLst>
                        <a:ext uri="{28A0092B-C50C-407E-A947-70E740481C1C}"/>
                      </a:extLst>
                    </a:blip>
                    <a:srcRect/>
                    <a:stretch>
                      <a:fillRect/>
                    </a:stretch>
                  </pic:blipFill>
                  <pic:spPr bwMode="auto">
                    <a:xfrm>
                      <a:off x="0" y="0"/>
                      <a:ext cx="118745" cy="825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-168910</wp:posOffset>
            </wp:positionV>
            <wp:extent cx="1187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0">
                      <a:extLst>
                        <a:ext uri="{28A0092B-C50C-407E-A947-70E740481C1C}"/>
                      </a:extLst>
                    </a:blip>
                    <a:srcRect/>
                    <a:stretch>
                      <a:fillRect/>
                    </a:stretch>
                  </pic:blipFill>
                  <pic:spPr bwMode="auto">
                    <a:xfrm>
                      <a:off x="0" y="0"/>
                      <a:ext cx="118745" cy="8255"/>
                    </a:xfrm>
                    <a:prstGeom prst="rect">
                      <a:avLst/>
                    </a:prstGeom>
                    <a:noFill/>
                  </pic:spPr>
                </pic:pic>
              </a:graphicData>
            </a:graphic>
          </wp:anchor>
        </w:drawing>
      </w:r>
    </w:p>
    <w:p>
      <w:pPr>
        <w:spacing w:after="0" w:line="82" w:lineRule="exact"/>
        <w:rPr>
          <w:sz w:val="20"/>
          <w:szCs w:val="20"/>
          <w:color w:val="auto"/>
        </w:rPr>
      </w:pPr>
    </w:p>
    <w:p>
      <w:pPr>
        <w:ind w:right="2320" w:firstLine="562"/>
        <w:spacing w:after="0" w:line="278" w:lineRule="auto"/>
        <w:rPr>
          <w:sz w:val="20"/>
          <w:szCs w:val="20"/>
          <w:color w:val="auto"/>
        </w:rPr>
      </w:pPr>
      <w:r>
        <w:rPr>
          <w:rFonts w:ascii="Times New Roman" w:cs="Times New Roman" w:eastAsia="Times New Roman" w:hAnsi="Times New Roman"/>
          <w:sz w:val="18"/>
          <w:szCs w:val="18"/>
          <w:color w:val="auto"/>
        </w:rPr>
        <w:t>Intangible assets amortization expense was $26,864, $25,658 and $14,587 for the fiscal years ended March 27, 2026, March 28, 2025 and March 29, 2024, respectively.</w:t>
      </w:r>
    </w:p>
    <w:p>
      <w:pPr>
        <w:spacing w:after="0" w:line="55"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In fiscal year 2025, the Company acquired certain intellectual property assets for a total purchase price of $6,000, including certain contingent, milestone-based payments, which were paid during the fiscal year ended March 27, 2026.</w:t>
      </w:r>
    </w:p>
    <w:p>
      <w:pPr>
        <w:spacing w:after="0" w:line="55"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In February 2024, the Company initiated a realignment of resources associated with our photonics and advanced 3D imaging solutions business to refocus spending on other technologies. As a result of the change in strategy, the Company recorded impairment charges of $11,600 in the fourth quarter of fiscal year 2024 related to intangible assets, net, and long-lived assets from our 2021 acquisition of Voxtel, Inc. The results of the annual impairment test did not indicate any impairments of any other long-lived intangible assets for fiscal years 2026, 2025 and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4"/>
        </w:trPr>
        <w:tc>
          <w:tcPr>
            <w:tcW w:w="9240" w:type="dxa"/>
            <w:vAlign w:val="bottom"/>
          </w:tcPr>
          <w:p>
            <w:pPr>
              <w:jc w:val="center"/>
              <w:ind w:left="1971"/>
              <w:spacing w:after="0"/>
              <w:rPr>
                <w:sz w:val="20"/>
                <w:szCs w:val="20"/>
                <w:color w:val="auto"/>
              </w:rPr>
            </w:pPr>
            <w:r>
              <w:rPr>
                <w:rFonts w:ascii="Times New Roman" w:cs="Times New Roman" w:eastAsia="Times New Roman" w:hAnsi="Times New Roman"/>
                <w:sz w:val="18"/>
                <w:szCs w:val="18"/>
                <w:b w:val="1"/>
                <w:bCs w:val="1"/>
                <w:color w:val="auto"/>
                <w:w w:val="98"/>
              </w:rPr>
              <w:t>ALLEGRO MICROSYSTEMS, INC.</w:t>
            </w: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4"/>
        </w:trPr>
        <w:tc>
          <w:tcPr>
            <w:tcW w:w="9240" w:type="dxa"/>
            <w:vAlign w:val="bottom"/>
          </w:tcPr>
          <w:p>
            <w:pPr>
              <w:jc w:val="center"/>
              <w:ind w:left="1911"/>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9240" w:type="dxa"/>
            <w:vAlign w:val="bottom"/>
          </w:tcPr>
          <w:p>
            <w:pPr>
              <w:jc w:val="center"/>
              <w:ind w:left="1911"/>
              <w:spacing w:after="0"/>
              <w:rPr>
                <w:sz w:val="20"/>
                <w:szCs w:val="20"/>
                <w:color w:val="auto"/>
              </w:rPr>
            </w:pPr>
            <w:r>
              <w:rPr>
                <w:rFonts w:ascii="Times New Roman" w:cs="Times New Roman" w:eastAsia="Times New Roman" w:hAnsi="Times New Roman"/>
                <w:sz w:val="18"/>
                <w:szCs w:val="18"/>
                <w:b w:val="1"/>
                <w:bCs w:val="1"/>
                <w:color w:val="auto"/>
                <w:w w:val="98"/>
              </w:rPr>
              <w:t>(Amounts in thousands, except share and per share amounts)</w:t>
            </w:r>
          </w:p>
        </w:tc>
        <w:tc>
          <w:tcPr>
            <w:tcW w:w="7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62"/>
        </w:trPr>
        <w:tc>
          <w:tcPr>
            <w:tcW w:w="92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As of March 27, 2026, amortization expense of intangible assets is expected to be as follows:</w:t>
            </w: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06"/>
        </w:trPr>
        <w:tc>
          <w:tcPr>
            <w:tcW w:w="9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14"/>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shd w:val="clear" w:color="auto" w:fill="CFF0FC"/>
          </w:tcPr>
          <w:p>
            <w:pPr>
              <w:jc w:val="right"/>
              <w:ind w:right="5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25,915</w:t>
            </w:r>
          </w:p>
        </w:tc>
      </w:tr>
      <w:tr>
        <w:trPr>
          <w:trHeight w:val="21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25,549</w:t>
            </w:r>
          </w:p>
        </w:tc>
      </w:tr>
      <w:tr>
        <w:trPr>
          <w:trHeight w:val="214"/>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25,183</w:t>
            </w:r>
          </w:p>
        </w:tc>
      </w:tr>
      <w:tr>
        <w:trPr>
          <w:trHeight w:val="21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7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24,822</w:t>
            </w:r>
          </w:p>
        </w:tc>
      </w:tr>
      <w:tr>
        <w:trPr>
          <w:trHeight w:val="214"/>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w:t>
            </w:r>
          </w:p>
        </w:tc>
        <w:tc>
          <w:tcPr>
            <w:tcW w:w="7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24,397</w:t>
            </w:r>
          </w:p>
        </w:tc>
      </w:tr>
      <w:tr>
        <w:trPr>
          <w:trHeight w:val="21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110,540</w:t>
            </w:r>
          </w:p>
        </w:tc>
      </w:tr>
      <w:tr>
        <w:trPr>
          <w:trHeight w:val="247"/>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shd w:val="clear" w:color="auto" w:fill="CFF0FC"/>
          </w:tcPr>
          <w:p>
            <w:pPr>
              <w:jc w:val="right"/>
              <w:ind w:right="5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236,406</w:t>
            </w:r>
          </w:p>
        </w:tc>
      </w:tr>
    </w:tbl>
    <w:p>
      <w:pPr>
        <w:spacing w:after="0" w:line="312" w:lineRule="exact"/>
        <w:rPr>
          <w:sz w:val="20"/>
          <w:szCs w:val="20"/>
          <w:color w:val="auto"/>
        </w:rPr>
      </w:pPr>
    </w:p>
    <w:p>
      <w:pPr>
        <w:ind w:left="580" w:hanging="573"/>
        <w:spacing w:after="0"/>
        <w:tabs>
          <w:tab w:leader="none" w:pos="5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Assets, Net</w:t>
      </w:r>
    </w:p>
    <w:p>
      <w:pPr>
        <w:spacing w:after="0" w:line="117"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composition of other assets, net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March 28,</w:t>
            </w:r>
          </w:p>
        </w:tc>
      </w:tr>
      <w:tr>
        <w:trPr>
          <w:trHeight w:val="172"/>
        </w:trPr>
        <w:tc>
          <w:tcPr>
            <w:tcW w:w="5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w:t>
            </w:r>
          </w:p>
        </w:tc>
        <w:tc>
          <w:tcPr>
            <w:tcW w:w="2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12,202</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18,876</w:t>
            </w:r>
          </w:p>
        </w:tc>
      </w:tr>
      <w:tr>
        <w:trPr>
          <w:trHeight w:val="21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taxes receivable long-term</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6,183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5,087</w:t>
            </w:r>
          </w:p>
        </w:tc>
      </w:tr>
      <w:tr>
        <w:trPr>
          <w:trHeight w:val="214"/>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receivable long-term</w:t>
            </w:r>
          </w:p>
        </w:tc>
        <w:tc>
          <w:tcPr>
            <w:tcW w:w="2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4,733</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13,279</w:t>
            </w:r>
          </w:p>
        </w:tc>
      </w:tr>
      <w:tr>
        <w:trPr>
          <w:trHeight w:val="21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debt security</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3,477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receivables long-term</w:t>
            </w:r>
          </w:p>
        </w:tc>
        <w:tc>
          <w:tcPr>
            <w:tcW w:w="2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1,692</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10,227</w:t>
            </w:r>
          </w:p>
        </w:tc>
      </w:tr>
      <w:tr>
        <w:trPr>
          <w:trHeight w:val="21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2,954</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1,875</w:t>
            </w:r>
          </w:p>
        </w:tc>
      </w:tr>
      <w:tr>
        <w:trPr>
          <w:trHeight w:val="227"/>
        </w:trPr>
        <w:tc>
          <w:tcPr>
            <w:tcW w:w="5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31,241</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49,344</w:t>
            </w:r>
          </w:p>
        </w:tc>
      </w:tr>
      <w:tr>
        <w:trPr>
          <w:trHeight w:val="20"/>
        </w:trPr>
        <w:tc>
          <w:tcPr>
            <w:tcW w:w="5100" w:type="dxa"/>
            <w:vAlign w:val="bottom"/>
            <w:tcBorders>
              <w:top w:val="single" w:sz="8" w:color="CFF0FC"/>
            </w:tcBorders>
            <w:shd w:val="clear" w:color="auto" w:fill="CFF0FC"/>
          </w:tcPr>
          <w:p>
            <w:pPr>
              <w:spacing w:after="0" w:line="20" w:lineRule="exact"/>
              <w:rPr>
                <w:sz w:val="1"/>
                <w:szCs w:val="1"/>
                <w:color w:val="auto"/>
              </w:rPr>
            </w:pPr>
          </w:p>
        </w:tc>
        <w:tc>
          <w:tcPr>
            <w:tcW w:w="26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5965825</wp:posOffset>
            </wp:positionH>
            <wp:positionV relativeFrom="paragraph">
              <wp:posOffset>-24765</wp:posOffset>
            </wp:positionV>
            <wp:extent cx="1104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2">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-7620</wp:posOffset>
            </wp:positionV>
            <wp:extent cx="1104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3">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80" w:hanging="573"/>
        <w:spacing w:after="0"/>
        <w:tabs>
          <w:tab w:leader="none" w:pos="5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17"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composition of accrued expenses and other current liabilities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March 28,</w:t>
            </w:r>
          </w:p>
        </w:tc>
      </w:tr>
      <w:tr>
        <w:trPr>
          <w:trHeight w:val="172"/>
        </w:trPr>
        <w:tc>
          <w:tcPr>
            <w:tcW w:w="4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7"/>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incentive programs</w:t>
            </w:r>
          </w:p>
        </w:tc>
        <w:tc>
          <w:tcPr>
            <w:tcW w:w="3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44,098</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11,368</w:t>
            </w:r>
          </w:p>
        </w:tc>
      </w:tr>
      <w:tr>
        <w:trPr>
          <w:trHeight w:val="21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Accrued salaries, wages and retirement benefits</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18,582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19,555</w:t>
            </w:r>
          </w:p>
        </w:tc>
      </w:tr>
      <w:tr>
        <w:trPr>
          <w:trHeight w:val="214"/>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4,601</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6,132</w:t>
            </w:r>
          </w:p>
        </w:tc>
      </w:tr>
      <w:tr>
        <w:trPr>
          <w:trHeight w:val="21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3,946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233</w:t>
            </w:r>
          </w:p>
        </w:tc>
      </w:tr>
      <w:tr>
        <w:trPr>
          <w:trHeight w:val="214"/>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3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3,596</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3,566</w:t>
            </w:r>
          </w:p>
        </w:tc>
      </w:tr>
      <w:tr>
        <w:trPr>
          <w:trHeight w:val="21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 costs</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3,193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1,026</w:t>
            </w:r>
          </w:p>
        </w:tc>
      </w:tr>
      <w:tr>
        <w:trPr>
          <w:trHeight w:val="214"/>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severance</w:t>
            </w:r>
          </w:p>
        </w:tc>
        <w:tc>
          <w:tcPr>
            <w:tcW w:w="3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1,981</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2,336</w:t>
            </w:r>
          </w:p>
        </w:tc>
      </w:tr>
      <w:tr>
        <w:trPr>
          <w:trHeight w:val="21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1,515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2,025</w:t>
            </w:r>
          </w:p>
        </w:tc>
      </w:tr>
      <w:tr>
        <w:trPr>
          <w:trHeight w:val="214"/>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contingent consideration</w:t>
            </w:r>
          </w:p>
        </w:tc>
        <w:tc>
          <w:tcPr>
            <w:tcW w:w="3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5,000</w:t>
            </w:r>
          </w:p>
        </w:tc>
      </w:tr>
      <w:tr>
        <w:trPr>
          <w:trHeight w:val="21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7,960</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8,842</w:t>
            </w:r>
          </w:p>
        </w:tc>
      </w:tr>
      <w:tr>
        <w:trPr>
          <w:trHeight w:val="247"/>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89,472</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60,083</w:t>
            </w:r>
          </w:p>
        </w:tc>
      </w:tr>
      <w:tr>
        <w:trPr>
          <w:trHeight w:val="730"/>
        </w:trPr>
        <w:tc>
          <w:tcPr>
            <w:tcW w:w="4440" w:type="dxa"/>
            <w:vAlign w:val="bottom"/>
            <w:tcBorders>
              <w:top w:val="single" w:sz="8" w:color="CFF0FC"/>
            </w:tcBorders>
          </w:tcPr>
          <w:p>
            <w:pPr>
              <w:spacing w:after="0"/>
              <w:rPr>
                <w:sz w:val="24"/>
                <w:szCs w:val="24"/>
                <w:color w:val="auto"/>
              </w:rPr>
            </w:pPr>
          </w:p>
        </w:tc>
        <w:tc>
          <w:tcPr>
            <w:tcW w:w="3300" w:type="dxa"/>
            <w:vAlign w:val="bottom"/>
            <w:tcBorders>
              <w:top w:val="single" w:sz="8" w:color="CFF0FC"/>
            </w:tcBorders>
          </w:tcPr>
          <w:p>
            <w:pPr>
              <w:ind w:left="1020"/>
              <w:spacing w:after="0"/>
              <w:rPr>
                <w:sz w:val="20"/>
                <w:szCs w:val="20"/>
                <w:color w:val="auto"/>
              </w:rPr>
            </w:pPr>
            <w:r>
              <w:rPr>
                <w:rFonts w:ascii="Times New Roman" w:cs="Times New Roman" w:eastAsia="Times New Roman" w:hAnsi="Times New Roman"/>
                <w:sz w:val="18"/>
                <w:szCs w:val="18"/>
                <w:color w:val="auto"/>
              </w:rPr>
              <w:t>F-27</w:t>
            </w:r>
          </w:p>
        </w:tc>
        <w:tc>
          <w:tcPr>
            <w:tcW w:w="2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755"/>
        </w:trPr>
        <w:tc>
          <w:tcPr>
            <w:tcW w:w="44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-993140</wp:posOffset>
            </wp:positionV>
            <wp:extent cx="1104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6">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-975995</wp:posOffset>
            </wp:positionV>
            <wp:extent cx="1104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7">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88" w:name="page89"/>
    <w:bookmarkEnd w:id="8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39" w:lineRule="exact"/>
        <w:rPr>
          <w:sz w:val="20"/>
          <w:szCs w:val="20"/>
          <w:color w:val="auto"/>
        </w:rPr>
      </w:pPr>
    </w:p>
    <w:p>
      <w:pPr>
        <w:ind w:left="580" w:hanging="573"/>
        <w:spacing w:after="0"/>
        <w:tabs>
          <w:tab w:leader="none" w:pos="5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8"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The Company leases real estate, equipment and vehicles under operating lease agreements that have initial terms ranging from one to 13 years. Some leases include one or more options to exercise renewal terms, generally at the Company’s sole discretion, that can extend the lease term. Certain leases contain rights to terminate whereby those termination options are held by either the Company, the lessor, or both parties. These options to extend or terminate a lease are included in the lease term only when it is reasonably certain that the Company will exercise that option. The Company’s leases generally do not contain any material restrictive covenants.</w:t>
      </w:r>
    </w:p>
    <w:p>
      <w:pPr>
        <w:spacing w:after="0" w:line="77" w:lineRule="exact"/>
        <w:rPr>
          <w:sz w:val="20"/>
          <w:szCs w:val="20"/>
          <w:color w:val="auto"/>
        </w:rPr>
      </w:pPr>
    </w:p>
    <w:p>
      <w:pPr>
        <w:jc w:val="both"/>
        <w:ind w:right="20" w:firstLine="569"/>
        <w:spacing w:after="0" w:line="278" w:lineRule="auto"/>
        <w:rPr>
          <w:sz w:val="20"/>
          <w:szCs w:val="20"/>
          <w:color w:val="auto"/>
        </w:rPr>
      </w:pPr>
      <w:r>
        <w:rPr>
          <w:rFonts w:ascii="Times New Roman" w:cs="Times New Roman" w:eastAsia="Times New Roman" w:hAnsi="Times New Roman"/>
          <w:sz w:val="18"/>
          <w:szCs w:val="18"/>
          <w:color w:val="auto"/>
        </w:rPr>
        <w:t>Operating lease cost is recognized on a straight-line basis over the lease term, while finance lease cost is amortized over the expected term on a straight-line basis. Information regarding the Company’s operating and finance leases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9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3"/>
          </w:tcPr>
          <w:p>
            <w:pPr>
              <w:jc w:val="center"/>
              <w:ind w:right="480"/>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140"/>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ind w:right="176"/>
              <w:spacing w:after="0" w:line="116"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0" w:type="dxa"/>
            <w:vAlign w:val="bottom"/>
          </w:tcPr>
          <w:p>
            <w:pPr>
              <w:spacing w:after="0"/>
              <w:rPr>
                <w:sz w:val="1"/>
                <w:szCs w:val="1"/>
                <w:color w:val="auto"/>
              </w:rPr>
            </w:pPr>
          </w:p>
        </w:tc>
      </w:tr>
      <w:tr>
        <w:trPr>
          <w:trHeight w:val="172"/>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7"/>
        </w:trPr>
        <w:tc>
          <w:tcPr>
            <w:tcW w:w="492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8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9"/>
              <w:spacing w:after="0"/>
              <w:rPr>
                <w:sz w:val="20"/>
                <w:szCs w:val="20"/>
                <w:color w:val="auto"/>
              </w:rPr>
            </w:pPr>
            <w:r>
              <w:rPr>
                <w:rFonts w:ascii="Times New Roman" w:cs="Times New Roman" w:eastAsia="Times New Roman" w:hAnsi="Times New Roman"/>
                <w:sz w:val="18"/>
                <w:szCs w:val="18"/>
                <w:color w:val="auto"/>
              </w:rPr>
              <w:t>10,606</w:t>
            </w:r>
          </w:p>
        </w:tc>
        <w:tc>
          <w:tcPr>
            <w:tcW w:w="120" w:type="dxa"/>
            <w:vAlign w:val="bottom"/>
            <w:shd w:val="clear" w:color="auto" w:fill="CFF0FC"/>
          </w:tcPr>
          <w:p>
            <w:pPr>
              <w:spacing w:after="0"/>
              <w:rPr>
                <w:sz w:val="18"/>
                <w:szCs w:val="18"/>
                <w:color w:val="auto"/>
              </w:rPr>
            </w:pPr>
          </w:p>
        </w:tc>
        <w:tc>
          <w:tcPr>
            <w:tcW w:w="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7,695</w:t>
            </w:r>
          </w:p>
        </w:tc>
        <w:tc>
          <w:tcPr>
            <w:tcW w:w="3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6,369</w:t>
            </w:r>
          </w:p>
        </w:tc>
        <w:tc>
          <w:tcPr>
            <w:tcW w:w="0" w:type="dxa"/>
            <w:vAlign w:val="bottom"/>
          </w:tcPr>
          <w:p>
            <w:pPr>
              <w:spacing w:after="0"/>
              <w:rPr>
                <w:sz w:val="1"/>
                <w:szCs w:val="1"/>
                <w:color w:val="auto"/>
              </w:rPr>
            </w:pPr>
          </w:p>
        </w:tc>
      </w:tr>
      <w:tr>
        <w:trPr>
          <w:trHeight w:val="214"/>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 term lease expense</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89"/>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4"/>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information:</w:t>
            </w:r>
          </w:p>
        </w:tc>
        <w:tc>
          <w:tcPr>
            <w:tcW w:w="1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9"/>
              <w:spacing w:after="0"/>
              <w:rPr>
                <w:sz w:val="20"/>
                <w:szCs w:val="20"/>
                <w:color w:val="auto"/>
              </w:rPr>
            </w:pPr>
            <w:r>
              <w:rPr>
                <w:rFonts w:ascii="Times New Roman" w:cs="Times New Roman" w:eastAsia="Times New Roman" w:hAnsi="Times New Roman"/>
                <w:sz w:val="18"/>
                <w:szCs w:val="18"/>
                <w:color w:val="auto"/>
              </w:rPr>
              <w:t>6,995</w:t>
            </w:r>
          </w:p>
        </w:tc>
        <w:tc>
          <w:tcPr>
            <w:tcW w:w="120" w:type="dxa"/>
            <w:vAlign w:val="bottom"/>
          </w:tcPr>
          <w:p>
            <w:pPr>
              <w:spacing w:after="0"/>
              <w:rPr>
                <w:sz w:val="18"/>
                <w:szCs w:val="18"/>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7,064</w:t>
            </w:r>
          </w:p>
        </w:tc>
        <w:tc>
          <w:tcPr>
            <w:tcW w:w="3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6,305</w:t>
            </w:r>
          </w:p>
        </w:tc>
        <w:tc>
          <w:tcPr>
            <w:tcW w:w="0" w:type="dxa"/>
            <w:vAlign w:val="bottom"/>
          </w:tcPr>
          <w:p>
            <w:pPr>
              <w:spacing w:after="0"/>
              <w:rPr>
                <w:sz w:val="1"/>
                <w:szCs w:val="1"/>
                <w:color w:val="auto"/>
              </w:rPr>
            </w:pPr>
          </w:p>
        </w:tc>
      </w:tr>
      <w:tr>
        <w:trPr>
          <w:trHeight w:val="214"/>
        </w:trPr>
        <w:tc>
          <w:tcPr>
            <w:tcW w:w="4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5.1 years</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 years</w:t>
            </w: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4.4 years</w:t>
            </w:r>
          </w:p>
        </w:tc>
        <w:tc>
          <w:tcPr>
            <w:tcW w:w="0" w:type="dxa"/>
            <w:vAlign w:val="bottom"/>
          </w:tcPr>
          <w:p>
            <w:pPr>
              <w:spacing w:after="0"/>
              <w:rPr>
                <w:sz w:val="1"/>
                <w:szCs w:val="1"/>
                <w:color w:val="auto"/>
              </w:rPr>
            </w:pPr>
          </w:p>
        </w:tc>
      </w:tr>
      <w:tr>
        <w:trPr>
          <w:trHeight w:val="233"/>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543"/>
        </w:trPr>
        <w:tc>
          <w:tcPr>
            <w:tcW w:w="4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9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3"/>
          </w:tcPr>
          <w:p>
            <w:pPr>
              <w:jc w:val="center"/>
              <w:ind w:right="540"/>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ind w:right="216"/>
              <w:spacing w:after="0" w:line="116"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0" w:type="dxa"/>
            <w:vAlign w:val="bottom"/>
          </w:tcPr>
          <w:p>
            <w:pPr>
              <w:spacing w:after="0"/>
              <w:rPr>
                <w:sz w:val="1"/>
                <w:szCs w:val="1"/>
                <w:color w:val="auto"/>
              </w:rPr>
            </w:pPr>
          </w:p>
        </w:tc>
      </w:tr>
      <w:tr>
        <w:trPr>
          <w:trHeight w:val="172"/>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6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7"/>
        </w:trPr>
        <w:tc>
          <w:tcPr>
            <w:tcW w:w="492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20" w:type="dxa"/>
            <w:vAlign w:val="bottom"/>
            <w:shd w:val="clear" w:color="auto" w:fill="CFF0FF"/>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820" w:type="dxa"/>
            <w:vAlign w:val="bottom"/>
            <w:gridSpan w:val="3"/>
            <w:shd w:val="clear" w:color="auto" w:fill="CFF0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F"/>
          </w:tcPr>
          <w:p>
            <w:pPr>
              <w:jc w:val="right"/>
              <w:ind w:right="129"/>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shd w:val="clear" w:color="auto" w:fill="CFF0FF"/>
          </w:tcPr>
          <w:p>
            <w:pPr>
              <w:spacing w:after="0"/>
              <w:rPr>
                <w:sz w:val="18"/>
                <w:szCs w:val="18"/>
                <w:color w:val="auto"/>
              </w:rPr>
            </w:pPr>
          </w:p>
        </w:tc>
        <w:tc>
          <w:tcPr>
            <w:tcW w:w="120" w:type="dxa"/>
            <w:vAlign w:val="bottom"/>
            <w:gridSpan w:val="3"/>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1,397</w:t>
            </w:r>
          </w:p>
        </w:tc>
        <w:tc>
          <w:tcPr>
            <w:tcW w:w="360" w:type="dxa"/>
            <w:vAlign w:val="bottom"/>
            <w:gridSpan w:val="5"/>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F"/>
          </w:tcPr>
          <w:p>
            <w:pPr>
              <w:jc w:val="right"/>
              <w:ind w:right="96"/>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4"/>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4"/>
        </w:trPr>
        <w:tc>
          <w:tcPr>
            <w:tcW w:w="4920" w:type="dxa"/>
            <w:vAlign w:val="bottom"/>
            <w:shd w:val="clear" w:color="auto" w:fill="CFF0FF"/>
          </w:tcPr>
          <w:p>
            <w:pPr>
              <w:ind w:left="1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600" w:type="dxa"/>
            <w:vAlign w:val="bottom"/>
            <w:shd w:val="clear" w:color="auto" w:fill="CFF0FF"/>
          </w:tcPr>
          <w:p>
            <w:pPr>
              <w:spacing w:after="0"/>
              <w:rPr>
                <w:sz w:val="18"/>
                <w:szCs w:val="18"/>
                <w:color w:val="auto"/>
              </w:rPr>
            </w:pPr>
          </w:p>
        </w:tc>
        <w:tc>
          <w:tcPr>
            <w:tcW w:w="20" w:type="dxa"/>
            <w:vAlign w:val="bottom"/>
            <w:shd w:val="clear" w:color="auto" w:fill="CFF0FF"/>
          </w:tcPr>
          <w:p>
            <w:pPr>
              <w:spacing w:after="0"/>
              <w:rPr>
                <w:sz w:val="18"/>
                <w:szCs w:val="18"/>
                <w:color w:val="auto"/>
              </w:rPr>
            </w:pPr>
          </w:p>
        </w:tc>
        <w:tc>
          <w:tcPr>
            <w:tcW w:w="200" w:type="dxa"/>
            <w:vAlign w:val="bottom"/>
            <w:shd w:val="clear" w:color="auto" w:fill="CFF0FF"/>
          </w:tcPr>
          <w:p>
            <w:pPr>
              <w:spacing w:after="0"/>
              <w:rPr>
                <w:sz w:val="18"/>
                <w:szCs w:val="18"/>
                <w:color w:val="auto"/>
              </w:rPr>
            </w:pPr>
          </w:p>
        </w:tc>
        <w:tc>
          <w:tcPr>
            <w:tcW w:w="1380" w:type="dxa"/>
            <w:vAlign w:val="bottom"/>
            <w:gridSpan w:val="3"/>
            <w:shd w:val="clear" w:color="auto" w:fill="CFF0FF"/>
          </w:tcPr>
          <w:p>
            <w:pPr>
              <w:ind w:left="420"/>
              <w:spacing w:after="0"/>
              <w:rPr>
                <w:sz w:val="20"/>
                <w:szCs w:val="20"/>
                <w:color w:val="auto"/>
              </w:rPr>
            </w:pPr>
            <w:r>
              <w:rPr>
                <w:rFonts w:ascii="Times New Roman" w:cs="Times New Roman" w:eastAsia="Times New Roman" w:hAnsi="Times New Roman"/>
                <w:sz w:val="18"/>
                <w:szCs w:val="18"/>
                <w:color w:val="auto"/>
              </w:rPr>
              <w:t>3.6 years</w:t>
            </w:r>
          </w:p>
        </w:tc>
        <w:tc>
          <w:tcPr>
            <w:tcW w:w="20" w:type="dxa"/>
            <w:vAlign w:val="bottom"/>
            <w:shd w:val="clear" w:color="auto" w:fill="CFF0FF"/>
          </w:tcPr>
          <w:p>
            <w:pPr>
              <w:spacing w:after="0"/>
              <w:rPr>
                <w:sz w:val="18"/>
                <w:szCs w:val="18"/>
                <w:color w:val="auto"/>
              </w:rPr>
            </w:pPr>
          </w:p>
        </w:tc>
        <w:tc>
          <w:tcPr>
            <w:tcW w:w="2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128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4.6 years</w:t>
            </w:r>
          </w:p>
        </w:tc>
        <w:tc>
          <w:tcPr>
            <w:tcW w:w="40" w:type="dxa"/>
            <w:vAlign w:val="bottom"/>
            <w:shd w:val="clear" w:color="auto" w:fill="CFF0FF"/>
          </w:tcPr>
          <w:p>
            <w:pPr>
              <w:spacing w:after="0"/>
              <w:rPr>
                <w:sz w:val="18"/>
                <w:szCs w:val="18"/>
                <w:color w:val="auto"/>
              </w:rPr>
            </w:pPr>
          </w:p>
        </w:tc>
        <w:tc>
          <w:tcPr>
            <w:tcW w:w="40" w:type="dxa"/>
            <w:vAlign w:val="bottom"/>
            <w:shd w:val="clear" w:color="auto" w:fill="CFF0FF"/>
          </w:tcPr>
          <w:p>
            <w:pPr>
              <w:spacing w:after="0"/>
              <w:rPr>
                <w:sz w:val="18"/>
                <w:szCs w:val="18"/>
                <w:color w:val="auto"/>
              </w:rPr>
            </w:pPr>
          </w:p>
        </w:tc>
        <w:tc>
          <w:tcPr>
            <w:tcW w:w="20" w:type="dxa"/>
            <w:vAlign w:val="bottom"/>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1360" w:type="dxa"/>
            <w:vAlign w:val="bottom"/>
            <w:shd w:val="clear" w:color="auto" w:fill="CFF0FF"/>
          </w:tcPr>
          <w:p>
            <w:pPr>
              <w:jc w:val="right"/>
              <w:ind w:right="96"/>
              <w:spacing w:after="0"/>
              <w:rPr>
                <w:sz w:val="20"/>
                <w:szCs w:val="20"/>
                <w:color w:val="auto"/>
              </w:rPr>
            </w:pPr>
            <w:r>
              <w:rPr>
                <w:rFonts w:ascii="Times New Roman" w:cs="Times New Roman" w:eastAsia="Times New Roman" w:hAnsi="Times New Roman"/>
                <w:sz w:val="18"/>
                <w:szCs w:val="18"/>
                <w:color w:val="auto"/>
              </w:rPr>
              <w:t>5.6 years</w:t>
            </w:r>
          </w:p>
        </w:tc>
        <w:tc>
          <w:tcPr>
            <w:tcW w:w="0" w:type="dxa"/>
            <w:vAlign w:val="bottom"/>
          </w:tcPr>
          <w:p>
            <w:pPr>
              <w:spacing w:after="0"/>
              <w:rPr>
                <w:sz w:val="1"/>
                <w:szCs w:val="1"/>
                <w:color w:val="auto"/>
              </w:rPr>
            </w:pPr>
          </w:p>
        </w:tc>
      </w:tr>
      <w:tr>
        <w:trPr>
          <w:trHeight w:val="233"/>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410"/>
        </w:trPr>
        <w:tc>
          <w:tcPr>
            <w:tcW w:w="8120" w:type="dxa"/>
            <w:vAlign w:val="bottom"/>
            <w:gridSpan w:val="7"/>
          </w:tcPr>
          <w:p>
            <w:pPr>
              <w:ind w:left="580"/>
              <w:spacing w:after="0"/>
              <w:rPr>
                <w:sz w:val="20"/>
                <w:szCs w:val="20"/>
                <w:color w:val="auto"/>
              </w:rPr>
            </w:pPr>
            <w:r>
              <w:rPr>
                <w:rFonts w:ascii="Times New Roman" w:cs="Times New Roman" w:eastAsia="Times New Roman" w:hAnsi="Times New Roman"/>
                <w:sz w:val="18"/>
                <w:szCs w:val="18"/>
                <w:color w:val="auto"/>
              </w:rPr>
              <w:t>Finance leases are recorded in the following line items within the consolidated balance sheets: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51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7"/>
        </w:trPr>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5,279</w:t>
            </w:r>
          </w:p>
        </w:tc>
        <w:tc>
          <w:tcPr>
            <w:tcW w:w="120" w:type="dxa"/>
            <w:vAlign w:val="bottom"/>
            <w:shd w:val="clear" w:color="auto" w:fill="CFF0FC"/>
          </w:tcPr>
          <w:p>
            <w:pPr>
              <w:spacing w:after="0"/>
              <w:rPr>
                <w:sz w:val="18"/>
                <w:szCs w:val="18"/>
                <w:color w:val="auto"/>
              </w:rPr>
            </w:pPr>
          </w:p>
        </w:tc>
        <w:tc>
          <w:tcPr>
            <w:tcW w:w="24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6,206</w:t>
            </w:r>
          </w:p>
        </w:tc>
        <w:tc>
          <w:tcPr>
            <w:tcW w:w="0" w:type="dxa"/>
            <w:vAlign w:val="bottom"/>
          </w:tcPr>
          <w:p>
            <w:pPr>
              <w:spacing w:after="0"/>
              <w:rPr>
                <w:sz w:val="1"/>
                <w:szCs w:val="1"/>
                <w:color w:val="auto"/>
              </w:rPr>
            </w:pPr>
          </w:p>
        </w:tc>
      </w:tr>
      <w:tr>
        <w:trPr>
          <w:trHeight w:val="214"/>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1,423</w:t>
            </w:r>
          </w:p>
        </w:tc>
        <w:tc>
          <w:tcPr>
            <w:tcW w:w="0" w:type="dxa"/>
            <w:vAlign w:val="bottom"/>
          </w:tcPr>
          <w:p>
            <w:pPr>
              <w:spacing w:after="0"/>
              <w:rPr>
                <w:sz w:val="1"/>
                <w:szCs w:val="1"/>
                <w:color w:val="auto"/>
              </w:rPr>
            </w:pPr>
          </w:p>
        </w:tc>
      </w:tr>
      <w:tr>
        <w:trPr>
          <w:trHeight w:val="214"/>
        </w:trPr>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4,862</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5,774</w:t>
            </w:r>
          </w:p>
        </w:tc>
        <w:tc>
          <w:tcPr>
            <w:tcW w:w="0" w:type="dxa"/>
            <w:vAlign w:val="bottom"/>
          </w:tcPr>
          <w:p>
            <w:pPr>
              <w:spacing w:after="0"/>
              <w:rPr>
                <w:sz w:val="1"/>
                <w:szCs w:val="1"/>
                <w:color w:val="auto"/>
              </w:rPr>
            </w:pPr>
          </w:p>
        </w:tc>
      </w:tr>
      <w:tr>
        <w:trPr>
          <w:trHeight w:val="428"/>
        </w:trPr>
        <w:tc>
          <w:tcPr>
            <w:tcW w:w="8120" w:type="dxa"/>
            <w:vAlign w:val="bottom"/>
            <w:gridSpan w:val="7"/>
          </w:tcPr>
          <w:p>
            <w:pPr>
              <w:ind w:left="580"/>
              <w:spacing w:after="0"/>
              <w:rPr>
                <w:sz w:val="20"/>
                <w:szCs w:val="20"/>
                <w:color w:val="auto"/>
              </w:rPr>
            </w:pPr>
            <w:r>
              <w:rPr>
                <w:rFonts w:ascii="Times New Roman" w:cs="Times New Roman" w:eastAsia="Times New Roman" w:hAnsi="Times New Roman"/>
                <w:sz w:val="18"/>
                <w:szCs w:val="18"/>
                <w:color w:val="auto"/>
                <w:w w:val="98"/>
              </w:rPr>
              <w:t>As of March 27, 2026, future minimum lease payments under operating and finance leases are as follows: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Borders>
              <w:bottom w:val="single" w:sz="8" w:color="auto"/>
            </w:tcBorders>
            <w:gridSpan w:val="6"/>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07"/>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6,826</w:t>
            </w:r>
          </w:p>
        </w:tc>
        <w:tc>
          <w:tcPr>
            <w:tcW w:w="120" w:type="dxa"/>
            <w:vAlign w:val="bottom"/>
            <w:shd w:val="clear" w:color="auto" w:fill="CFF0FC"/>
          </w:tcPr>
          <w:p>
            <w:pPr>
              <w:spacing w:after="0"/>
              <w:rPr>
                <w:sz w:val="18"/>
                <w:szCs w:val="18"/>
                <w:color w:val="auto"/>
              </w:rPr>
            </w:pPr>
          </w:p>
        </w:tc>
        <w:tc>
          <w:tcPr>
            <w:tcW w:w="24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1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5,372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14"/>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3,126</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1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2,034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14"/>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w:t>
            </w:r>
          </w:p>
        </w:tc>
        <w:tc>
          <w:tcPr>
            <w:tcW w:w="1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4,129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1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22,581</w:t>
            </w:r>
          </w:p>
        </w:tc>
        <w:tc>
          <w:tcPr>
            <w:tcW w:w="120" w:type="dxa"/>
            <w:vAlign w:val="bottom"/>
            <w:shd w:val="clear" w:color="auto" w:fill="CFF0FC"/>
          </w:tcPr>
          <w:p>
            <w:pPr>
              <w:spacing w:after="0"/>
              <w:rPr>
                <w:sz w:val="18"/>
                <w:szCs w:val="18"/>
                <w:color w:val="auto"/>
              </w:rPr>
            </w:pPr>
          </w:p>
        </w:tc>
        <w:tc>
          <w:tcPr>
            <w:tcW w:w="24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7,438</w:t>
            </w:r>
          </w:p>
        </w:tc>
        <w:tc>
          <w:tcPr>
            <w:tcW w:w="0" w:type="dxa"/>
            <w:vAlign w:val="bottom"/>
          </w:tcPr>
          <w:p>
            <w:pPr>
              <w:spacing w:after="0"/>
              <w:rPr>
                <w:sz w:val="1"/>
                <w:szCs w:val="1"/>
                <w:color w:val="auto"/>
              </w:rPr>
            </w:pPr>
          </w:p>
        </w:tc>
      </w:tr>
      <w:tr>
        <w:trPr>
          <w:trHeight w:val="21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18,636</w:t>
            </w:r>
          </w:p>
        </w:tc>
        <w:tc>
          <w:tcPr>
            <w:tcW w:w="120" w:type="dxa"/>
            <w:vAlign w:val="bottom"/>
            <w:shd w:val="clear" w:color="auto" w:fill="CFF0FC"/>
          </w:tcPr>
          <w:p>
            <w:pPr>
              <w:spacing w:after="0"/>
              <w:rPr>
                <w:sz w:val="21"/>
                <w:szCs w:val="21"/>
                <w:color w:val="auto"/>
              </w:rPr>
            </w:pPr>
          </w:p>
        </w:tc>
        <w:tc>
          <w:tcPr>
            <w:tcW w:w="24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6,392</w:t>
            </w:r>
          </w:p>
        </w:tc>
        <w:tc>
          <w:tcPr>
            <w:tcW w:w="0" w:type="dxa"/>
            <w:vAlign w:val="bottom"/>
          </w:tcPr>
          <w:p>
            <w:pPr>
              <w:spacing w:after="0"/>
              <w:rPr>
                <w:sz w:val="1"/>
                <w:szCs w:val="1"/>
                <w:color w:val="auto"/>
              </w:rPr>
            </w:pPr>
          </w:p>
        </w:tc>
      </w:tr>
      <w:tr>
        <w:trPr>
          <w:trHeight w:val="877"/>
        </w:trPr>
        <w:tc>
          <w:tcPr>
            <w:tcW w:w="4920" w:type="dxa"/>
            <w:vAlign w:val="bottom"/>
            <w:tcBorders>
              <w:top w:val="single" w:sz="8" w:color="CFF0FC"/>
            </w:tcBorders>
          </w:tcPr>
          <w:p>
            <w:pPr>
              <w:spacing w:after="0"/>
              <w:rPr>
                <w:sz w:val="24"/>
                <w:szCs w:val="24"/>
                <w:color w:val="auto"/>
              </w:rPr>
            </w:pPr>
          </w:p>
        </w:tc>
        <w:tc>
          <w:tcPr>
            <w:tcW w:w="1820" w:type="dxa"/>
            <w:vAlign w:val="bottom"/>
            <w:tcBorders>
              <w:top w:val="single" w:sz="8" w:color="CFF0FC"/>
            </w:tcBorders>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F-28</w:t>
            </w:r>
          </w:p>
        </w:tc>
        <w:tc>
          <w:tcPr>
            <w:tcW w:w="10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5"/>
        </w:trPr>
        <w:tc>
          <w:tcPr>
            <w:tcW w:w="49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-1086485</wp:posOffset>
            </wp:positionV>
            <wp:extent cx="1104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0">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-1069340</wp:posOffset>
            </wp:positionV>
            <wp:extent cx="1104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1">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89" w:name="page90"/>
    <w:bookmarkEnd w:id="8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Debt and Other Borrowings</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21"/>
        </w:trPr>
        <w:tc>
          <w:tcPr>
            <w:tcW w:w="400" w:type="dxa"/>
            <w:vAlign w:val="bottom"/>
          </w:tcPr>
          <w:p>
            <w:pPr>
              <w:spacing w:after="0"/>
              <w:rPr>
                <w:sz w:val="24"/>
                <w:szCs w:val="24"/>
                <w:color w:val="auto"/>
              </w:rPr>
            </w:pP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Company’s debt obligations consisted of the following:</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4"/>
        </w:trPr>
        <w:tc>
          <w:tcPr>
            <w:tcW w:w="400" w:type="dxa"/>
            <w:vAlign w:val="bottom"/>
          </w:tcPr>
          <w:p>
            <w:pPr>
              <w:spacing w:after="0"/>
              <w:rPr>
                <w:sz w:val="22"/>
                <w:szCs w:val="22"/>
                <w:color w:val="auto"/>
              </w:rPr>
            </w:pPr>
          </w:p>
        </w:tc>
        <w:tc>
          <w:tcPr>
            <w:tcW w:w="73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20" w:type="dxa"/>
            <w:vAlign w:val="bottom"/>
            <w:tcBorders>
              <w:bottom w:val="single" w:sz="8" w:color="auto"/>
            </w:tcBorders>
          </w:tcPr>
          <w:p>
            <w:pPr>
              <w:spacing w:after="0"/>
              <w:rPr>
                <w:sz w:val="22"/>
                <w:szCs w:val="22"/>
                <w:color w:val="auto"/>
              </w:rPr>
            </w:pPr>
          </w:p>
        </w:tc>
      </w:tr>
      <w:tr>
        <w:trPr>
          <w:trHeight w:val="116"/>
        </w:trPr>
        <w:tc>
          <w:tcPr>
            <w:tcW w:w="40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jc w:val="right"/>
              <w:ind w:right="477"/>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20" w:type="dxa"/>
            <w:vAlign w:val="bottom"/>
          </w:tcPr>
          <w:p>
            <w:pPr>
              <w:jc w:val="right"/>
              <w:ind w:right="455"/>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r>
      <w:tr>
        <w:trPr>
          <w:trHeight w:val="172"/>
        </w:trPr>
        <w:tc>
          <w:tcPr>
            <w:tcW w:w="40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7"/>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285,000</w:t>
            </w:r>
          </w:p>
        </w:tc>
        <w:tc>
          <w:tcPr>
            <w:tcW w:w="680" w:type="dxa"/>
            <w:vAlign w:val="bottom"/>
            <w:gridSpan w:val="2"/>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345,000</w:t>
            </w:r>
          </w:p>
        </w:tc>
      </w:tr>
      <w:tr>
        <w:trPr>
          <w:trHeight w:val="21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w:t>
            </w:r>
          </w:p>
        </w:tc>
      </w:tr>
      <w:tr>
        <w:trPr>
          <w:trHeight w:val="207"/>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loans outstanding</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280,884</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338,929</w:t>
            </w:r>
          </w:p>
        </w:tc>
      </w:tr>
      <w:tr>
        <w:trPr>
          <w:trHeight w:val="21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6,392</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7,197</w:t>
            </w:r>
          </w:p>
        </w:tc>
      </w:tr>
      <w:tr>
        <w:trPr>
          <w:trHeight w:val="207"/>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287,276</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346,126</w:t>
            </w:r>
          </w:p>
        </w:tc>
      </w:tr>
      <w:tr>
        <w:trPr>
          <w:trHeight w:val="21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 and finance lease liabilities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47"/>
        </w:trPr>
        <w:tc>
          <w:tcPr>
            <w:tcW w:w="77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 and finance lease liabilities, less current portion</w:t>
            </w: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285,746</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344,703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5932170</wp:posOffset>
            </wp:positionH>
            <wp:positionV relativeFrom="paragraph">
              <wp:posOffset>-24765</wp:posOffset>
            </wp:positionV>
            <wp:extent cx="178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2">
                      <a:extLst>
                        <a:ext uri="{28A0092B-C50C-407E-A947-70E740481C1C}"/>
                      </a:extLst>
                    </a:blip>
                    <a:srcRect/>
                    <a:stretch>
                      <a:fillRect/>
                    </a:stretch>
                  </pic:blipFill>
                  <pic:spPr bwMode="auto">
                    <a:xfrm>
                      <a:off x="0" y="0"/>
                      <a:ext cx="178435" cy="8255"/>
                    </a:xfrm>
                    <a:prstGeom prst="rect">
                      <a:avLst/>
                    </a:prstGeom>
                    <a:noFill/>
                  </pic:spPr>
                </pic:pic>
              </a:graphicData>
            </a:graphic>
          </wp:anchor>
        </w:drawing>
        <w:drawing>
          <wp:anchor simplePos="0" relativeHeight="251657728" behindDoc="1" locked="0" layoutInCell="0" allowOverlap="1">
            <wp:simplePos x="0" y="0"/>
            <wp:positionH relativeFrom="column">
              <wp:posOffset>5932170</wp:posOffset>
            </wp:positionH>
            <wp:positionV relativeFrom="paragraph">
              <wp:posOffset>-7620</wp:posOffset>
            </wp:positionV>
            <wp:extent cx="178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3">
                      <a:extLst>
                        <a:ext uri="{28A0092B-C50C-407E-A947-70E740481C1C}"/>
                      </a:extLst>
                    </a:blip>
                    <a:srcRect/>
                    <a:stretch>
                      <a:fillRect/>
                    </a:stretch>
                  </pic:blipFill>
                  <pic:spPr bwMode="auto">
                    <a:xfrm>
                      <a:off x="0" y="0"/>
                      <a:ext cx="178435"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 under the 2023 Revolving Credit Agreement</w:t>
      </w:r>
    </w:p>
    <w:p>
      <w:pPr>
        <w:spacing w:after="0" w:line="116"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On June 21, 2023, the Company entered into a Credit Agreement dated as of June 21, 2023 (as amended, restated, supplemented or otherwise modified, refinanced or replaced from time to time, the “2023 Revolving Credit Agreement”) by and among the Company, Allegro MicroSystems, LLC (“AML”), Morgan Stanley Senior Funding, Inc., as the administrative agent, collateral agent, a letter of credit issuers parties thereto that provided for a $224,000 revolving credit facility, which included a $20,000 letter of credit sub-facility. On August 6, 2024, upon entry into the Amendment No. 2 (the “Second Amendment”) to the 2023 Revolving Credit Agreement, the total capacity of the revolving credit facility was increased to $256,000, and the Second Amendment also provided for a new $400,000 tranche of term loans maturing in 2030 (the “2024 Term Loans”), which were paid in full in connection with entry into the Third Amendment (as defined below). The revolving credit facility is available until, and loans made thereunder will mature on, June 21, 2028. Under the terms of the 2023 Revolving Credit Agreement, interest is calculated at a rate equal to (i) Term SOFR (as defined in the 2023 Revolving Credit Agreement) in effect, plus the applicable spread (ranging from 1.50% to 1.75%) or (ii) the highest of (x) the Federal funds rate, as published by the Federal Reserve Bank of New York, plus 0.50%, (y) the prime lending rate or (z) the one-month term SOFR plus 1.00% in effect, plus the applicable spread (ranging from 0.50% to 0.75%). The applicable spreads are based on the Company’s Total Net Leverage Ratio (as defined in the 2023 Revolving Credit Agreement) at the time of the applicable borrowing. Issuance costs related to the revolving credit facility were not significant. As of March 27, 2026, there were no outstanding borrowings under the revolving credit facility.</w:t>
      </w:r>
    </w:p>
    <w:p>
      <w:pPr>
        <w:spacing w:after="0" w:line="86"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The Company will also pay a quarterly commitment fee of 0.20% to 0.25% on the daily amount by which the commitments under the revolving credit facility exceed the outstanding loans and letters of credit under the revolving credit facility. The 2023 Revolving Credit Agreement contains certain covenants applicable to the Company and its subsidiaries, including limitations on additional indebtedness, liens, various fundamental changes, dividends and distributions, investments (including acquisitions), transactions with affiliates, asset sales, prepayment of junior financing, changes in business and other limitations customary in senior secured credit facilities. In addition, the Company is required to maintain a Total Net Leverage Ratio of no more than 4.00 to 1.00 at the end of each fiscal quarter, which may, subject to certain limitations, be increased to 4.50 to 1.00 for any quarter in which an acquisition in excess of $500,000 is conducted and for the three subsequent quarters.</w:t>
      </w:r>
    </w:p>
    <w:p>
      <w:pPr>
        <w:spacing w:after="0" w:line="77"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The 2023 Revolving Credit Agreement provides for customary events of default. Upon an event of default, the administrative agent with the consent of, or at the request of, the holders of more than 50% in principal amount of the loans and commitments, may terminate the commitments and accelerate the maturity of the loans and enforce certain other remedies.</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was in compliance with its Revolving Credit Facility covenants as of March 27,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Refinancing and Repricing of Term Loans</w:t>
      </w:r>
    </w:p>
    <w:p>
      <w:pPr>
        <w:spacing w:after="0" w:line="116"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On February 6, 2025, the Company entered into Amendment No. 3 (the “Third Amendment”) to the 2023 Revolving Credit Agreement. The Third Amendment provided for a new $375,000 tranche of term loans maturing in 2030 (the “2025 Refinanced Loans”), the proceeds of which were used, in relevant part, to (i) refinance all outstanding borrowings under the 2024 Term Loans, (ii) pay fees and expenses in connection with the foregoing and (iii) for general corporate purposes. The 2025 Refinanced Loans amortized at a rate of 0.00% per annum. The 2025 Refinanced Loans bore interest, at the Company’s option, at a rate equal to (i) Term SOFR (as defined in the 2023 Revolving Credit Agreement) in effect from time to time plus 2.00% or (ii) the highest of (x) the Federal funds rate, as published by the Federal Reserve Bank of New York, plus 0.50%, (y) the prime lending rate or (z) the one-month Term SOFR plus 1.00% in effect from time to time plus 1.00%. The 2025 Refinanced Loans were scheduled to mature on October 31, 2030. The Company incurred costs of $1,090 in connection with the Third Amendment.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90" w:name="page91"/>
    <w:bookmarkEnd w:id="9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36" w:lineRule="exact"/>
        <w:rPr>
          <w:sz w:val="20"/>
          <w:szCs w:val="20"/>
          <w:color w:val="auto"/>
        </w:rPr>
      </w:pPr>
    </w:p>
    <w:p>
      <w:pPr>
        <w:ind w:right="2220" w:firstLine="569"/>
        <w:spacing w:after="0" w:line="278" w:lineRule="auto"/>
        <w:rPr>
          <w:sz w:val="20"/>
          <w:szCs w:val="20"/>
          <w:color w:val="auto"/>
        </w:rPr>
      </w:pPr>
      <w:r>
        <w:rPr>
          <w:rFonts w:ascii="Times New Roman" w:cs="Times New Roman" w:eastAsia="Times New Roman" w:hAnsi="Times New Roman"/>
          <w:sz w:val="18"/>
          <w:szCs w:val="18"/>
          <w:color w:val="auto"/>
        </w:rPr>
        <w:t>Payments of $25,000, $10,000, and $25,000 were applied to the outstanding balance of the 2025 Refinanced Loans on April 30, 2025, May 30, 2025 and July 31, 2025, respectively.</w:t>
      </w:r>
    </w:p>
    <w:p>
      <w:pPr>
        <w:spacing w:after="0" w:line="55"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On January 21, 2026, the Company entered into Amendment No. 4 (the “Fourth Amendment”) to the 2023 Revolving Credit Agreement. The Fourth Amendment provides for a new $285,000 tranche of term loans maturing in October 2030 (the “2026 Refinanced Loans”), the proceeds of which were used, in relevant part, to refinance all outstanding borrowing under the 2025 Refinanced Loans. The 2026 Refinanced Loans amortize at a rate of 0.00% per annum. The 2026 Refinanced Loans bear interest, at the Company’s option, at a rate equal to (i) Term SOFR in effect from time to time plus 1.75% or (ii) the highest of (x) the Federal funds rate, as published by the Federal Reserve Bank of New York, plus 0.50%, (y) the prime lending rate or (z) the one-month Term SOFR plus 1.00% in effect from time to time plus 0.75%. The 2026 Refinanced Loans will mature on October 31, 2030.</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was in compliance with its debt covenants as of March 27, 2026.</w:t>
      </w:r>
    </w:p>
    <w:p>
      <w:pPr>
        <w:spacing w:after="0" w:line="217" w:lineRule="exact"/>
        <w:rPr>
          <w:sz w:val="20"/>
          <w:szCs w:val="20"/>
          <w:color w:val="auto"/>
        </w:rPr>
      </w:pPr>
    </w:p>
    <w:p>
      <w:pPr>
        <w:ind w:left="580" w:hanging="573"/>
        <w:spacing w:after="0"/>
        <w:tabs>
          <w:tab w:leader="none" w:pos="5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Long-Term Liabilities</w:t>
      </w:r>
    </w:p>
    <w:p>
      <w:pPr>
        <w:spacing w:after="0" w:line="117"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composition of other long-term liabilities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March 28,</w:t>
            </w:r>
          </w:p>
        </w:tc>
      </w:tr>
      <w:tr>
        <w:trPr>
          <w:trHeight w:val="172"/>
        </w:trPr>
        <w:tc>
          <w:tcPr>
            <w:tcW w:w="7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retirement and defined benefit plan obligation</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8,738</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9,997</w:t>
            </w:r>
          </w:p>
        </w:tc>
      </w:tr>
      <w:tr>
        <w:trPr>
          <w:trHeight w:val="21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uncertain tax positions</w:t>
            </w:r>
          </w:p>
        </w:tc>
        <w:tc>
          <w:tcPr>
            <w:tcW w:w="280" w:type="dxa"/>
            <w:vAlign w:val="bottom"/>
          </w:tcPr>
          <w:p>
            <w:pPr>
              <w:spacing w:after="0"/>
              <w:rPr>
                <w:sz w:val="18"/>
                <w:szCs w:val="18"/>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6,213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6,022</w:t>
            </w:r>
          </w:p>
        </w:tc>
      </w:tr>
      <w:tr>
        <w:trPr>
          <w:trHeight w:val="214"/>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15,114</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16,019</w:t>
            </w: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5965825</wp:posOffset>
            </wp:positionH>
            <wp:positionV relativeFrom="paragraph">
              <wp:posOffset>-168910</wp:posOffset>
            </wp:positionV>
            <wp:extent cx="1104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5">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279" w:lineRule="exact"/>
        <w:rPr>
          <w:sz w:val="20"/>
          <w:szCs w:val="20"/>
          <w:color w:val="auto"/>
        </w:rPr>
      </w:pPr>
    </w:p>
    <w:p>
      <w:pPr>
        <w:ind w:left="580" w:hanging="573"/>
        <w:spacing w:after="0"/>
        <w:tabs>
          <w:tab w:leader="none" w:pos="5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Plans</w:t>
      </w:r>
    </w:p>
    <w:p>
      <w:pPr>
        <w:spacing w:after="0" w:line="118"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The Company recognizes the funded status (i.e., the difference between the fair value of plan assets and the benefit obligations) of its defined benefit pension plans in its consolidated balance sheets with a corresponding adjustment to accumulated other comprehensive income (“AOCI”), net of tax. Further, actuarial gains and losses and prior service costs that arise in future periods and are not recognized as net periodic benefit costs in the same periods will be recognized as a component of other comprehensive (loss) income. Those amounts will also be recognized as a component of future net periodic benefit costs consistent with the Company’s past practice. The Company uses a measurement date for its defined benefit pension plans and other postretirement benefit plans that is equivalent to its fiscal year end.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Descriptions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Defined Benefit Plan</w:t>
      </w:r>
    </w:p>
    <w:p>
      <w:pPr>
        <w:spacing w:after="0" w:line="116"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The Company, through its wholly owned subsidiary, Allegro MicroSystems Philippines, Inc., has a defined benefit pension plan, which is a noncontributory plan that covers substantially all employees of this subsidiary. The plan’s assets are invested in government securities, common trust funds, bonds and other debt instruments and stocks.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the consolidated statements of operations</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Expense related to the non-U.S. defined benefit plan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16"/>
        </w:trPr>
        <w:tc>
          <w:tcPr>
            <w:tcW w:w="39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right"/>
              <w:ind w:right="396"/>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right"/>
              <w:ind w:right="376"/>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right"/>
              <w:ind w:right="356"/>
              <w:spacing w:after="0" w:line="116" w:lineRule="exact"/>
              <w:rPr>
                <w:sz w:val="20"/>
                <w:szCs w:val="20"/>
                <w:color w:val="auto"/>
              </w:rPr>
            </w:pPr>
            <w:r>
              <w:rPr>
                <w:rFonts w:ascii="Times New Roman" w:cs="Times New Roman" w:eastAsia="Times New Roman" w:hAnsi="Times New Roman"/>
                <w:sz w:val="13"/>
                <w:szCs w:val="13"/>
                <w:b w:val="1"/>
                <w:bCs w:val="1"/>
                <w:color w:val="auto"/>
              </w:rPr>
              <w:t>March 29,</w:t>
            </w:r>
          </w:p>
        </w:tc>
      </w:tr>
      <w:tr>
        <w:trPr>
          <w:trHeight w:val="172"/>
        </w:trPr>
        <w:tc>
          <w:tcPr>
            <w:tcW w:w="39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7"/>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90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1,468</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1,456</w:t>
            </w:r>
          </w:p>
        </w:tc>
        <w:tc>
          <w:tcPr>
            <w:tcW w:w="36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1,345</w:t>
            </w:r>
          </w:p>
        </w:tc>
      </w:tr>
      <w:tr>
        <w:trPr>
          <w:trHeight w:val="21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1,042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939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907</w:t>
            </w:r>
          </w:p>
        </w:tc>
      </w:tr>
      <w:tr>
        <w:trPr>
          <w:trHeight w:val="214"/>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1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26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33</w:t>
            </w:r>
          </w:p>
        </w:tc>
      </w:tr>
      <w:tr>
        <w:trPr>
          <w:trHeight w:val="207"/>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periodic pension expense</w:t>
            </w:r>
          </w:p>
        </w:tc>
        <w:tc>
          <w:tcPr>
            <w:tcW w:w="2680" w:type="dxa"/>
            <w:vAlign w:val="bottom"/>
          </w:tcPr>
          <w:p>
            <w:pPr>
              <w:spacing w:after="0"/>
              <w:rPr>
                <w:sz w:val="18"/>
                <w:szCs w:val="18"/>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2,056</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2,012</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1,809</w:t>
            </w:r>
          </w:p>
        </w:tc>
      </w:tr>
      <w:tr>
        <w:trPr>
          <w:trHeight w:val="20"/>
        </w:trPr>
        <w:tc>
          <w:tcPr>
            <w:tcW w:w="3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23"/>
        </w:trPr>
        <w:tc>
          <w:tcPr>
            <w:tcW w:w="3940" w:type="dxa"/>
            <w:vAlign w:val="bottom"/>
          </w:tcPr>
          <w:p>
            <w:pPr>
              <w:spacing w:after="0"/>
              <w:rPr>
                <w:sz w:val="24"/>
                <w:szCs w:val="24"/>
                <w:color w:val="auto"/>
              </w:rPr>
            </w:pPr>
          </w:p>
        </w:tc>
        <w:tc>
          <w:tcPr>
            <w:tcW w:w="2900" w:type="dxa"/>
            <w:vAlign w:val="bottom"/>
            <w:gridSpan w:val="2"/>
          </w:tcPr>
          <w:p>
            <w:pPr>
              <w:jc w:val="right"/>
              <w:ind w:right="951"/>
              <w:spacing w:after="0"/>
              <w:rPr>
                <w:sz w:val="20"/>
                <w:szCs w:val="20"/>
                <w:color w:val="auto"/>
              </w:rPr>
            </w:pPr>
            <w:r>
              <w:rPr>
                <w:rFonts w:ascii="Times New Roman" w:cs="Times New Roman" w:eastAsia="Times New Roman" w:hAnsi="Times New Roman"/>
                <w:sz w:val="18"/>
                <w:szCs w:val="18"/>
                <w:color w:val="auto"/>
              </w:rPr>
              <w:t>F-30</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755"/>
        </w:trPr>
        <w:tc>
          <w:tcPr>
            <w:tcW w:w="39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-1069340</wp:posOffset>
            </wp:positionV>
            <wp:extent cx="1016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8">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-1069340</wp:posOffset>
            </wp:positionV>
            <wp:extent cx="9334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9">
                      <a:extLst>
                        <a:ext uri="{28A0092B-C50C-407E-A947-70E740481C1C}"/>
                      </a:extLst>
                    </a:blip>
                    <a:srcRect/>
                    <a:stretch>
                      <a:fillRect/>
                    </a:stretch>
                  </pic:blipFill>
                  <pic:spPr bwMode="auto">
                    <a:xfrm>
                      <a:off x="0" y="0"/>
                      <a:ext cx="93345" cy="825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91" w:name="page92"/>
    <w:bookmarkEnd w:id="9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Changes in the benefit obligations and plan assets for the non-U.S. defined benefit plan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20" w:type="dxa"/>
            <w:vAlign w:val="bottom"/>
            <w:tcBorders>
              <w:bottom w:val="single" w:sz="8" w:color="auto"/>
            </w:tcBorders>
          </w:tcPr>
          <w:p>
            <w:pPr>
              <w:spacing w:after="0"/>
              <w:rPr>
                <w:sz w:val="14"/>
                <w:szCs w:val="14"/>
                <w:color w:val="auto"/>
              </w:rPr>
            </w:pPr>
          </w:p>
        </w:tc>
      </w:tr>
      <w:tr>
        <w:trPr>
          <w:trHeight w:val="116"/>
        </w:trPr>
        <w:tc>
          <w:tcPr>
            <w:tcW w:w="7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right"/>
              <w:ind w:right="494"/>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jc w:val="right"/>
              <w:ind w:right="493"/>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r>
      <w:tr>
        <w:trPr>
          <w:trHeight w:val="172"/>
        </w:trPr>
        <w:tc>
          <w:tcPr>
            <w:tcW w:w="7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Obligation and funded status of plan:</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17,299</w:t>
            </w:r>
          </w:p>
        </w:tc>
        <w:tc>
          <w:tcPr>
            <w:tcW w:w="62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16,194</w:t>
            </w:r>
          </w:p>
        </w:tc>
      </w:tr>
      <w:tr>
        <w:trPr>
          <w:trHeight w:val="21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1,468</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1,456</w:t>
            </w:r>
          </w:p>
        </w:tc>
      </w:tr>
      <w:tr>
        <w:trPr>
          <w:trHeight w:val="21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1,042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939</w:t>
            </w:r>
          </w:p>
        </w:tc>
      </w:tr>
      <w:tr>
        <w:trPr>
          <w:trHeight w:val="21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1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Actuarial (gain) loss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07"/>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Benefit obligation at end of year</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17,132</w:t>
            </w:r>
          </w:p>
        </w:tc>
        <w:tc>
          <w:tcPr>
            <w:tcW w:w="62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17,299</w:t>
            </w: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4"/>
        </w:trPr>
        <w:tc>
          <w:tcPr>
            <w:tcW w:w="774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Change in plan assets:</w:t>
            </w:r>
          </w:p>
        </w:tc>
        <w:tc>
          <w:tcPr>
            <w:tcW w:w="2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21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8,432</w:t>
            </w:r>
          </w:p>
        </w:tc>
        <w:tc>
          <w:tcPr>
            <w:tcW w:w="62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7,665</w:t>
            </w:r>
          </w:p>
        </w:tc>
      </w:tr>
      <w:tr>
        <w:trPr>
          <w:trHeight w:val="21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608</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597</w:t>
            </w:r>
          </w:p>
        </w:tc>
      </w:tr>
      <w:tr>
        <w:trPr>
          <w:trHeight w:val="21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26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1,532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1,122</w:t>
            </w:r>
          </w:p>
        </w:tc>
      </w:tr>
      <w:tr>
        <w:trPr>
          <w:trHeight w:val="21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1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47"/>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Fair value of plan assets at end of year</w:t>
            </w: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9,604</w:t>
            </w:r>
          </w:p>
        </w:tc>
        <w:tc>
          <w:tcPr>
            <w:tcW w:w="1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8,432</w:t>
            </w:r>
          </w:p>
        </w:tc>
      </w:tr>
      <w:tr>
        <w:trPr>
          <w:trHeight w:val="194"/>
        </w:trPr>
        <w:tc>
          <w:tcPr>
            <w:tcW w:w="7740" w:type="dxa"/>
            <w:vAlign w:val="bottom"/>
          </w:tcPr>
          <w:p>
            <w:pPr>
              <w:ind w:left="420"/>
              <w:spacing w:after="0" w:line="195" w:lineRule="exact"/>
              <w:rPr>
                <w:sz w:val="20"/>
                <w:szCs w:val="20"/>
                <w:color w:val="auto"/>
              </w:rPr>
            </w:pPr>
            <w:r>
              <w:rPr>
                <w:rFonts w:ascii="Times New Roman" w:cs="Times New Roman" w:eastAsia="Times New Roman" w:hAnsi="Times New Roman"/>
                <w:sz w:val="18"/>
                <w:szCs w:val="18"/>
                <w:b w:val="1"/>
                <w:bCs w:val="1"/>
                <w:color w:val="auto"/>
              </w:rPr>
              <w:t>Underfunded status at end of year</w:t>
            </w:r>
          </w:p>
        </w:tc>
        <w:tc>
          <w:tcPr>
            <w:tcW w:w="260" w:type="dxa"/>
            <w:vAlign w:val="bottom"/>
          </w:tcPr>
          <w:p>
            <w:pPr>
              <w:jc w:val="right"/>
              <w:ind w:right="9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(7,528)</w:t>
            </w:r>
          </w:p>
        </w:tc>
        <w:tc>
          <w:tcPr>
            <w:tcW w:w="620" w:type="dxa"/>
            <w:vAlign w:val="bottom"/>
            <w:gridSpan w:val="2"/>
          </w:tcPr>
          <w:p>
            <w:pPr>
              <w:jc w:val="right"/>
              <w:ind w:right="271"/>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(8,867)</w:t>
            </w: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5965825</wp:posOffset>
            </wp:positionH>
            <wp:positionV relativeFrom="paragraph">
              <wp:posOffset>-1315720</wp:posOffset>
            </wp:positionV>
            <wp:extent cx="1104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0">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-186055</wp:posOffset>
            </wp:positionV>
            <wp:extent cx="1104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1">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-168910</wp:posOffset>
            </wp:positionV>
            <wp:extent cx="1104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2">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underfunded plan amounts are recognized as a component of other long-term liabilities in the consolidated balance sheets.</w:t>
      </w:r>
    </w:p>
    <w:p>
      <w:pPr>
        <w:spacing w:after="0" w:line="114"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The following table presents the obligations and asset information for the non-U.S. defined benefit plan that has a projected benefit obligation in excess of plan assets: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20" w:type="dxa"/>
            <w:vAlign w:val="bottom"/>
            <w:tcBorders>
              <w:bottom w:val="single" w:sz="8" w:color="auto"/>
            </w:tcBorders>
          </w:tcPr>
          <w:p>
            <w:pPr>
              <w:spacing w:after="0"/>
              <w:rPr>
                <w:sz w:val="14"/>
                <w:szCs w:val="14"/>
                <w:color w:val="auto"/>
              </w:rPr>
            </w:pPr>
          </w:p>
        </w:tc>
      </w:tr>
      <w:tr>
        <w:trPr>
          <w:trHeight w:val="116"/>
        </w:trPr>
        <w:tc>
          <w:tcPr>
            <w:tcW w:w="7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center"/>
              <w:ind w:right="299"/>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jc w:val="center"/>
              <w:ind w:right="477"/>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r>
      <w:tr>
        <w:trPr>
          <w:trHeight w:val="172"/>
        </w:trPr>
        <w:tc>
          <w:tcPr>
            <w:tcW w:w="7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4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Projected benefit obligations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17,132</w:t>
            </w:r>
          </w:p>
        </w:tc>
        <w:tc>
          <w:tcPr>
            <w:tcW w:w="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17,299</w:t>
            </w:r>
          </w:p>
        </w:tc>
      </w:tr>
      <w:tr>
        <w:trPr>
          <w:trHeight w:val="21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Plan assets</w:t>
            </w:r>
          </w:p>
        </w:tc>
        <w:tc>
          <w:tcPr>
            <w:tcW w:w="2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9,604</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8,432</w:t>
            </w:r>
          </w:p>
        </w:tc>
      </w:tr>
      <w:tr>
        <w:trPr>
          <w:trHeight w:val="21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benefit obligations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10,857</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10,509</w:t>
            </w:r>
          </w:p>
        </w:tc>
      </w:tr>
      <w:tr>
        <w:trPr>
          <w:trHeight w:val="316"/>
        </w:trPr>
        <w:tc>
          <w:tcPr>
            <w:tcW w:w="94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 amounts recorded in AOCI for the non-U.S. defined benefit plan for the fiscal years ended March 27, 2026 and</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March 28, 2025 are further detailed below:</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4"/>
        </w:trPr>
        <w:tc>
          <w:tcPr>
            <w:tcW w:w="77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20" w:type="dxa"/>
            <w:vAlign w:val="bottom"/>
            <w:tcBorders>
              <w:bottom w:val="single" w:sz="8" w:color="auto"/>
            </w:tcBorders>
          </w:tcPr>
          <w:p>
            <w:pPr>
              <w:spacing w:after="0"/>
              <w:rPr>
                <w:sz w:val="22"/>
                <w:szCs w:val="22"/>
                <w:color w:val="auto"/>
              </w:rPr>
            </w:pPr>
          </w:p>
        </w:tc>
      </w:tr>
      <w:tr>
        <w:trPr>
          <w:trHeight w:val="116"/>
        </w:trPr>
        <w:tc>
          <w:tcPr>
            <w:tcW w:w="7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center"/>
              <w:ind w:right="299"/>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jc w:val="center"/>
              <w:ind w:right="477"/>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r>
      <w:tr>
        <w:trPr>
          <w:trHeight w:val="172"/>
        </w:trPr>
        <w:tc>
          <w:tcPr>
            <w:tcW w:w="7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497"/>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0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transition obligation</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w:t>
            </w:r>
          </w:p>
        </w:tc>
      </w:tr>
      <w:tr>
        <w:trPr>
          <w:trHeight w:val="21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4"/>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actuarial loss</w:t>
            </w: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894</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2,322</w:t>
            </w:r>
          </w:p>
        </w:tc>
      </w:tr>
      <w:tr>
        <w:trPr>
          <w:trHeight w:val="207"/>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Amounts in AOCI before tax</w:t>
            </w:r>
          </w:p>
        </w:tc>
        <w:tc>
          <w:tcPr>
            <w:tcW w:w="2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821</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2,256</w:t>
            </w:r>
          </w:p>
        </w:tc>
      </w:tr>
      <w:tr>
        <w:trPr>
          <w:trHeight w:val="214"/>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tax benefit</w:t>
            </w: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564</w:t>
            </w:r>
          </w:p>
        </w:tc>
      </w:tr>
      <w:tr>
        <w:trPr>
          <w:trHeight w:val="207"/>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net of tax</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616</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1,692</w:t>
            </w: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5965825</wp:posOffset>
            </wp:positionH>
            <wp:positionV relativeFrom="paragraph">
              <wp:posOffset>-449580</wp:posOffset>
            </wp:positionV>
            <wp:extent cx="1104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3">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-168910</wp:posOffset>
            </wp:positionV>
            <wp:extent cx="1104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4">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82"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There is no significant actuarial net gain or loss included in AOCI as of March 27, 2026 that is expected to be amortized into net periodic benefit cost over the next fiscal year.</w:t>
      </w:r>
    </w:p>
    <w:p>
      <w:pPr>
        <w:spacing w:after="0" w:line="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27, 2026, the Company does not expect a significant return of plan assets during the next 12 months.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92" w:name="page93"/>
    <w:bookmarkEnd w:id="9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 and Investment Policies</w:t>
      </w:r>
    </w:p>
    <w:p>
      <w:pPr>
        <w:spacing w:after="0" w:line="118" w:lineRule="exact"/>
        <w:rPr>
          <w:sz w:val="20"/>
          <w:szCs w:val="20"/>
          <w:color w:val="auto"/>
        </w:rPr>
      </w:pPr>
    </w:p>
    <w:p>
      <w:pPr>
        <w:jc w:val="both"/>
        <w:ind w:firstLine="562"/>
        <w:spacing w:after="0" w:line="263" w:lineRule="auto"/>
        <w:rPr>
          <w:sz w:val="20"/>
          <w:szCs w:val="20"/>
          <w:color w:val="auto"/>
        </w:rPr>
      </w:pPr>
      <w:r>
        <w:rPr>
          <w:rFonts w:ascii="Times New Roman" w:cs="Times New Roman" w:eastAsia="Times New Roman" w:hAnsi="Times New Roman"/>
          <w:sz w:val="18"/>
          <w:szCs w:val="18"/>
          <w:color w:val="auto"/>
        </w:rPr>
        <w:t>The actuarial assumptions and methodologies used in determining the projected benefit obligation and net periodic benefit cost are reviewed on an annual basis. The primary assumptions include the Non-U.S. assumed discount rates, the Non-U.S. expected long-term returns on plan assets, and the Non-U.S. rate of compensation increases.</w:t>
      </w:r>
    </w:p>
    <w:p>
      <w:pPr>
        <w:spacing w:after="0" w:line="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Weighted-Average Assumptions Used to Determine Projected Benefit Obligation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120" w:type="dxa"/>
            <w:vAlign w:val="bottom"/>
          </w:tcPr>
          <w:p>
            <w:pPr>
              <w:spacing w:after="0"/>
              <w:rPr>
                <w:sz w:val="13"/>
                <w:szCs w:val="13"/>
                <w:color w:val="auto"/>
              </w:rPr>
            </w:pPr>
          </w:p>
        </w:tc>
        <w:tc>
          <w:tcPr>
            <w:tcW w:w="152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March 28,</w:t>
            </w:r>
          </w:p>
        </w:tc>
      </w:tr>
      <w:tr>
        <w:trPr>
          <w:trHeight w:val="172"/>
        </w:trPr>
        <w:tc>
          <w:tcPr>
            <w:tcW w:w="6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7"/>
        </w:trPr>
        <w:tc>
          <w:tcPr>
            <w:tcW w:w="7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Non-U.S. assumed discount rate</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33"/>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Non-U.S. rate of compensation increases</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316"/>
        </w:trPr>
        <w:tc>
          <w:tcPr>
            <w:tcW w:w="7500" w:type="dxa"/>
            <w:vAlign w:val="bottom"/>
            <w:gridSpan w:val="2"/>
          </w:tcPr>
          <w:p>
            <w:pPr>
              <w:ind w:left="580"/>
              <w:spacing w:after="0"/>
              <w:rPr>
                <w:sz w:val="20"/>
                <w:szCs w:val="20"/>
                <w:color w:val="auto"/>
              </w:rPr>
            </w:pPr>
            <w:r>
              <w:rPr>
                <w:rFonts w:ascii="Times New Roman" w:cs="Times New Roman" w:eastAsia="Times New Roman" w:hAnsi="Times New Roman"/>
                <w:sz w:val="18"/>
                <w:szCs w:val="18"/>
                <w:i w:val="1"/>
                <w:iCs w:val="1"/>
                <w:color w:val="auto"/>
              </w:rPr>
              <w:t>Weighted-Average Assumptions Used to Determine Net Periodic Benefit Cost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9"/>
        </w:trPr>
        <w:tc>
          <w:tcPr>
            <w:tcW w:w="6480" w:type="dxa"/>
            <w:vAlign w:val="bottom"/>
          </w:tcPr>
          <w:p>
            <w:pPr>
              <w:spacing w:after="0"/>
              <w:rPr>
                <w:sz w:val="19"/>
                <w:szCs w:val="19"/>
                <w:color w:val="auto"/>
              </w:rPr>
            </w:pPr>
          </w:p>
        </w:tc>
        <w:tc>
          <w:tcPr>
            <w:tcW w:w="102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120" w:type="dxa"/>
            <w:vAlign w:val="bottom"/>
          </w:tcPr>
          <w:p>
            <w:pPr>
              <w:spacing w:after="0"/>
              <w:rPr>
                <w:sz w:val="19"/>
                <w:szCs w:val="19"/>
                <w:color w:val="auto"/>
              </w:rPr>
            </w:pPr>
          </w:p>
        </w:tc>
        <w:tc>
          <w:tcPr>
            <w:tcW w:w="15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72"/>
        </w:trPr>
        <w:tc>
          <w:tcPr>
            <w:tcW w:w="6480" w:type="dxa"/>
            <w:vAlign w:val="bottom"/>
          </w:tcPr>
          <w:p>
            <w:pPr>
              <w:spacing w:after="0"/>
              <w:rPr>
                <w:sz w:val="14"/>
                <w:szCs w:val="14"/>
                <w:color w:val="auto"/>
              </w:rPr>
            </w:pPr>
          </w:p>
        </w:tc>
        <w:tc>
          <w:tcPr>
            <w:tcW w:w="10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7"/>
        </w:trPr>
        <w:tc>
          <w:tcPr>
            <w:tcW w:w="7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Non-U.S. assumed discount rate</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7.27%</w:t>
            </w:r>
          </w:p>
        </w:tc>
        <w:tc>
          <w:tcPr>
            <w:tcW w:w="16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14"/>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Non-U.S. expected long-term return on plan assets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5.44%</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14"/>
        </w:trPr>
        <w:tc>
          <w:tcPr>
            <w:tcW w:w="7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Non-U.S. rate of compensation increases</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5.50%</w:t>
            </w:r>
          </w:p>
        </w:tc>
        <w:tc>
          <w:tcPr>
            <w:tcW w:w="16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on Plan Assets</w:t>
      </w:r>
    </w:p>
    <w:p>
      <w:pPr>
        <w:spacing w:after="0" w:line="118"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The table below sets forth the fair value of the entity’s plan assets using the same three-level hierarchy of fair value inputs described in Note 2, “Summary of Significant Accounting Policies”: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37"/>
              <w:spacing w:after="0" w:line="14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2"/>
        </w:trPr>
        <w:tc>
          <w:tcPr>
            <w:tcW w:w="4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of non-U.S. defined benefit plan:</w:t>
            </w: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securities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3,638</w:t>
            </w:r>
          </w:p>
        </w:tc>
        <w:tc>
          <w:tcPr>
            <w:tcW w:w="3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3,638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Unit investment trust fund</w:t>
            </w: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1,915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1,915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14"/>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Bonds</w:t>
            </w: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Stocks and other investments</w:t>
            </w:r>
          </w:p>
        </w:tc>
        <w:tc>
          <w:tcPr>
            <w:tcW w:w="1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2,978</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2,037</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47"/>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9,604</w:t>
            </w:r>
          </w:p>
        </w:tc>
        <w:tc>
          <w:tcPr>
            <w:tcW w:w="36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5,675</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2,229</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343"/>
        </w:trPr>
        <w:tc>
          <w:tcPr>
            <w:tcW w:w="4160" w:type="dxa"/>
            <w:vAlign w:val="bottom"/>
            <w:tcBorders>
              <w:top w:val="single" w:sz="8" w:color="CFF0FC"/>
            </w:tcBorders>
          </w:tcPr>
          <w:p>
            <w:pPr>
              <w:spacing w:after="0"/>
              <w:rPr>
                <w:sz w:val="24"/>
                <w:szCs w:val="24"/>
                <w:color w:val="auto"/>
              </w:rPr>
            </w:pPr>
          </w:p>
        </w:tc>
        <w:tc>
          <w:tcPr>
            <w:tcW w:w="16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37"/>
              <w:spacing w:after="0" w:line="147"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2"/>
        </w:trPr>
        <w:tc>
          <w:tcPr>
            <w:tcW w:w="4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of non-U.S. defined benefit plan:</w:t>
            </w: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securities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3,023</w:t>
            </w:r>
          </w:p>
        </w:tc>
        <w:tc>
          <w:tcPr>
            <w:tcW w:w="3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3,023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Unit investment trust fund</w:t>
            </w: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1,719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1,719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4"/>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Bonds</w:t>
            </w: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Stocks and other investments</w:t>
            </w:r>
          </w:p>
        </w:tc>
        <w:tc>
          <w:tcPr>
            <w:tcW w:w="1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2,695</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1,845</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47"/>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8,432</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4,868</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2,063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623"/>
        </w:trPr>
        <w:tc>
          <w:tcPr>
            <w:tcW w:w="4160" w:type="dxa"/>
            <w:vAlign w:val="bottom"/>
            <w:tcBorders>
              <w:top w:val="single" w:sz="8" w:color="CFF0FC"/>
            </w:tcBorders>
          </w:tcPr>
          <w:p>
            <w:pPr>
              <w:spacing w:after="0"/>
              <w:rPr>
                <w:sz w:val="24"/>
                <w:szCs w:val="24"/>
                <w:color w:val="auto"/>
              </w:rPr>
            </w:pPr>
          </w:p>
        </w:tc>
        <w:tc>
          <w:tcPr>
            <w:tcW w:w="1660" w:type="dxa"/>
            <w:vAlign w:val="bottom"/>
            <w:tcBorders>
              <w:top w:val="single" w:sz="8" w:color="CFF0FC"/>
            </w:tcBorders>
          </w:tcPr>
          <w:p>
            <w:pPr>
              <w:ind w:left="1300"/>
              <w:spacing w:after="0"/>
              <w:rPr>
                <w:sz w:val="20"/>
                <w:szCs w:val="20"/>
                <w:color w:val="auto"/>
              </w:rPr>
            </w:pPr>
            <w:r>
              <w:rPr>
                <w:rFonts w:ascii="Times New Roman" w:cs="Times New Roman" w:eastAsia="Times New Roman" w:hAnsi="Times New Roman"/>
                <w:sz w:val="18"/>
                <w:szCs w:val="18"/>
                <w:color w:val="auto"/>
                <w:w w:val="99"/>
              </w:rPr>
              <w:t>F-32</w:t>
            </w: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5"/>
        </w:trPr>
        <w:tc>
          <w:tcPr>
            <w:tcW w:w="41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-2352040</wp:posOffset>
            </wp:positionV>
            <wp:extent cx="850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-2334895</wp:posOffset>
            </wp:positionV>
            <wp:extent cx="850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9">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-2352040</wp:posOffset>
            </wp:positionV>
            <wp:extent cx="850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0">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-2334895</wp:posOffset>
            </wp:positionV>
            <wp:extent cx="850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1">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-2352040</wp:posOffset>
            </wp:positionV>
            <wp:extent cx="850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2">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-2334895</wp:posOffset>
            </wp:positionV>
            <wp:extent cx="850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3">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-925195</wp:posOffset>
            </wp:positionV>
            <wp:extent cx="850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4">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-908050</wp:posOffset>
            </wp:positionV>
            <wp:extent cx="850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5">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-925195</wp:posOffset>
            </wp:positionV>
            <wp:extent cx="850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6">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-908050</wp:posOffset>
            </wp:positionV>
            <wp:extent cx="850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7">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-925195</wp:posOffset>
            </wp:positionV>
            <wp:extent cx="850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-908050</wp:posOffset>
            </wp:positionV>
            <wp:extent cx="850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9">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93" w:name="page94"/>
    <w:bookmarkEnd w:id="9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change in fair value of Level 3 plan assets:</w:t>
      </w:r>
    </w:p>
    <w:p>
      <w:pPr>
        <w:spacing w:after="0" w:line="108"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Level 3 Non-U.S. Defined</w:t>
      </w:r>
    </w:p>
    <w:p>
      <w:pPr>
        <w:jc w:val="center"/>
        <w:ind w:left="7600"/>
        <w:spacing w:after="0" w:line="235" w:lineRule="auto"/>
        <w:rPr>
          <w:sz w:val="20"/>
          <w:szCs w:val="20"/>
          <w:color w:val="auto"/>
        </w:rPr>
      </w:pPr>
      <w:r>
        <w:rPr>
          <w:rFonts w:ascii="Times New Roman" w:cs="Times New Roman" w:eastAsia="Times New Roman" w:hAnsi="Times New Roman"/>
          <w:sz w:val="14"/>
          <w:szCs w:val="14"/>
          <w:b w:val="1"/>
          <w:bCs w:val="1"/>
          <w:color w:val="auto"/>
        </w:rPr>
        <w:t>Plan Assets</w:t>
      </w:r>
    </w:p>
    <w:tbl>
      <w:tblPr>
        <w:tblLayout w:type="fixed"/>
        <w:tblInd w:w="0" w:type="dxa"/>
        <w:tblCellMar>
          <w:top w:w="0" w:type="dxa"/>
          <w:left w:w="0" w:type="dxa"/>
          <w:bottom w:w="0" w:type="dxa"/>
          <w:right w:w="0" w:type="dxa"/>
        </w:tblCellMar>
      </w:tblPr>
      <w:tr>
        <w:trPr>
          <w:trHeight w:val="140"/>
        </w:trPr>
        <w:tc>
          <w:tcPr>
            <w:tcW w:w="5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49"/>
              <w:spacing w:after="0" w:line="141" w:lineRule="exact"/>
              <w:rPr>
                <w:sz w:val="20"/>
                <w:szCs w:val="20"/>
                <w:color w:val="auto"/>
              </w:rPr>
            </w:pPr>
            <w:r>
              <w:rPr>
                <w:rFonts w:ascii="Times New Roman" w:cs="Times New Roman" w:eastAsia="Times New Roman" w:hAnsi="Times New Roman"/>
                <w:sz w:val="14"/>
                <w:szCs w:val="14"/>
                <w:b w:val="1"/>
                <w:bCs w:val="1"/>
                <w:color w:val="auto"/>
              </w:rPr>
              <w:t>Loans</w:t>
            </w:r>
          </w:p>
        </w:tc>
        <w:tc>
          <w:tcPr>
            <w:tcW w:w="5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12"/>
              <w:spacing w:after="0" w:line="141" w:lineRule="exact"/>
              <w:rPr>
                <w:sz w:val="20"/>
                <w:szCs w:val="20"/>
                <w:color w:val="auto"/>
              </w:rPr>
            </w:pPr>
            <w:r>
              <w:rPr>
                <w:rFonts w:ascii="Times New Roman" w:cs="Times New Roman" w:eastAsia="Times New Roman" w:hAnsi="Times New Roman"/>
                <w:sz w:val="14"/>
                <w:szCs w:val="14"/>
                <w:b w:val="1"/>
                <w:bCs w:val="1"/>
                <w:color w:val="auto"/>
              </w:rPr>
              <w:t>Stocks</w:t>
            </w:r>
          </w:p>
        </w:tc>
      </w:tr>
      <w:tr>
        <w:trPr>
          <w:trHeight w:val="207"/>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29, 2024</w:t>
            </w:r>
          </w:p>
        </w:tc>
        <w:tc>
          <w:tcPr>
            <w:tcW w:w="3360" w:type="dxa"/>
            <w:vAlign w:val="bottom"/>
            <w:gridSpan w:val="2"/>
            <w:shd w:val="clear" w:color="auto" w:fill="CFF0FC"/>
          </w:tcPr>
          <w:p>
            <w:pPr>
              <w:jc w:val="right"/>
              <w:ind w:right="92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574</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909</w:t>
            </w:r>
          </w:p>
        </w:tc>
      </w:tr>
      <w:tr>
        <w:trPr>
          <w:trHeight w:val="214"/>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2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5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Redemptions</w:t>
            </w:r>
          </w:p>
        </w:tc>
        <w:tc>
          <w:tcPr>
            <w:tcW w:w="2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Revaluation of debt and equity securities</w:t>
            </w:r>
          </w:p>
        </w:tc>
        <w:tc>
          <w:tcPr>
            <w:tcW w:w="2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4"/>
        </w:trPr>
        <w:tc>
          <w:tcPr>
            <w:tcW w:w="5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foreign currency exchange rates</w:t>
            </w:r>
          </w:p>
        </w:tc>
        <w:tc>
          <w:tcPr>
            <w:tcW w:w="22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7"/>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28, 2025</w:t>
            </w:r>
          </w:p>
        </w:tc>
        <w:tc>
          <w:tcPr>
            <w:tcW w:w="3360" w:type="dxa"/>
            <w:vAlign w:val="bottom"/>
            <w:gridSpan w:val="2"/>
          </w:tcPr>
          <w:p>
            <w:pPr>
              <w:jc w:val="right"/>
              <w:ind w:right="92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654</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847</w:t>
            </w:r>
          </w:p>
        </w:tc>
      </w:tr>
      <w:tr>
        <w:trPr>
          <w:trHeight w:val="214"/>
        </w:trPr>
        <w:tc>
          <w:tcPr>
            <w:tcW w:w="5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2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558</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Redemptions</w:t>
            </w:r>
          </w:p>
        </w:tc>
        <w:tc>
          <w:tcPr>
            <w:tcW w:w="2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5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Revaluation of debt and equity securities</w:t>
            </w:r>
          </w:p>
        </w:tc>
        <w:tc>
          <w:tcPr>
            <w:tcW w:w="2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r>
      <w:tr>
        <w:trPr>
          <w:trHeight w:val="214"/>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foreign currency exchange rates</w:t>
            </w:r>
          </w:p>
        </w:tc>
        <w:tc>
          <w:tcPr>
            <w:tcW w:w="22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7"/>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27, 2026</w:t>
            </w:r>
          </w:p>
        </w:tc>
        <w:tc>
          <w:tcPr>
            <w:tcW w:w="3360" w:type="dxa"/>
            <w:vAlign w:val="bottom"/>
            <w:gridSpan w:val="2"/>
            <w:shd w:val="clear" w:color="auto" w:fill="CFF0FC"/>
          </w:tcPr>
          <w:p>
            <w:pPr>
              <w:jc w:val="right"/>
              <w:ind w:right="92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760</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940</w:t>
            </w: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5965825</wp:posOffset>
            </wp:positionH>
            <wp:positionV relativeFrom="paragraph">
              <wp:posOffset>-857250</wp:posOffset>
            </wp:positionV>
            <wp:extent cx="1104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0">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-24765</wp:posOffset>
            </wp:positionV>
            <wp:extent cx="1104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1">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-7620</wp:posOffset>
            </wp:positionV>
            <wp:extent cx="1104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2">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82"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The investments in the Company’s major benefit plans largely consist of low-cost, broad-market index funds to mitigate risks of concentration within the market sectors. The appropriate mix of equity and bond investments is determined primarily through the use of detailed asset-liability modeling studies that look to balance the impact of changes in the discount rate against the need to provide asset growth to cover future service cost. The Company has added a greater proportion of fixed income securities to the non-U.S. defined benefit plan with return characteristics that are more closely aligned with changes in liabilities caused by discount rate volatility. There are no significant restrictions on the amount or nature of the investments that may be acquired or held by the plans.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18" w:lineRule="exact"/>
        <w:rPr>
          <w:sz w:val="20"/>
          <w:szCs w:val="20"/>
          <w:color w:val="auto"/>
        </w:rPr>
      </w:pPr>
    </w:p>
    <w:p>
      <w:pPr>
        <w:jc w:val="both"/>
        <w:ind w:firstLine="562"/>
        <w:spacing w:after="0" w:line="263" w:lineRule="auto"/>
        <w:rPr>
          <w:sz w:val="20"/>
          <w:szCs w:val="20"/>
          <w:color w:val="auto"/>
        </w:rPr>
      </w:pPr>
      <w:r>
        <w:rPr>
          <w:rFonts w:ascii="Times New Roman" w:cs="Times New Roman" w:eastAsia="Times New Roman" w:hAnsi="Times New Roman"/>
          <w:sz w:val="18"/>
          <w:szCs w:val="18"/>
          <w:color w:val="auto"/>
        </w:rPr>
        <w:t>During the fiscal years ended March 27, 2026, March 28, 2025 and March 29, 2024, the Company contributed approximately $1,532, $1,122 and $1,230 to its non-U.S. defined benefit plan, respectively. The Company expects to contribute approximately $2,790 to its non-U.S. defined benefit plan in fiscal year 2027.</w:t>
      </w:r>
    </w:p>
    <w:p>
      <w:pPr>
        <w:spacing w:after="0" w:line="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Estimated Future Benefit Payments</w:t>
      </w:r>
    </w:p>
    <w:p>
      <w:pPr>
        <w:spacing w:after="0" w:line="116" w:lineRule="exact"/>
        <w:rPr>
          <w:sz w:val="20"/>
          <w:szCs w:val="20"/>
          <w:color w:val="auto"/>
        </w:rPr>
      </w:pPr>
    </w:p>
    <w:p>
      <w:pPr>
        <w:jc w:val="both"/>
        <w:ind w:right="20" w:firstLine="562"/>
        <w:spacing w:after="0" w:line="278" w:lineRule="auto"/>
        <w:rPr>
          <w:sz w:val="20"/>
          <w:szCs w:val="20"/>
          <w:color w:val="auto"/>
        </w:rPr>
      </w:pPr>
      <w:r>
        <w:rPr>
          <w:rFonts w:ascii="Times New Roman" w:cs="Times New Roman" w:eastAsia="Times New Roman" w:hAnsi="Times New Roman"/>
          <w:sz w:val="18"/>
          <w:szCs w:val="18"/>
          <w:color w:val="auto"/>
        </w:rPr>
        <w:t>The following table projects the benefits expected to be paid to participants from the plans in each of the following fiscal years. The majority of the payments will be paid from Company assets.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0" w:type="dxa"/>
            <w:vAlign w:val="bottom"/>
          </w:tcPr>
          <w:p>
            <w:pPr>
              <w:spacing w:after="0"/>
              <w:rPr>
                <w:sz w:val="1"/>
                <w:szCs w:val="1"/>
                <w:color w:val="auto"/>
              </w:rPr>
            </w:pPr>
          </w:p>
        </w:tc>
      </w:tr>
      <w:tr>
        <w:trPr>
          <w:trHeight w:val="172"/>
        </w:trPr>
        <w:tc>
          <w:tcPr>
            <w:tcW w:w="9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07"/>
        </w:trPr>
        <w:tc>
          <w:tcPr>
            <w:tcW w:w="9240" w:type="dxa"/>
            <w:vAlign w:val="bottom"/>
            <w:vMerge w:val="continue"/>
          </w:tcPr>
          <w:p>
            <w:pPr>
              <w:spacing w:after="0"/>
              <w:rPr>
                <w:sz w:val="18"/>
                <w:szCs w:val="18"/>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14"/>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1,585</w:t>
            </w:r>
          </w:p>
        </w:tc>
        <w:tc>
          <w:tcPr>
            <w:tcW w:w="0" w:type="dxa"/>
            <w:vAlign w:val="bottom"/>
          </w:tcPr>
          <w:p>
            <w:pPr>
              <w:spacing w:after="0"/>
              <w:rPr>
                <w:sz w:val="1"/>
                <w:szCs w:val="1"/>
                <w:color w:val="auto"/>
              </w:rPr>
            </w:pPr>
          </w:p>
        </w:tc>
      </w:tr>
      <w:tr>
        <w:trPr>
          <w:trHeight w:val="21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tcPr>
          <w:p>
            <w:pPr>
              <w:spacing w:after="0"/>
              <w:rPr>
                <w:sz w:val="18"/>
                <w:szCs w:val="18"/>
                <w:color w:val="auto"/>
              </w:rPr>
            </w:pP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14"/>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4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1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400" w:type="dxa"/>
            <w:vAlign w:val="bottom"/>
          </w:tcPr>
          <w:p>
            <w:pPr>
              <w:spacing w:after="0"/>
              <w:rPr>
                <w:sz w:val="18"/>
                <w:szCs w:val="18"/>
                <w:color w:val="auto"/>
              </w:rPr>
            </w:pP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14"/>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5 years thereafter</w:t>
            </w:r>
          </w:p>
        </w:tc>
        <w:tc>
          <w:tcPr>
            <w:tcW w:w="4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10,961</w:t>
            </w:r>
          </w:p>
        </w:tc>
        <w:tc>
          <w:tcPr>
            <w:tcW w:w="0" w:type="dxa"/>
            <w:vAlign w:val="bottom"/>
          </w:tcPr>
          <w:p>
            <w:pPr>
              <w:spacing w:after="0"/>
              <w:rPr>
                <w:sz w:val="1"/>
                <w:szCs w:val="1"/>
                <w:color w:val="auto"/>
              </w:rPr>
            </w:pPr>
          </w:p>
        </w:tc>
      </w:tr>
      <w:tr>
        <w:trPr>
          <w:trHeight w:val="207"/>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19,037</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1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maintains a 401(k) retirement savings plan (the “401(k) Plan”) for U.S.-based employees who satisfy certain eligibility requirements.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employees may defer a portion of their eligible compensation, within prescribed limits, through contributions to the 401(k) Plan. The Company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matches participants’ contributions, up to a maximum of 5% of a participant’s eligible compensation, up to the statutory compensation limit, and these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matching contributions are fully vested as of the date they are made. Matching contributions totaled $3,795, $5,910 and $5,956 for the fiscal years ended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 March 28, 2025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2024, respectively.</w:t>
      </w:r>
    </w:p>
    <w:p>
      <w:pPr>
        <w:spacing w:after="0" w:line="95"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The Company also has a defined contribution plan covering substantially all of its European employees. Contributions to this plan totaled approximately $1,833, $1,957 and $1,549 for the fiscal years ended March 27, 2026, March 28, 2025 and March 29, 2024,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94" w:name="page95"/>
    <w:bookmarkEnd w:id="9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346" w:lineRule="exact"/>
        <w:rPr>
          <w:sz w:val="20"/>
          <w:szCs w:val="20"/>
          <w:color w:val="auto"/>
        </w:rPr>
      </w:pPr>
    </w:p>
    <w:p>
      <w:pPr>
        <w:ind w:left="580" w:hanging="573"/>
        <w:spacing w:after="0"/>
        <w:tabs>
          <w:tab w:leader="none" w:pos="5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18"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 through its subsidiaries, utilizes self-insured employee health programs for employees in the U.S. The Company records estimated liabilities for its self-insured health programs based on information provided by the third-party plan administrators, historical claims experience and expected costs of claims incurred but not reported. The Company monitors its estimated liabilities on a quarterly basis. As facts change, it may become necessary to make adjustments that could be material to the Company’s consolidated financial position and results of operations.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18"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legal proceedings and claims, and regulatory examinations or investigations arising in the normal course of business, the outcomes of which are subject to significant uncertainty, and the Company’s ultimate liability, if any, is difficult to predict. The Company records an accrual for legal contingencies when it is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the ability to make a reasonable estimate of the loss. If the occurrence of liability is probable and estimable, the Company will disclose the nature of the contingency and the likely amount of such loss or range of loss. The Company is not aware of any pending or threatened legal proceeding against the Company that it believes could have a material adverse effect on the Company’s business, operating results, cash flows or financial position.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18" w:lineRule="exact"/>
        <w:rPr>
          <w:sz w:val="20"/>
          <w:szCs w:val="20"/>
          <w:color w:val="auto"/>
        </w:rPr>
      </w:pPr>
    </w:p>
    <w:p>
      <w:pPr>
        <w:jc w:val="both"/>
        <w:ind w:firstLine="562"/>
        <w:spacing w:after="0" w:line="263" w:lineRule="auto"/>
        <w:rPr>
          <w:sz w:val="20"/>
          <w:szCs w:val="20"/>
          <w:color w:val="auto"/>
        </w:rPr>
      </w:pPr>
      <w:r>
        <w:rPr>
          <w:rFonts w:ascii="Times New Roman" w:cs="Times New Roman" w:eastAsia="Times New Roman" w:hAnsi="Times New Roman"/>
          <w:sz w:val="18"/>
          <w:szCs w:val="18"/>
          <w:color w:val="auto"/>
        </w:rPr>
        <w:t>From time to time, the Company has agreed to indemnify and hold harmless certain customers for potential allegations of infringement of intellectual property rights and patents arising from the use of its products. To date, the Company has not recognized or incurred any costs in connection with such indemnification arrangements.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18"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The Company establishes accrued liabilities for environmental matters when it is probable that a liability has been incurred and the amount of the liability can be reasonably estimated. If the contingency is resolved for an amount greater or less than the accrual, or the Company’s share of the contingency increases or decreases or other assumptions relevant to the development of the estimate were to change, the Company would recognize an additional expense or benefit in the consolidated statements of operations during the period such determination was made. No significant environmental contingencies have been recorded.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95" w:name="page96"/>
    <w:bookmarkEnd w:id="9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346" w:lineRule="exact"/>
        <w:rPr>
          <w:sz w:val="20"/>
          <w:szCs w:val="20"/>
          <w:color w:val="auto"/>
        </w:rPr>
      </w:pPr>
    </w:p>
    <w:p>
      <w:pPr>
        <w:ind w:left="580" w:hanging="573"/>
        <w:spacing w:after="0"/>
        <w:tabs>
          <w:tab w:leader="none" w:pos="5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Income per Share</w:t>
      </w:r>
    </w:p>
    <w:p>
      <w:pPr>
        <w:spacing w:after="0" w:line="11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basic and diluted net (loss) income attributable to Allegro MicroSystems, Inc. per share.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6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right"/>
              <w:ind w:right="396"/>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right"/>
              <w:ind w:right="376"/>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right"/>
              <w:ind w:right="376"/>
              <w:spacing w:after="0" w:line="116"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0" w:type="dxa"/>
            <w:vAlign w:val="bottom"/>
          </w:tcPr>
          <w:p>
            <w:pPr>
              <w:spacing w:after="0"/>
              <w:rPr>
                <w:sz w:val="1"/>
                <w:szCs w:val="1"/>
                <w:color w:val="auto"/>
              </w:rPr>
            </w:pPr>
          </w:p>
        </w:tc>
      </w:tr>
      <w:tr>
        <w:trPr>
          <w:trHeight w:val="172"/>
        </w:trPr>
        <w:tc>
          <w:tcPr>
            <w:tcW w:w="6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attributable to Allegro MicroSystems, Inc.</w:t>
            </w: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(14,897)</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(73,010)</w:t>
            </w:r>
          </w:p>
        </w:tc>
        <w:tc>
          <w:tcPr>
            <w:tcW w:w="36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152,697</w:t>
            </w:r>
          </w:p>
        </w:tc>
        <w:tc>
          <w:tcPr>
            <w:tcW w:w="0" w:type="dxa"/>
            <w:vAlign w:val="bottom"/>
          </w:tcPr>
          <w:p>
            <w:pPr>
              <w:spacing w:after="0"/>
              <w:rPr>
                <w:sz w:val="1"/>
                <w:szCs w:val="1"/>
                <w:color w:val="auto"/>
              </w:rPr>
            </w:pPr>
          </w:p>
        </w:tc>
      </w:tr>
      <w:tr>
        <w:trPr>
          <w:trHeight w:val="408"/>
        </w:trPr>
        <w:tc>
          <w:tcPr>
            <w:tcW w:w="6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185,035,670</w:t>
            </w: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187,707,391</w:t>
            </w: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192,573,169</w:t>
            </w:r>
          </w:p>
        </w:tc>
        <w:tc>
          <w:tcPr>
            <w:tcW w:w="0" w:type="dxa"/>
            <w:vAlign w:val="bottom"/>
          </w:tcPr>
          <w:p>
            <w:pPr>
              <w:spacing w:after="0"/>
              <w:rPr>
                <w:sz w:val="1"/>
                <w:szCs w:val="1"/>
                <w:color w:val="auto"/>
              </w:rPr>
            </w:pPr>
          </w:p>
        </w:tc>
      </w:tr>
      <w:tr>
        <w:trPr>
          <w:trHeight w:val="214"/>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2,101,183</w:t>
            </w:r>
          </w:p>
        </w:tc>
        <w:tc>
          <w:tcPr>
            <w:tcW w:w="0" w:type="dxa"/>
            <w:vAlign w:val="bottom"/>
          </w:tcPr>
          <w:p>
            <w:pPr>
              <w:spacing w:after="0"/>
              <w:rPr>
                <w:sz w:val="1"/>
                <w:szCs w:val="1"/>
                <w:color w:val="auto"/>
              </w:rPr>
            </w:pPr>
          </w:p>
        </w:tc>
      </w:tr>
      <w:tr>
        <w:trPr>
          <w:trHeight w:val="20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185,035,670</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187,707,391</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194,674,352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Basic net (loss) income per common share attributable to Allegro MicroSystems, Inc.</w:t>
            </w:r>
          </w:p>
        </w:tc>
        <w:tc>
          <w:tcPr>
            <w:tcW w:w="22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vMerge w:val="restart"/>
            <w:shd w:val="clear" w:color="auto" w:fill="CFF0FC"/>
          </w:tcPr>
          <w:p>
            <w:pPr>
              <w:spacing w:after="0"/>
              <w:rPr>
                <w:sz w:val="17"/>
                <w:szCs w:val="17"/>
                <w:color w:val="auto"/>
              </w:rPr>
            </w:pPr>
          </w:p>
        </w:tc>
        <w:tc>
          <w:tcPr>
            <w:tcW w:w="22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vMerge w:val="restart"/>
            <w:shd w:val="clear" w:color="auto" w:fill="CFF0FC"/>
          </w:tcPr>
          <w:p>
            <w:pPr>
              <w:spacing w:after="0"/>
              <w:rPr>
                <w:sz w:val="17"/>
                <w:szCs w:val="17"/>
                <w:color w:val="auto"/>
              </w:rPr>
            </w:pPr>
          </w:p>
        </w:tc>
        <w:tc>
          <w:tcPr>
            <w:tcW w:w="22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32"/>
        </w:trPr>
        <w:tc>
          <w:tcPr>
            <w:tcW w:w="6620" w:type="dxa"/>
            <w:vAlign w:val="bottom"/>
            <w:tcBorders>
              <w:bottom w:val="single" w:sz="8" w:color="CFF0FC"/>
            </w:tcBorders>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tcBorders>
              <w:bottom w:val="single" w:sz="8" w:color="auto"/>
            </w:tcBorders>
            <w:vMerge w:val="continue"/>
            <w:shd w:val="clear" w:color="auto" w:fill="CFF0FC"/>
          </w:tcPr>
          <w:p>
            <w:pPr>
              <w:spacing w:after="0"/>
              <w:rPr>
                <w:sz w:val="20"/>
                <w:szCs w:val="20"/>
                <w:color w:val="auto"/>
              </w:rPr>
            </w:pPr>
          </w:p>
        </w:tc>
        <w:tc>
          <w:tcPr>
            <w:tcW w:w="124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vMerge w:val="continue"/>
            <w:shd w:val="clear" w:color="auto" w:fill="CFF0FC"/>
          </w:tcPr>
          <w:p>
            <w:pPr>
              <w:spacing w:after="0"/>
              <w:rPr>
                <w:sz w:val="20"/>
                <w:szCs w:val="20"/>
                <w:color w:val="auto"/>
              </w:rPr>
            </w:pPr>
          </w:p>
        </w:tc>
        <w:tc>
          <w:tcPr>
            <w:tcW w:w="220" w:type="dxa"/>
            <w:vAlign w:val="bottom"/>
            <w:tcBorders>
              <w:bottom w:val="single" w:sz="8" w:color="auto"/>
            </w:tcBorders>
            <w:vMerge w:val="continue"/>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vMerge w:val="continue"/>
            <w:shd w:val="clear" w:color="auto" w:fill="CFF0FC"/>
          </w:tcPr>
          <w:p>
            <w:pPr>
              <w:spacing w:after="0"/>
              <w:rPr>
                <w:sz w:val="20"/>
                <w:szCs w:val="20"/>
                <w:color w:val="auto"/>
              </w:rPr>
            </w:pPr>
          </w:p>
        </w:tc>
        <w:tc>
          <w:tcPr>
            <w:tcW w:w="220" w:type="dxa"/>
            <w:vAlign w:val="bottom"/>
            <w:tcBorders>
              <w:bottom w:val="single" w:sz="8" w:color="auto"/>
            </w:tcBorders>
            <w:vMerge w:val="continue"/>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income per common share attributable to Allegro MicroSystems, Inc.</w:t>
            </w:r>
          </w:p>
        </w:tc>
        <w:tc>
          <w:tcPr>
            <w:tcW w:w="2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36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192"/>
        </w:trPr>
        <w:tc>
          <w:tcPr>
            <w:tcW w:w="66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-1417320</wp:posOffset>
            </wp:positionV>
            <wp:extent cx="1016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5">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-1400810</wp:posOffset>
            </wp:positionV>
            <wp:extent cx="1016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6">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-1417320</wp:posOffset>
            </wp:positionV>
            <wp:extent cx="9334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7">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-1400810</wp:posOffset>
            </wp:positionV>
            <wp:extent cx="9334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8">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-984250</wp:posOffset>
            </wp:positionV>
            <wp:extent cx="1016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9">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-984250</wp:posOffset>
            </wp:positionV>
            <wp:extent cx="9334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0">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-432435</wp:posOffset>
            </wp:positionV>
            <wp:extent cx="1016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1">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-415290</wp:posOffset>
            </wp:positionV>
            <wp:extent cx="1016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2">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-432435</wp:posOffset>
            </wp:positionV>
            <wp:extent cx="9334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3">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-415290</wp:posOffset>
            </wp:positionV>
            <wp:extent cx="9334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4">
                      <a:extLst>
                        <a:ext uri="{28A0092B-C50C-407E-A947-70E740481C1C}"/>
                      </a:extLst>
                    </a:blip>
                    <a:srcRect/>
                    <a:stretch>
                      <a:fillRect/>
                    </a:stretch>
                  </pic:blipFill>
                  <pic:spPr bwMode="auto">
                    <a:xfrm>
                      <a:off x="0" y="0"/>
                      <a:ext cx="93345" cy="8255"/>
                    </a:xfrm>
                    <a:prstGeom prst="rect">
                      <a:avLst/>
                    </a:prstGeom>
                    <a:noFill/>
                  </pic:spPr>
                </pic:pic>
              </a:graphicData>
            </a:graphic>
          </wp:anchor>
        </w:drawing>
      </w:r>
    </w:p>
    <w:p>
      <w:pPr>
        <w:spacing w:after="0" w:line="283"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computed net (loss) income per share for the fiscal years ended March 27, 2026, March 28, 2025 and March 29, 2024 does not assume conversion of securities that would have an antidilutive effect on net (loss) income per share. The following represents contingently issuable shares under the restricted stock units (“RSUs”) and performance-based restricted stock units (“PSUs”) excluded from the computation of net (loss) income per share, as such securities would have an antidilutive effect on net (loss) income per share if the Company had reported net income for the respective periods: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2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r>
      <w:tr>
        <w:trPr>
          <w:trHeight w:val="116"/>
        </w:trPr>
        <w:tc>
          <w:tcPr>
            <w:tcW w:w="6620" w:type="dxa"/>
            <w:vAlign w:val="bottom"/>
          </w:tcPr>
          <w:p>
            <w:pPr>
              <w:spacing w:after="0"/>
              <w:rPr>
                <w:sz w:val="10"/>
                <w:szCs w:val="10"/>
                <w:color w:val="auto"/>
              </w:rPr>
            </w:pPr>
          </w:p>
        </w:tc>
        <w:tc>
          <w:tcPr>
            <w:tcW w:w="1460" w:type="dxa"/>
            <w:vAlign w:val="bottom"/>
          </w:tcPr>
          <w:p>
            <w:pPr>
              <w:jc w:val="right"/>
              <w:ind w:right="401"/>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00" w:type="dxa"/>
            <w:vAlign w:val="bottom"/>
          </w:tcPr>
          <w:p>
            <w:pPr>
              <w:spacing w:after="0"/>
              <w:rPr>
                <w:sz w:val="10"/>
                <w:szCs w:val="10"/>
                <w:color w:val="auto"/>
              </w:rPr>
            </w:pPr>
          </w:p>
        </w:tc>
        <w:tc>
          <w:tcPr>
            <w:tcW w:w="1460" w:type="dxa"/>
            <w:vAlign w:val="bottom"/>
          </w:tcPr>
          <w:p>
            <w:pPr>
              <w:jc w:val="center"/>
              <w:ind w:right="50"/>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20" w:type="dxa"/>
            <w:vAlign w:val="bottom"/>
          </w:tcPr>
          <w:p>
            <w:pPr>
              <w:spacing w:after="0"/>
              <w:rPr>
                <w:sz w:val="10"/>
                <w:szCs w:val="10"/>
                <w:color w:val="auto"/>
              </w:rPr>
            </w:pPr>
          </w:p>
        </w:tc>
        <w:tc>
          <w:tcPr>
            <w:tcW w:w="1480" w:type="dxa"/>
            <w:vAlign w:val="bottom"/>
          </w:tcPr>
          <w:p>
            <w:pPr>
              <w:jc w:val="right"/>
              <w:ind w:right="411"/>
              <w:spacing w:after="0" w:line="116" w:lineRule="exact"/>
              <w:rPr>
                <w:sz w:val="20"/>
                <w:szCs w:val="20"/>
                <w:color w:val="auto"/>
              </w:rPr>
            </w:pPr>
            <w:r>
              <w:rPr>
                <w:rFonts w:ascii="Times New Roman" w:cs="Times New Roman" w:eastAsia="Times New Roman" w:hAnsi="Times New Roman"/>
                <w:sz w:val="13"/>
                <w:szCs w:val="13"/>
                <w:b w:val="1"/>
                <w:bCs w:val="1"/>
                <w:color w:val="auto"/>
              </w:rPr>
              <w:t>March 29,</w:t>
            </w:r>
          </w:p>
        </w:tc>
      </w:tr>
      <w:tr>
        <w:trPr>
          <w:trHeight w:val="172"/>
        </w:trPr>
        <w:tc>
          <w:tcPr>
            <w:tcW w:w="6620" w:type="dxa"/>
            <w:vAlign w:val="bottom"/>
          </w:tcPr>
          <w:p>
            <w:pPr>
              <w:spacing w:after="0"/>
              <w:rPr>
                <w:sz w:val="14"/>
                <w:szCs w:val="14"/>
                <w:color w:val="auto"/>
              </w:rPr>
            </w:pPr>
          </w:p>
        </w:tc>
        <w:tc>
          <w:tcPr>
            <w:tcW w:w="14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4"/>
                <w:szCs w:val="14"/>
                <w:color w:val="auto"/>
              </w:rPr>
            </w:pPr>
          </w:p>
        </w:tc>
        <w:tc>
          <w:tcPr>
            <w:tcW w:w="14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7"/>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w:t>
            </w:r>
          </w:p>
        </w:tc>
        <w:tc>
          <w:tcPr>
            <w:tcW w:w="14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11,940</w:t>
            </w:r>
          </w:p>
        </w:tc>
        <w:tc>
          <w:tcPr>
            <w:tcW w:w="15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451,087</w:t>
            </w:r>
          </w:p>
        </w:tc>
        <w:tc>
          <w:tcPr>
            <w:tcW w:w="160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40,257</w:t>
            </w:r>
          </w:p>
        </w:tc>
      </w:tr>
      <w:tr>
        <w:trPr>
          <w:trHeight w:val="23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PSUs</w:t>
            </w:r>
          </w:p>
        </w:tc>
        <w:tc>
          <w:tcPr>
            <w:tcW w:w="14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21,248</w:t>
            </w:r>
          </w:p>
        </w:tc>
        <w:tc>
          <w:tcPr>
            <w:tcW w:w="1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91,210</w:t>
            </w:r>
          </w:p>
        </w:tc>
        <w:tc>
          <w:tcPr>
            <w:tcW w:w="160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129,837</w:t>
            </w:r>
          </w:p>
        </w:tc>
      </w:tr>
    </w:tbl>
    <w:p>
      <w:pPr>
        <w:spacing w:after="0" w:line="83" w:lineRule="exact"/>
        <w:rPr>
          <w:sz w:val="20"/>
          <w:szCs w:val="20"/>
          <w:color w:val="auto"/>
        </w:rPr>
      </w:pPr>
    </w:p>
    <w:p>
      <w:pPr>
        <w:jc w:val="both"/>
        <w:ind w:right="20" w:firstLine="562"/>
        <w:spacing w:after="0" w:line="278" w:lineRule="auto"/>
        <w:rPr>
          <w:sz w:val="20"/>
          <w:szCs w:val="20"/>
          <w:color w:val="auto"/>
        </w:rPr>
      </w:pPr>
      <w:r>
        <w:rPr>
          <w:rFonts w:ascii="Times New Roman" w:cs="Times New Roman" w:eastAsia="Times New Roman" w:hAnsi="Times New Roman"/>
          <w:sz w:val="18"/>
          <w:szCs w:val="18"/>
          <w:color w:val="auto"/>
        </w:rPr>
        <w:t>The following table represents issued and issuable weighted average share information underlying our outstanding RSUs, PSUs and participation in our employee stock purchase plan (“ESPP”) for the respective period:</w:t>
      </w:r>
    </w:p>
    <w:p>
      <w:pPr>
        <w:spacing w:after="0" w:line="49"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6620" w:type="dxa"/>
            <w:vAlign w:val="bottom"/>
          </w:tcPr>
          <w:p>
            <w:pPr>
              <w:spacing w:after="0"/>
              <w:rPr>
                <w:sz w:val="10"/>
                <w:szCs w:val="10"/>
                <w:color w:val="auto"/>
              </w:rPr>
            </w:pPr>
          </w:p>
        </w:tc>
        <w:tc>
          <w:tcPr>
            <w:tcW w:w="1060" w:type="dxa"/>
            <w:vAlign w:val="bottom"/>
            <w:tcBorders>
              <w:top w:val="single" w:sz="8" w:color="auto"/>
            </w:tcBorders>
          </w:tcPr>
          <w:p>
            <w:pPr>
              <w:jc w:val="center"/>
              <w:ind w:left="211"/>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left="191"/>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3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right"/>
              <w:ind w:right="401"/>
              <w:spacing w:after="0" w:line="116" w:lineRule="exact"/>
              <w:rPr>
                <w:sz w:val="20"/>
                <w:szCs w:val="20"/>
                <w:color w:val="auto"/>
              </w:rPr>
            </w:pPr>
            <w:r>
              <w:rPr>
                <w:rFonts w:ascii="Times New Roman" w:cs="Times New Roman" w:eastAsia="Times New Roman" w:hAnsi="Times New Roman"/>
                <w:sz w:val="13"/>
                <w:szCs w:val="13"/>
                <w:b w:val="1"/>
                <w:bCs w:val="1"/>
                <w:color w:val="auto"/>
              </w:rPr>
              <w:t>March 29,</w:t>
            </w:r>
          </w:p>
        </w:tc>
      </w:tr>
      <w:tr>
        <w:trPr>
          <w:trHeight w:val="172"/>
        </w:trPr>
        <w:tc>
          <w:tcPr>
            <w:tcW w:w="6620" w:type="dxa"/>
            <w:vAlign w:val="bottom"/>
          </w:tcPr>
          <w:p>
            <w:pPr>
              <w:spacing w:after="0"/>
              <w:rPr>
                <w:sz w:val="14"/>
                <w:szCs w:val="14"/>
                <w:color w:val="auto"/>
              </w:rPr>
            </w:pPr>
          </w:p>
        </w:tc>
        <w:tc>
          <w:tcPr>
            <w:tcW w:w="10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7"/>
        </w:trPr>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w:t>
            </w:r>
          </w:p>
        </w:tc>
        <w:tc>
          <w:tcPr>
            <w:tcW w:w="15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888,811</w:t>
            </w:r>
          </w:p>
        </w:tc>
      </w:tr>
      <w:tr>
        <w:trPr>
          <w:trHeight w:val="21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PSUs</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1,210,124</w:t>
            </w:r>
          </w:p>
        </w:tc>
      </w:tr>
      <w:tr>
        <w:trPr>
          <w:trHeight w:val="214"/>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10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2,248</w:t>
            </w:r>
          </w:p>
        </w:tc>
      </w:tr>
      <w:tr>
        <w:trPr>
          <w:trHeight w:val="207"/>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2,101,183</w:t>
            </w:r>
          </w:p>
        </w:tc>
      </w:tr>
      <w:tr>
        <w:trPr>
          <w:trHeight w:val="20"/>
        </w:trPr>
        <w:tc>
          <w:tcPr>
            <w:tcW w:w="6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23"/>
        </w:trPr>
        <w:tc>
          <w:tcPr>
            <w:tcW w:w="768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F-35</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755"/>
        </w:trPr>
        <w:tc>
          <w:tcPr>
            <w:tcW w:w="66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-1069340</wp:posOffset>
            </wp:positionV>
            <wp:extent cx="6794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6127750</wp:posOffset>
            </wp:positionH>
            <wp:positionV relativeFrom="paragraph">
              <wp:posOffset>-1069340</wp:posOffset>
            </wp:positionV>
            <wp:extent cx="6794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8">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96" w:name="page97"/>
    <w:bookmarkEnd w:id="9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39" w:lineRule="exact"/>
        <w:rPr>
          <w:sz w:val="20"/>
          <w:szCs w:val="20"/>
          <w:color w:val="auto"/>
        </w:rPr>
      </w:pPr>
    </w:p>
    <w:p>
      <w:pPr>
        <w:ind w:left="580" w:hanging="573"/>
        <w:spacing w:after="0"/>
        <w:tabs>
          <w:tab w:leader="none" w:pos="5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18"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compensation through the measurement and recognition of compensation expense for share-based payment awards made to employees over the related requisite service period, including PSUs and RSUs (all part of our 2020 Omnibus Incentive Compensation Plan). Upon meeting the time-based vesting and, if applicable, any performance conditions, common shares of the Company (net of applicable tax withholding) are issued to the employee in exchange for each share-based unit.</w:t>
      </w:r>
    </w:p>
    <w:p>
      <w:pPr>
        <w:spacing w:after="0" w:line="73"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RSUs generally have time-based vesting requirements with equal and annual graded vesting over approximately three years subsequent to the grant date. Upon voluntary termination of employment by any employee who is “retirement eligible” as of his or her termination date, the next vesting after the termination of employment will continue to vest. In order to be retirement eligible, an employee must be at least 62 years old, have completed a minimum of five years of service with the Company, and have provided at least three months’ prior written notice of termination of employment. All outstanding employee and director RSU awards are eligible for dividend equivalents regardless of vesting status.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RSU activity for the fiscal year ended March 27, 2026:</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3"/>
                <w:szCs w:val="13"/>
                <w:color w:val="auto"/>
              </w:rPr>
            </w:pPr>
          </w:p>
        </w:tc>
        <w:tc>
          <w:tcPr>
            <w:tcW w:w="13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5780" w:type="dxa"/>
            <w:vAlign w:val="bottom"/>
          </w:tcPr>
          <w:p>
            <w:pPr>
              <w:spacing w:after="0"/>
              <w:rPr>
                <w:sz w:val="12"/>
                <w:szCs w:val="12"/>
                <w:color w:val="auto"/>
              </w:rPr>
            </w:pPr>
          </w:p>
        </w:tc>
        <w:tc>
          <w:tcPr>
            <w:tcW w:w="130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69"/>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7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4"/>
              <w:spacing w:after="0" w:line="147"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100" w:type="dxa"/>
            <w:vAlign w:val="bottom"/>
          </w:tcPr>
          <w:p>
            <w:pPr>
              <w:spacing w:after="0"/>
              <w:rPr>
                <w:sz w:val="12"/>
                <w:szCs w:val="12"/>
                <w:color w:val="auto"/>
              </w:rPr>
            </w:pPr>
          </w:p>
        </w:tc>
        <w:tc>
          <w:tcPr>
            <w:tcW w:w="1320" w:type="dxa"/>
            <w:vAlign w:val="bottom"/>
          </w:tcPr>
          <w:p>
            <w:pPr>
              <w:jc w:val="center"/>
              <w:ind w:right="29"/>
              <w:spacing w:after="0" w:line="147"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02"/>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2"/>
        </w:trPr>
        <w:tc>
          <w:tcPr>
            <w:tcW w:w="5780" w:type="dxa"/>
            <w:vAlign w:val="bottom"/>
          </w:tcPr>
          <w:p>
            <w:pPr>
              <w:spacing w:after="0"/>
              <w:rPr>
                <w:sz w:val="14"/>
                <w:szCs w:val="14"/>
                <w:color w:val="auto"/>
              </w:rPr>
            </w:pPr>
          </w:p>
        </w:tc>
        <w:tc>
          <w:tcPr>
            <w:tcW w:w="13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4"/>
                <w:szCs w:val="14"/>
                <w:color w:val="auto"/>
              </w:rPr>
            </w:pPr>
          </w:p>
        </w:tc>
        <w:tc>
          <w:tcPr>
            <w:tcW w:w="1220" w:type="dxa"/>
            <w:vAlign w:val="bottom"/>
            <w:tcBorders>
              <w:bottom w:val="single" w:sz="8" w:color="auto"/>
            </w:tcBorders>
            <w:gridSpan w:val="2"/>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7"/>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 March 28, 2025</w:t>
            </w:r>
          </w:p>
        </w:tc>
        <w:tc>
          <w:tcPr>
            <w:tcW w:w="13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2,330,344</w:t>
            </w:r>
          </w:p>
        </w:tc>
        <w:tc>
          <w:tcPr>
            <w:tcW w:w="300" w:type="dxa"/>
            <w:vAlign w:val="bottom"/>
            <w:gridSpan w:val="2"/>
            <w:shd w:val="clear" w:color="auto" w:fill="CFF0FC"/>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28.88</w:t>
            </w:r>
          </w:p>
        </w:tc>
        <w:tc>
          <w:tcPr>
            <w:tcW w:w="142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0.95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57,932</w:t>
            </w:r>
          </w:p>
        </w:tc>
        <w:tc>
          <w:tcPr>
            <w:tcW w:w="0" w:type="dxa"/>
            <w:vAlign w:val="bottom"/>
          </w:tcPr>
          <w:p>
            <w:pPr>
              <w:spacing w:after="0"/>
              <w:rPr>
                <w:sz w:val="1"/>
                <w:szCs w:val="1"/>
                <w:color w:val="auto"/>
              </w:rPr>
            </w:pPr>
          </w:p>
        </w:tc>
      </w:tr>
      <w:tr>
        <w:trPr>
          <w:trHeight w:val="214"/>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2,080,783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Issued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(1,109,483)</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(209,201)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 March 27, 2026</w:t>
            </w:r>
          </w:p>
        </w:tc>
        <w:tc>
          <w:tcPr>
            <w:tcW w:w="13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3,092,443</w:t>
            </w:r>
          </w:p>
        </w:tc>
        <w:tc>
          <w:tcPr>
            <w:tcW w:w="300" w:type="dxa"/>
            <w:vAlign w:val="bottom"/>
            <w:gridSpan w:val="2"/>
            <w:shd w:val="clear" w:color="auto" w:fill="CFF0FC"/>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27.83</w:t>
            </w:r>
          </w:p>
        </w:tc>
        <w:tc>
          <w:tcPr>
            <w:tcW w:w="142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0.92</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93,144</w:t>
            </w: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-24765</wp:posOffset>
            </wp:positionV>
            <wp:extent cx="850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9">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850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0">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-24765</wp:posOffset>
            </wp:positionV>
            <wp:extent cx="6794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-7620</wp:posOffset>
            </wp:positionV>
            <wp:extent cx="6794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-24765</wp:posOffset>
            </wp:positionV>
            <wp:extent cx="850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3">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-7620</wp:posOffset>
            </wp:positionV>
            <wp:extent cx="850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4">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2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weighted-average grant fair value per share for RSUs granted during the fiscal years ended March 27, 2026,</w:t>
      </w:r>
    </w:p>
    <w:p>
      <w:pPr>
        <w:spacing w:after="0" w:line="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March 28, 2025 and March 29, 2024 was $27.29, $27.54, $36.14, respectively. The stock-based compensation expense related to non-vested awards not yet recorded at March 27, 2026 was $52,736, which is expected to be recognized over a weighted-average of 1.9 years.</w:t>
      </w:r>
    </w:p>
    <w:p>
      <w:pPr>
        <w:spacing w:after="0" w:line="75" w:lineRule="exact"/>
        <w:rPr>
          <w:sz w:val="20"/>
          <w:szCs w:val="20"/>
          <w:color w:val="auto"/>
        </w:rPr>
      </w:pPr>
    </w:p>
    <w:p>
      <w:pPr>
        <w:ind w:right="2300" w:firstLine="562"/>
        <w:spacing w:after="0" w:line="278" w:lineRule="auto"/>
        <w:rPr>
          <w:sz w:val="20"/>
          <w:szCs w:val="20"/>
          <w:color w:val="auto"/>
        </w:rPr>
      </w:pPr>
      <w:r>
        <w:rPr>
          <w:rFonts w:ascii="Times New Roman" w:cs="Times New Roman" w:eastAsia="Times New Roman" w:hAnsi="Times New Roman"/>
          <w:sz w:val="18"/>
          <w:szCs w:val="18"/>
          <w:color w:val="auto"/>
        </w:rPr>
        <w:t>The total fair value of vested RSUs was $32,156, $30,072 and $23,032 during the fiscal years ended March 27, 2026, March 28, 2025 and March 29, 2024, respectively.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18"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The Company also awards PSUs to its senior personnel based on achievement of metrics tied to financial plans and strategic objectives approved by its Board of Directors for establishing target performances. Each award reflects a target number of shares (“Target Shares”) that may be issued to the award recipient. PSU awards are generally earned upon the completion of a multi-year performance period. Whether units are earned at the end of the performance period is determined based on the achievement of certain performance objectives over the performance period. The performance objectives include achieving various metrics such as revenue targets and cumulative earnings before income taxes, depreciation and amortization levels for the performance period, and relative total stockholder return. Depending on the results achieved over the multi-year performance period, the actual number of shares that a grant recipient may receive during and at the end of the period ranges from 0% to 200% of the Target Shares granted.</w:t>
      </w:r>
    </w:p>
    <w:p>
      <w:pPr>
        <w:spacing w:after="0" w:line="77"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The weighted-average fair value of the PSUs granted during the year was determined using the Monte Carlo simulation model incorporating the following weighted-average assumptions: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r>
      <w:tr>
        <w:trPr>
          <w:trHeight w:val="116"/>
        </w:trPr>
        <w:tc>
          <w:tcPr>
            <w:tcW w:w="41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4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40" w:type="dxa"/>
            <w:vAlign w:val="bottom"/>
          </w:tcPr>
          <w:p>
            <w:pPr>
              <w:spacing w:after="0"/>
              <w:rPr>
                <w:sz w:val="10"/>
                <w:szCs w:val="10"/>
                <w:color w:val="auto"/>
              </w:rPr>
            </w:pPr>
          </w:p>
        </w:tc>
        <w:tc>
          <w:tcPr>
            <w:tcW w:w="142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60" w:type="dxa"/>
            <w:vAlign w:val="bottom"/>
          </w:tcPr>
          <w:p>
            <w:pPr>
              <w:spacing w:after="0"/>
              <w:rPr>
                <w:sz w:val="10"/>
                <w:szCs w:val="10"/>
                <w:color w:val="auto"/>
              </w:rPr>
            </w:pPr>
          </w:p>
        </w:tc>
        <w:tc>
          <w:tcPr>
            <w:tcW w:w="144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March 29,</w:t>
            </w:r>
          </w:p>
        </w:tc>
      </w:tr>
      <w:tr>
        <w:trPr>
          <w:trHeight w:val="172"/>
        </w:trPr>
        <w:tc>
          <w:tcPr>
            <w:tcW w:w="4100" w:type="dxa"/>
            <w:vAlign w:val="bottom"/>
          </w:tcPr>
          <w:p>
            <w:pPr>
              <w:spacing w:after="0"/>
              <w:rPr>
                <w:sz w:val="14"/>
                <w:szCs w:val="14"/>
                <w:color w:val="auto"/>
              </w:rPr>
            </w:pPr>
          </w:p>
        </w:tc>
        <w:tc>
          <w:tcPr>
            <w:tcW w:w="3980" w:type="dxa"/>
            <w:vAlign w:val="bottom"/>
            <w:gridSpan w:val="2"/>
          </w:tcPr>
          <w:p>
            <w:pPr>
              <w:jc w:val="center"/>
              <w:ind w:left="2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560" w:type="dxa"/>
            <w:vAlign w:val="bottom"/>
            <w:gridSpan w:val="2"/>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0" w:type="dxa"/>
            <w:vAlign w:val="bottom"/>
            <w:gridSpan w:val="2"/>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7"/>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term</w:t>
            </w:r>
          </w:p>
        </w:tc>
        <w:tc>
          <w:tcPr>
            <w:tcW w:w="254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2.88 years</w:t>
            </w:r>
          </w:p>
        </w:tc>
        <w:tc>
          <w:tcPr>
            <w:tcW w:w="14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2.79 years</w:t>
            </w:r>
          </w:p>
        </w:tc>
        <w:tc>
          <w:tcPr>
            <w:tcW w:w="16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2.87 years</w:t>
            </w:r>
          </w:p>
        </w:tc>
      </w:tr>
      <w:tr>
        <w:trPr>
          <w:trHeight w:val="21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980" w:type="dxa"/>
            <w:vAlign w:val="bottom"/>
            <w:gridSpan w:val="2"/>
          </w:tcPr>
          <w:p>
            <w:pPr>
              <w:jc w:val="center"/>
              <w:ind w:left="2434"/>
              <w:spacing w:after="0"/>
              <w:rPr>
                <w:sz w:val="20"/>
                <w:szCs w:val="20"/>
                <w:color w:val="auto"/>
              </w:rPr>
            </w:pPr>
            <w:r>
              <w:rPr>
                <w:rFonts w:ascii="Times New Roman" w:cs="Times New Roman" w:eastAsia="Times New Roman" w:hAnsi="Times New Roman"/>
                <w:sz w:val="18"/>
                <w:szCs w:val="18"/>
                <w:color w:val="auto"/>
                <w:w w:val="97"/>
              </w:rPr>
              <w:t>51.13%</w:t>
            </w:r>
          </w:p>
        </w:tc>
        <w:tc>
          <w:tcPr>
            <w:tcW w:w="1560" w:type="dxa"/>
            <w:vAlign w:val="bottom"/>
            <w:gridSpan w:val="2"/>
          </w:tcPr>
          <w:p>
            <w:pPr>
              <w:jc w:val="center"/>
              <w:ind w:left="55"/>
              <w:spacing w:after="0"/>
              <w:rPr>
                <w:sz w:val="20"/>
                <w:szCs w:val="20"/>
                <w:color w:val="auto"/>
              </w:rPr>
            </w:pPr>
            <w:r>
              <w:rPr>
                <w:rFonts w:ascii="Times New Roman" w:cs="Times New Roman" w:eastAsia="Times New Roman" w:hAnsi="Times New Roman"/>
                <w:sz w:val="18"/>
                <w:szCs w:val="18"/>
                <w:color w:val="auto"/>
                <w:w w:val="97"/>
              </w:rPr>
              <w:t>43.46%</w:t>
            </w:r>
          </w:p>
        </w:tc>
        <w:tc>
          <w:tcPr>
            <w:tcW w:w="1600" w:type="dxa"/>
            <w:vAlign w:val="bottom"/>
            <w:gridSpan w:val="2"/>
          </w:tcPr>
          <w:p>
            <w:pPr>
              <w:jc w:val="center"/>
              <w:ind w:left="55"/>
              <w:spacing w:after="0"/>
              <w:rPr>
                <w:sz w:val="20"/>
                <w:szCs w:val="20"/>
                <w:color w:val="auto"/>
              </w:rPr>
            </w:pPr>
            <w:r>
              <w:rPr>
                <w:rFonts w:ascii="Times New Roman" w:cs="Times New Roman" w:eastAsia="Times New Roman" w:hAnsi="Times New Roman"/>
                <w:sz w:val="18"/>
                <w:szCs w:val="18"/>
                <w:color w:val="auto"/>
                <w:w w:val="97"/>
              </w:rPr>
              <w:t>47.70%</w:t>
            </w:r>
          </w:p>
        </w:tc>
      </w:tr>
      <w:tr>
        <w:trPr>
          <w:trHeight w:val="214"/>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 of return</w:t>
            </w:r>
          </w:p>
        </w:tc>
        <w:tc>
          <w:tcPr>
            <w:tcW w:w="3980" w:type="dxa"/>
            <w:vAlign w:val="bottom"/>
            <w:gridSpan w:val="2"/>
            <w:shd w:val="clear" w:color="auto" w:fill="CFF0FC"/>
          </w:tcPr>
          <w:p>
            <w:pPr>
              <w:jc w:val="center"/>
              <w:ind w:left="2434"/>
              <w:spacing w:after="0"/>
              <w:rPr>
                <w:sz w:val="20"/>
                <w:szCs w:val="20"/>
                <w:color w:val="auto"/>
              </w:rPr>
            </w:pPr>
            <w:r>
              <w:rPr>
                <w:rFonts w:ascii="Times New Roman" w:cs="Times New Roman" w:eastAsia="Times New Roman" w:hAnsi="Times New Roman"/>
                <w:sz w:val="18"/>
                <w:szCs w:val="18"/>
                <w:color w:val="auto"/>
                <w:w w:val="98"/>
              </w:rPr>
              <w:t>3.91%</w:t>
            </w:r>
          </w:p>
        </w:tc>
        <w:tc>
          <w:tcPr>
            <w:tcW w:w="1560" w:type="dxa"/>
            <w:vAlign w:val="bottom"/>
            <w:gridSpan w:val="2"/>
            <w:shd w:val="clear" w:color="auto" w:fill="CFF0FC"/>
          </w:tcPr>
          <w:p>
            <w:pPr>
              <w:jc w:val="center"/>
              <w:ind w:left="55"/>
              <w:spacing w:after="0"/>
              <w:rPr>
                <w:sz w:val="20"/>
                <w:szCs w:val="20"/>
                <w:color w:val="auto"/>
              </w:rPr>
            </w:pPr>
            <w:r>
              <w:rPr>
                <w:rFonts w:ascii="Times New Roman" w:cs="Times New Roman" w:eastAsia="Times New Roman" w:hAnsi="Times New Roman"/>
                <w:sz w:val="18"/>
                <w:szCs w:val="18"/>
                <w:color w:val="auto"/>
                <w:w w:val="98"/>
              </w:rPr>
              <w:t>4.57%</w:t>
            </w:r>
          </w:p>
        </w:tc>
        <w:tc>
          <w:tcPr>
            <w:tcW w:w="1600" w:type="dxa"/>
            <w:vAlign w:val="bottom"/>
            <w:gridSpan w:val="2"/>
            <w:shd w:val="clear" w:color="auto" w:fill="CFF0FC"/>
          </w:tcPr>
          <w:p>
            <w:pPr>
              <w:jc w:val="center"/>
              <w:ind w:left="55"/>
              <w:spacing w:after="0"/>
              <w:rPr>
                <w:sz w:val="20"/>
                <w:szCs w:val="20"/>
                <w:color w:val="auto"/>
              </w:rPr>
            </w:pPr>
            <w:r>
              <w:rPr>
                <w:rFonts w:ascii="Times New Roman" w:cs="Times New Roman" w:eastAsia="Times New Roman" w:hAnsi="Times New Roman"/>
                <w:sz w:val="18"/>
                <w:szCs w:val="18"/>
                <w:color w:val="auto"/>
                <w:w w:val="98"/>
              </w:rPr>
              <w:t>3.68%</w:t>
            </w:r>
          </w:p>
        </w:tc>
      </w:tr>
      <w:tr>
        <w:trPr>
          <w:trHeight w:val="21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5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fair value per share</w:t>
            </w:r>
          </w:p>
        </w:tc>
        <w:tc>
          <w:tcPr>
            <w:tcW w:w="3980" w:type="dxa"/>
            <w:vAlign w:val="bottom"/>
            <w:gridSpan w:val="2"/>
            <w:shd w:val="clear" w:color="auto" w:fill="CFF0FC"/>
          </w:tcPr>
          <w:p>
            <w:pPr>
              <w:jc w:val="center"/>
              <w:ind w:left="2434"/>
              <w:spacing w:after="0"/>
              <w:rPr>
                <w:sz w:val="20"/>
                <w:szCs w:val="20"/>
                <w:color w:val="auto"/>
              </w:rPr>
            </w:pPr>
            <w:r>
              <w:rPr>
                <w:rFonts w:ascii="Times New Roman" w:cs="Times New Roman" w:eastAsia="Times New Roman" w:hAnsi="Times New Roman"/>
                <w:sz w:val="18"/>
                <w:szCs w:val="18"/>
                <w:color w:val="auto"/>
              </w:rPr>
              <w:t>$29.57</w:t>
            </w:r>
          </w:p>
        </w:tc>
        <w:tc>
          <w:tcPr>
            <w:tcW w:w="1560" w:type="dxa"/>
            <w:vAlign w:val="bottom"/>
            <w:gridSpan w:val="2"/>
            <w:shd w:val="clear" w:color="auto" w:fill="CFF0FC"/>
          </w:tcPr>
          <w:p>
            <w:pPr>
              <w:jc w:val="center"/>
              <w:ind w:left="55"/>
              <w:spacing w:after="0"/>
              <w:rPr>
                <w:sz w:val="20"/>
                <w:szCs w:val="20"/>
                <w:color w:val="auto"/>
              </w:rPr>
            </w:pPr>
            <w:r>
              <w:rPr>
                <w:rFonts w:ascii="Times New Roman" w:cs="Times New Roman" w:eastAsia="Times New Roman" w:hAnsi="Times New Roman"/>
                <w:sz w:val="18"/>
                <w:szCs w:val="18"/>
                <w:color w:val="auto"/>
              </w:rPr>
              <w:t>$31.83</w:t>
            </w:r>
          </w:p>
        </w:tc>
        <w:tc>
          <w:tcPr>
            <w:tcW w:w="1600" w:type="dxa"/>
            <w:vAlign w:val="bottom"/>
            <w:gridSpan w:val="2"/>
            <w:shd w:val="clear" w:color="auto" w:fill="CFF0FC"/>
          </w:tcPr>
          <w:p>
            <w:pPr>
              <w:jc w:val="center"/>
              <w:ind w:left="55"/>
              <w:spacing w:after="0"/>
              <w:rPr>
                <w:sz w:val="20"/>
                <w:szCs w:val="20"/>
                <w:color w:val="auto"/>
              </w:rPr>
            </w:pPr>
            <w:r>
              <w:rPr>
                <w:rFonts w:ascii="Times New Roman" w:cs="Times New Roman" w:eastAsia="Times New Roman" w:hAnsi="Times New Roman"/>
                <w:sz w:val="18"/>
                <w:szCs w:val="18"/>
                <w:color w:val="auto"/>
              </w:rPr>
              <w:t>$43.83</w:t>
            </w:r>
          </w:p>
        </w:tc>
      </w:tr>
      <w:tr>
        <w:trPr>
          <w:trHeight w:val="642"/>
        </w:trPr>
        <w:tc>
          <w:tcPr>
            <w:tcW w:w="4100" w:type="dxa"/>
            <w:vAlign w:val="bottom"/>
          </w:tcPr>
          <w:p>
            <w:pPr>
              <w:spacing w:after="0"/>
              <w:rPr>
                <w:sz w:val="24"/>
                <w:szCs w:val="24"/>
                <w:color w:val="auto"/>
              </w:rPr>
            </w:pPr>
          </w:p>
        </w:tc>
        <w:tc>
          <w:tcPr>
            <w:tcW w:w="39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F-36</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55"/>
        </w:trPr>
        <w:tc>
          <w:tcPr>
            <w:tcW w:w="41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97" w:name="page98"/>
    <w:bookmarkEnd w:id="9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3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PSU activity for the fiscal year ended March 27, 2026:</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3"/>
                <w:szCs w:val="13"/>
                <w:color w:val="auto"/>
              </w:rPr>
            </w:pPr>
          </w:p>
        </w:tc>
        <w:tc>
          <w:tcPr>
            <w:tcW w:w="13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5780" w:type="dxa"/>
            <w:vAlign w:val="bottom"/>
          </w:tcPr>
          <w:p>
            <w:pPr>
              <w:spacing w:after="0"/>
              <w:rPr>
                <w:sz w:val="12"/>
                <w:szCs w:val="12"/>
                <w:color w:val="auto"/>
              </w:rPr>
            </w:pPr>
          </w:p>
        </w:tc>
        <w:tc>
          <w:tcPr>
            <w:tcW w:w="13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69"/>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7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3"/>
              <w:spacing w:after="0" w:line="147"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100" w:type="dxa"/>
            <w:vAlign w:val="bottom"/>
          </w:tcPr>
          <w:p>
            <w:pPr>
              <w:spacing w:after="0"/>
              <w:rPr>
                <w:sz w:val="12"/>
                <w:szCs w:val="12"/>
                <w:color w:val="auto"/>
              </w:rPr>
            </w:pPr>
          </w:p>
        </w:tc>
        <w:tc>
          <w:tcPr>
            <w:tcW w:w="1320" w:type="dxa"/>
            <w:vAlign w:val="bottom"/>
          </w:tcPr>
          <w:p>
            <w:pPr>
              <w:jc w:val="center"/>
              <w:ind w:right="29"/>
              <w:spacing w:after="0" w:line="147"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02"/>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2"/>
        </w:trPr>
        <w:tc>
          <w:tcPr>
            <w:tcW w:w="5780" w:type="dxa"/>
            <w:vAlign w:val="bottom"/>
          </w:tcPr>
          <w:p>
            <w:pPr>
              <w:spacing w:after="0"/>
              <w:rPr>
                <w:sz w:val="14"/>
                <w:szCs w:val="14"/>
                <w:color w:val="auto"/>
              </w:rPr>
            </w:pPr>
          </w:p>
        </w:tc>
        <w:tc>
          <w:tcPr>
            <w:tcW w:w="13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4"/>
                <w:szCs w:val="14"/>
                <w:color w:val="auto"/>
              </w:rPr>
            </w:pPr>
          </w:p>
        </w:tc>
        <w:tc>
          <w:tcPr>
            <w:tcW w:w="1220" w:type="dxa"/>
            <w:vAlign w:val="bottom"/>
            <w:tcBorders>
              <w:bottom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7"/>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 March 28, 2025</w:t>
            </w:r>
          </w:p>
        </w:tc>
        <w:tc>
          <w:tcPr>
            <w:tcW w:w="13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2,145,781</w:t>
            </w:r>
          </w:p>
        </w:tc>
        <w:tc>
          <w:tcPr>
            <w:tcW w:w="300" w:type="dxa"/>
            <w:vAlign w:val="bottom"/>
            <w:gridSpan w:val="2"/>
            <w:shd w:val="clear" w:color="auto" w:fill="CFF0FC"/>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24.86</w:t>
            </w:r>
          </w:p>
        </w:tc>
        <w:tc>
          <w:tcPr>
            <w:tcW w:w="142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53,344</w:t>
            </w:r>
          </w:p>
        </w:tc>
        <w:tc>
          <w:tcPr>
            <w:tcW w:w="0" w:type="dxa"/>
            <w:vAlign w:val="bottom"/>
          </w:tcPr>
          <w:p>
            <w:pPr>
              <w:spacing w:after="0"/>
              <w:rPr>
                <w:sz w:val="1"/>
                <w:szCs w:val="1"/>
                <w:color w:val="auto"/>
              </w:rPr>
            </w:pPr>
          </w:p>
        </w:tc>
      </w:tr>
      <w:tr>
        <w:trPr>
          <w:trHeight w:val="214"/>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533,437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(153,650)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(958,266)</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 March 27, 2026</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1,335,649</w:t>
            </w:r>
          </w:p>
        </w:tc>
        <w:tc>
          <w:tcPr>
            <w:tcW w:w="300" w:type="dxa"/>
            <w:vAlign w:val="bottom"/>
            <w:gridSpan w:val="2"/>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27.90</w:t>
            </w:r>
          </w:p>
        </w:tc>
        <w:tc>
          <w:tcPr>
            <w:tcW w:w="142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1.48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40,230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-168910</wp:posOffset>
            </wp:positionV>
            <wp:extent cx="850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7">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-168910</wp:posOffset>
            </wp:positionV>
            <wp:extent cx="6794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-168910</wp:posOffset>
            </wp:positionV>
            <wp:extent cx="850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9">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82"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PSUs are included at 0% - 200% of target goals. The total compensation cost related to unvested awards not yet recorded at March 27, 2026 was $12,109, which is expected to be recognized over a weighted-average of 2.0 years.</w:t>
      </w:r>
    </w:p>
    <w:p>
      <w:pPr>
        <w:spacing w:after="0" w:line="55"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The total grant date fair value of vested PSUs was $6,439, $15,615 and $22,777 during the fiscal years ended March 27, 2026, March 28, 2025 and March 29, 2024, respectively.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18"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4,323,711 shares of the Company’s common stock are available for future issuance under the ESPP. The ESPP allows employees to purchase the Company’s common stock at 85% of the lesser of the stock price at the beginning or end of the offering period. Each offering period is six months.</w:t>
      </w:r>
    </w:p>
    <w:p>
      <w:pPr>
        <w:spacing w:after="0" w:line="55"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The weighted-average fair value of the ESPP shares was determined using the Black-Scholes model incorporating the following weighted-average assumptions: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8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tcPr>
          <w:p>
            <w:pPr>
              <w:jc w:val="right"/>
              <w:ind w:right="580"/>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jc w:val="right"/>
              <w:ind w:right="560"/>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right"/>
              <w:ind w:right="416"/>
              <w:spacing w:after="0" w:line="116"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0" w:type="dxa"/>
            <w:vAlign w:val="bottom"/>
          </w:tcPr>
          <w:p>
            <w:pPr>
              <w:spacing w:after="0"/>
              <w:rPr>
                <w:sz w:val="1"/>
                <w:szCs w:val="1"/>
                <w:color w:val="auto"/>
              </w:rPr>
            </w:pPr>
          </w:p>
        </w:tc>
      </w:tr>
      <w:tr>
        <w:trPr>
          <w:trHeight w:val="172"/>
        </w:trPr>
        <w:tc>
          <w:tcPr>
            <w:tcW w:w="4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7"/>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performance term</w:t>
            </w:r>
          </w:p>
        </w:tc>
        <w:tc>
          <w:tcPr>
            <w:tcW w:w="1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0.50 years</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0.50 years</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0.50 years</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0" w:type="dxa"/>
            <w:vAlign w:val="bottom"/>
          </w:tcPr>
          <w:p>
            <w:pPr>
              <w:spacing w:after="0"/>
              <w:rPr>
                <w:sz w:val="1"/>
                <w:szCs w:val="1"/>
                <w:color w:val="auto"/>
              </w:rPr>
            </w:pPr>
          </w:p>
        </w:tc>
      </w:tr>
      <w:tr>
        <w:trPr>
          <w:trHeight w:val="214"/>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 of return</w:t>
            </w:r>
          </w:p>
        </w:tc>
        <w:tc>
          <w:tcPr>
            <w:tcW w:w="1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fair value per share</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7.07</w:t>
            </w:r>
          </w:p>
        </w:tc>
        <w:tc>
          <w:tcPr>
            <w:tcW w:w="60" w:type="dxa"/>
            <w:vAlign w:val="bottom"/>
            <w:shd w:val="clear" w:color="auto" w:fill="CFF0FC"/>
          </w:tcPr>
          <w:p>
            <w:pPr>
              <w:spacing w:after="0"/>
              <w:rPr>
                <w:sz w:val="18"/>
                <w:szCs w:val="18"/>
                <w:color w:val="auto"/>
              </w:rPr>
            </w:pPr>
          </w:p>
        </w:tc>
        <w:tc>
          <w:tcPr>
            <w:tcW w:w="340" w:type="dxa"/>
            <w:vAlign w:val="bottom"/>
            <w:gridSpan w:val="3"/>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442"/>
        </w:trPr>
        <w:tc>
          <w:tcPr>
            <w:tcW w:w="9680" w:type="dxa"/>
            <w:vAlign w:val="bottom"/>
            <w:gridSpan w:val="11"/>
          </w:tcPr>
          <w:p>
            <w:pPr>
              <w:ind w:left="560"/>
              <w:spacing w:after="0"/>
              <w:rPr>
                <w:sz w:val="20"/>
                <w:szCs w:val="20"/>
                <w:color w:val="auto"/>
              </w:rPr>
            </w:pPr>
            <w:r>
              <w:rPr>
                <w:rFonts w:ascii="Times New Roman" w:cs="Times New Roman" w:eastAsia="Times New Roman" w:hAnsi="Times New Roman"/>
                <w:sz w:val="18"/>
                <w:szCs w:val="18"/>
                <w:color w:val="auto"/>
              </w:rPr>
              <w:t>The Company recorded stock-based compensation expense on its consolidated statements of operations as follows: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8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48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tcPr>
          <w:p>
            <w:pPr>
              <w:jc w:val="center"/>
              <w:ind w:right="300"/>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jc w:val="right"/>
              <w:ind w:right="460"/>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ind w:right="216"/>
              <w:spacing w:after="0" w:line="116"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0" w:type="dxa"/>
            <w:vAlign w:val="bottom"/>
          </w:tcPr>
          <w:p>
            <w:pPr>
              <w:spacing w:after="0"/>
              <w:rPr>
                <w:sz w:val="1"/>
                <w:szCs w:val="1"/>
                <w:color w:val="auto"/>
              </w:rPr>
            </w:pPr>
          </w:p>
        </w:tc>
      </w:tr>
      <w:tr>
        <w:trPr>
          <w:trHeight w:val="172"/>
        </w:trPr>
        <w:tc>
          <w:tcPr>
            <w:tcW w:w="4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7"/>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w:t>
            </w:r>
          </w:p>
        </w:tc>
        <w:tc>
          <w:tcPr>
            <w:tcW w:w="2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41,309</w:t>
            </w:r>
          </w:p>
        </w:tc>
        <w:tc>
          <w:tcPr>
            <w:tcW w:w="80" w:type="dxa"/>
            <w:vAlign w:val="bottom"/>
            <w:shd w:val="clear" w:color="auto" w:fill="CFF0FC"/>
          </w:tcPr>
          <w:p>
            <w:pPr>
              <w:spacing w:after="0"/>
              <w:rPr>
                <w:sz w:val="18"/>
                <w:szCs w:val="18"/>
                <w:color w:val="auto"/>
              </w:rPr>
            </w:pPr>
          </w:p>
        </w:tc>
        <w:tc>
          <w:tcPr>
            <w:tcW w:w="34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32,144</w:t>
            </w:r>
          </w:p>
        </w:tc>
        <w:tc>
          <w:tcPr>
            <w:tcW w:w="60" w:type="dxa"/>
            <w:vAlign w:val="bottom"/>
            <w:shd w:val="clear" w:color="auto" w:fill="CFF0FC"/>
          </w:tcPr>
          <w:p>
            <w:pPr>
              <w:spacing w:after="0"/>
              <w:rPr>
                <w:sz w:val="18"/>
                <w:szCs w:val="18"/>
                <w:color w:val="auto"/>
              </w:rPr>
            </w:pPr>
          </w:p>
        </w:tc>
        <w:tc>
          <w:tcPr>
            <w:tcW w:w="340" w:type="dxa"/>
            <w:vAlign w:val="bottom"/>
            <w:gridSpan w:val="3"/>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28,162</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PSUs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12,825</w:t>
            </w:r>
          </w:p>
        </w:tc>
        <w:tc>
          <w:tcPr>
            <w:tcW w:w="0" w:type="dxa"/>
            <w:vAlign w:val="bottom"/>
          </w:tcPr>
          <w:p>
            <w:pPr>
              <w:spacing w:after="0"/>
              <w:rPr>
                <w:sz w:val="1"/>
                <w:szCs w:val="1"/>
                <w:color w:val="auto"/>
              </w:rPr>
            </w:pPr>
          </w:p>
        </w:tc>
      </w:tr>
      <w:tr>
        <w:trPr>
          <w:trHeight w:val="214"/>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1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47,910</w:t>
            </w:r>
          </w:p>
        </w:tc>
        <w:tc>
          <w:tcPr>
            <w:tcW w:w="80" w:type="dxa"/>
            <w:vAlign w:val="bottom"/>
            <w:shd w:val="clear" w:color="auto" w:fill="CFF0FC"/>
          </w:tcPr>
          <w:p>
            <w:pPr>
              <w:spacing w:after="0"/>
              <w:rPr>
                <w:sz w:val="21"/>
                <w:szCs w:val="21"/>
                <w:color w:val="auto"/>
              </w:rPr>
            </w:pPr>
          </w:p>
        </w:tc>
        <w:tc>
          <w:tcPr>
            <w:tcW w:w="34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41,868</w:t>
            </w:r>
          </w:p>
        </w:tc>
        <w:tc>
          <w:tcPr>
            <w:tcW w:w="60" w:type="dxa"/>
            <w:vAlign w:val="bottom"/>
            <w:shd w:val="clear" w:color="auto" w:fill="CFF0FC"/>
          </w:tcPr>
          <w:p>
            <w:pPr>
              <w:spacing w:after="0"/>
              <w:rPr>
                <w:sz w:val="21"/>
                <w:szCs w:val="21"/>
                <w:color w:val="auto"/>
              </w:rPr>
            </w:pPr>
          </w:p>
        </w:tc>
        <w:tc>
          <w:tcPr>
            <w:tcW w:w="340" w:type="dxa"/>
            <w:vAlign w:val="bottom"/>
            <w:gridSpan w:val="3"/>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42,457</w:t>
            </w:r>
          </w:p>
        </w:tc>
        <w:tc>
          <w:tcPr>
            <w:tcW w:w="0" w:type="dxa"/>
            <w:vAlign w:val="bottom"/>
          </w:tcPr>
          <w:p>
            <w:pPr>
              <w:spacing w:after="0"/>
              <w:rPr>
                <w:sz w:val="1"/>
                <w:szCs w:val="1"/>
                <w:color w:val="auto"/>
              </w:rPr>
            </w:pPr>
          </w:p>
        </w:tc>
      </w:tr>
      <w:tr>
        <w:trPr>
          <w:trHeight w:val="448"/>
        </w:trPr>
        <w:tc>
          <w:tcPr>
            <w:tcW w:w="4800" w:type="dxa"/>
            <w:vAlign w:val="bottom"/>
            <w:tcBorders>
              <w:top w:val="single" w:sz="8" w:color="CFF0FC"/>
            </w:tcBorders>
          </w:tcPr>
          <w:p>
            <w:pPr>
              <w:spacing w:after="0"/>
              <w:rPr>
                <w:sz w:val="24"/>
                <w:szCs w:val="24"/>
                <w:color w:val="auto"/>
              </w:rPr>
            </w:pPr>
          </w:p>
        </w:tc>
        <w:tc>
          <w:tcPr>
            <w:tcW w:w="17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FF0FC"/>
              <w:bottom w:val="single" w:sz="8" w:color="auto"/>
            </w:tcBorders>
          </w:tcPr>
          <w:p>
            <w:pPr>
              <w:spacing w:after="0"/>
              <w:rPr>
                <w:sz w:val="24"/>
                <w:szCs w:val="24"/>
                <w:color w:val="auto"/>
              </w:rPr>
            </w:pPr>
          </w:p>
        </w:tc>
        <w:tc>
          <w:tcPr>
            <w:tcW w:w="80" w:type="dxa"/>
            <w:vAlign w:val="bottom"/>
            <w:tcBorders>
              <w:top w:val="single" w:sz="8" w:color="CFF0FC"/>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Borders>
              <w:top w:val="single" w:sz="8" w:color="CFF0FC"/>
              <w:bottom w:val="single" w:sz="8" w:color="auto"/>
            </w:tcBorders>
          </w:tcPr>
          <w:p>
            <w:pPr>
              <w:spacing w:after="0"/>
              <w:rPr>
                <w:sz w:val="24"/>
                <w:szCs w:val="24"/>
                <w:color w:val="auto"/>
              </w:rPr>
            </w:pPr>
          </w:p>
        </w:tc>
        <w:tc>
          <w:tcPr>
            <w:tcW w:w="60" w:type="dxa"/>
            <w:vAlign w:val="bottom"/>
            <w:tcBorders>
              <w:top w:val="single" w:sz="8" w:color="CFF0FC"/>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8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tcPr>
          <w:p>
            <w:pPr>
              <w:jc w:val="center"/>
              <w:ind w:right="300"/>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jc w:val="center"/>
              <w:ind w:right="300"/>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ind w:right="236"/>
              <w:spacing w:after="0" w:line="116"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0" w:type="dxa"/>
            <w:vAlign w:val="bottom"/>
          </w:tcPr>
          <w:p>
            <w:pPr>
              <w:spacing w:after="0"/>
              <w:rPr>
                <w:sz w:val="1"/>
                <w:szCs w:val="1"/>
                <w:color w:val="auto"/>
              </w:rPr>
            </w:pPr>
          </w:p>
        </w:tc>
      </w:tr>
      <w:tr>
        <w:trPr>
          <w:trHeight w:val="172"/>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7"/>
        </w:trPr>
        <w:tc>
          <w:tcPr>
            <w:tcW w:w="4800" w:type="dxa"/>
            <w:vAlign w:val="bottom"/>
            <w:vMerge w:val="continue"/>
          </w:tcPr>
          <w:p>
            <w:pPr>
              <w:spacing w:after="0"/>
              <w:rPr>
                <w:sz w:val="18"/>
                <w:szCs w:val="18"/>
                <w:color w:val="auto"/>
              </w:rPr>
            </w:pPr>
          </w:p>
        </w:tc>
        <w:tc>
          <w:tcPr>
            <w:tcW w:w="182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5,359</w:t>
            </w:r>
          </w:p>
        </w:tc>
        <w:tc>
          <w:tcPr>
            <w:tcW w:w="0" w:type="dxa"/>
            <w:vAlign w:val="bottom"/>
          </w:tcPr>
          <w:p>
            <w:pPr>
              <w:spacing w:after="0"/>
              <w:rPr>
                <w:sz w:val="1"/>
                <w:szCs w:val="1"/>
                <w:color w:val="auto"/>
              </w:rPr>
            </w:pPr>
          </w:p>
        </w:tc>
      </w:tr>
      <w:tr>
        <w:trPr>
          <w:trHeight w:val="214"/>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13,894</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28,156</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24,367</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23,204</w:t>
            </w:r>
          </w:p>
        </w:tc>
        <w:tc>
          <w:tcPr>
            <w:tcW w:w="0" w:type="dxa"/>
            <w:vAlign w:val="bottom"/>
          </w:tcPr>
          <w:p>
            <w:pPr>
              <w:spacing w:after="0"/>
              <w:rPr>
                <w:sz w:val="1"/>
                <w:szCs w:val="1"/>
                <w:color w:val="auto"/>
              </w:rPr>
            </w:pPr>
          </w:p>
        </w:tc>
      </w:tr>
      <w:tr>
        <w:trPr>
          <w:trHeight w:val="20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47,910</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41,868</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42,457</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(4,049)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0" w:type="dxa"/>
            <w:vAlign w:val="bottom"/>
          </w:tcPr>
          <w:p>
            <w:pPr>
              <w:spacing w:after="0"/>
              <w:rPr>
                <w:sz w:val="1"/>
                <w:szCs w:val="1"/>
                <w:color w:val="auto"/>
              </w:rPr>
            </w:pPr>
          </w:p>
        </w:tc>
      </w:tr>
      <w:tr>
        <w:trPr>
          <w:trHeight w:val="247"/>
        </w:trPr>
        <w:tc>
          <w:tcPr>
            <w:tcW w:w="48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 net of taxes</w:t>
            </w:r>
          </w:p>
        </w:tc>
        <w:tc>
          <w:tcPr>
            <w:tcW w:w="182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42,836</w:t>
            </w:r>
          </w:p>
        </w:tc>
        <w:tc>
          <w:tcPr>
            <w:tcW w:w="8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37,819</w:t>
            </w:r>
          </w:p>
        </w:tc>
        <w:tc>
          <w:tcPr>
            <w:tcW w:w="6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38,078</w:t>
            </w:r>
          </w:p>
        </w:tc>
        <w:tc>
          <w:tcPr>
            <w:tcW w:w="0" w:type="dxa"/>
            <w:vAlign w:val="bottom"/>
          </w:tcPr>
          <w:p>
            <w:pPr>
              <w:spacing w:after="0"/>
              <w:rPr>
                <w:sz w:val="1"/>
                <w:szCs w:val="1"/>
                <w:color w:val="auto"/>
              </w:rPr>
            </w:pPr>
          </w:p>
        </w:tc>
      </w:tr>
      <w:tr>
        <w:trPr>
          <w:trHeight w:val="730"/>
        </w:trPr>
        <w:tc>
          <w:tcPr>
            <w:tcW w:w="4800" w:type="dxa"/>
            <w:vAlign w:val="bottom"/>
          </w:tcPr>
          <w:p>
            <w:pPr>
              <w:spacing w:after="0"/>
              <w:rPr>
                <w:sz w:val="24"/>
                <w:szCs w:val="24"/>
                <w:color w:val="auto"/>
              </w:rPr>
            </w:pPr>
          </w:p>
        </w:tc>
        <w:tc>
          <w:tcPr>
            <w:tcW w:w="2000" w:type="dxa"/>
            <w:vAlign w:val="bottom"/>
            <w:gridSpan w:val="3"/>
          </w:tcPr>
          <w:p>
            <w:pPr>
              <w:jc w:val="right"/>
              <w:ind w:right="911"/>
              <w:spacing w:after="0"/>
              <w:rPr>
                <w:sz w:val="20"/>
                <w:szCs w:val="20"/>
                <w:color w:val="auto"/>
              </w:rPr>
            </w:pPr>
            <w:r>
              <w:rPr>
                <w:rFonts w:ascii="Times New Roman" w:cs="Times New Roman" w:eastAsia="Times New Roman" w:hAnsi="Times New Roman"/>
                <w:sz w:val="18"/>
                <w:szCs w:val="18"/>
                <w:color w:val="auto"/>
              </w:rPr>
              <w:t>F-37</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5"/>
        </w:trPr>
        <w:tc>
          <w:tcPr>
            <w:tcW w:w="48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-2352040</wp:posOffset>
            </wp:positionV>
            <wp:extent cx="1016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2">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-2334895</wp:posOffset>
            </wp:positionV>
            <wp:extent cx="1016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3">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-2352040</wp:posOffset>
            </wp:positionV>
            <wp:extent cx="9334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4">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-2334895</wp:posOffset>
            </wp:positionV>
            <wp:extent cx="9334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5">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-993140</wp:posOffset>
            </wp:positionV>
            <wp:extent cx="1016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6">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-975995</wp:posOffset>
            </wp:positionV>
            <wp:extent cx="1016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7">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-993140</wp:posOffset>
            </wp:positionV>
            <wp:extent cx="9334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8">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-975995</wp:posOffset>
            </wp:positionV>
            <wp:extent cx="9334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9">
                      <a:extLst>
                        <a:ext uri="{28A0092B-C50C-407E-A947-70E740481C1C}"/>
                      </a:extLst>
                    </a:blip>
                    <a:srcRect/>
                    <a:stretch>
                      <a:fillRect/>
                    </a:stretch>
                  </pic:blipFill>
                  <pic:spPr bwMode="auto">
                    <a:xfrm>
                      <a:off x="0" y="0"/>
                      <a:ext cx="93345" cy="825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98" w:name="page99"/>
    <w:bookmarkEnd w:id="9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32" w:lineRule="exact"/>
        <w:rPr>
          <w:sz w:val="20"/>
          <w:szCs w:val="20"/>
          <w:color w:val="auto"/>
        </w:rPr>
      </w:pPr>
    </w:p>
    <w:p>
      <w:pPr>
        <w:ind w:left="580" w:hanging="573"/>
        <w:spacing w:after="0"/>
        <w:tabs>
          <w:tab w:leader="none" w:pos="5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1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(loss) income before income taxes include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center"/>
              <w:ind w:right="256"/>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center"/>
              <w:ind w:right="236"/>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center"/>
              <w:ind w:right="236"/>
              <w:spacing w:after="0" w:line="116"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0" w:type="dxa"/>
            <w:vAlign w:val="bottom"/>
          </w:tcPr>
          <w:p>
            <w:pPr>
              <w:spacing w:after="0"/>
              <w:rPr>
                <w:sz w:val="1"/>
                <w:szCs w:val="1"/>
                <w:color w:val="auto"/>
              </w:rPr>
            </w:pPr>
          </w:p>
        </w:tc>
      </w:tr>
      <w:tr>
        <w:trPr>
          <w:trHeight w:val="172"/>
        </w:trPr>
        <w:tc>
          <w:tcPr>
            <w:tcW w:w="6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7"/>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Domestic operations</w:t>
            </w:r>
          </w:p>
        </w:tc>
        <w:tc>
          <w:tcPr>
            <w:tcW w:w="52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(28,405)</w:t>
            </w:r>
          </w:p>
        </w:tc>
        <w:tc>
          <w:tcPr>
            <w:tcW w:w="3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(106,576)</w:t>
            </w:r>
          </w:p>
        </w:tc>
        <w:tc>
          <w:tcPr>
            <w:tcW w:w="3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183,524</w:t>
            </w:r>
          </w:p>
        </w:tc>
        <w:tc>
          <w:tcPr>
            <w:tcW w:w="0" w:type="dxa"/>
            <w:vAlign w:val="bottom"/>
          </w:tcPr>
          <w:p>
            <w:pPr>
              <w:spacing w:after="0"/>
              <w:rPr>
                <w:sz w:val="1"/>
                <w:szCs w:val="1"/>
                <w:color w:val="auto"/>
              </w:rPr>
            </w:pPr>
          </w:p>
        </w:tc>
      </w:tr>
      <w:tr>
        <w:trPr>
          <w:trHeight w:val="214"/>
        </w:trPr>
        <w:tc>
          <w:tcPr>
            <w:tcW w:w="6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operations</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13,504</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20,880</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11,273</w:t>
            </w:r>
          </w:p>
        </w:tc>
        <w:tc>
          <w:tcPr>
            <w:tcW w:w="0" w:type="dxa"/>
            <w:vAlign w:val="bottom"/>
          </w:tcPr>
          <w:p>
            <w:pPr>
              <w:spacing w:after="0"/>
              <w:rPr>
                <w:sz w:val="1"/>
                <w:szCs w:val="1"/>
                <w:color w:val="auto"/>
              </w:rPr>
            </w:pPr>
          </w:p>
        </w:tc>
      </w:tr>
      <w:tr>
        <w:trPr>
          <w:trHeight w:val="207"/>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3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(85,696)</w:t>
            </w:r>
          </w:p>
        </w:tc>
        <w:tc>
          <w:tcPr>
            <w:tcW w:w="3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194,797</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Significant components of the income tax (benefit) provision are as follows:</w:t>
            </w: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63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center"/>
              <w:ind w:right="256"/>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center"/>
              <w:ind w:right="236"/>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center"/>
              <w:ind w:right="236"/>
              <w:spacing w:after="0" w:line="116"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0" w:type="dxa"/>
            <w:vAlign w:val="bottom"/>
          </w:tcPr>
          <w:p>
            <w:pPr>
              <w:spacing w:after="0"/>
              <w:rPr>
                <w:sz w:val="1"/>
                <w:szCs w:val="1"/>
                <w:color w:val="auto"/>
              </w:rPr>
            </w:pPr>
          </w:p>
        </w:tc>
      </w:tr>
      <w:tr>
        <w:trPr>
          <w:trHeight w:val="172"/>
        </w:trPr>
        <w:tc>
          <w:tcPr>
            <w:tcW w:w="6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7"/>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52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5,569</w:t>
            </w:r>
          </w:p>
        </w:tc>
        <w:tc>
          <w:tcPr>
            <w:tcW w:w="3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3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16,086</w:t>
            </w:r>
          </w:p>
        </w:tc>
        <w:tc>
          <w:tcPr>
            <w:tcW w:w="0" w:type="dxa"/>
            <w:vAlign w:val="bottom"/>
          </w:tcPr>
          <w:p>
            <w:pPr>
              <w:spacing w:after="0"/>
              <w:rPr>
                <w:sz w:val="1"/>
                <w:szCs w:val="1"/>
                <w:color w:val="auto"/>
              </w:rPr>
            </w:pPr>
          </w:p>
        </w:tc>
      </w:tr>
      <w:tr>
        <w:trPr>
          <w:trHeight w:val="214"/>
        </w:trPr>
        <w:tc>
          <w:tcPr>
            <w:tcW w:w="6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14"/>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5,527</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5,090</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43,117</w:t>
            </w:r>
          </w:p>
        </w:tc>
        <w:tc>
          <w:tcPr>
            <w:tcW w:w="0" w:type="dxa"/>
            <w:vAlign w:val="bottom"/>
          </w:tcPr>
          <w:p>
            <w:pPr>
              <w:spacing w:after="0"/>
              <w:rPr>
                <w:sz w:val="1"/>
                <w:szCs w:val="1"/>
                <w:color w:val="auto"/>
              </w:rPr>
            </w:pPr>
          </w:p>
        </w:tc>
      </w:tr>
      <w:tr>
        <w:trPr>
          <w:trHeight w:val="207"/>
        </w:trPr>
        <w:tc>
          <w:tcPr>
            <w:tcW w:w="63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current</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11,746</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3,368</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60,522</w:t>
            </w:r>
          </w:p>
        </w:tc>
        <w:tc>
          <w:tcPr>
            <w:tcW w:w="0" w:type="dxa"/>
            <w:vAlign w:val="bottom"/>
          </w:tcPr>
          <w:p>
            <w:pPr>
              <w:spacing w:after="0"/>
              <w:rPr>
                <w:sz w:val="1"/>
                <w:szCs w:val="1"/>
                <w:color w:val="auto"/>
              </w:rPr>
            </w:pPr>
          </w:p>
        </w:tc>
      </w:tr>
      <w:tr>
        <w:trPr>
          <w:trHeight w:val="207"/>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10,721</w:t>
            </w:r>
          </w:p>
        </w:tc>
        <w:tc>
          <w:tcPr>
            <w:tcW w:w="0" w:type="dxa"/>
            <w:vAlign w:val="bottom"/>
          </w:tcPr>
          <w:p>
            <w:pPr>
              <w:spacing w:after="0"/>
              <w:rPr>
                <w:sz w:val="1"/>
                <w:szCs w:val="1"/>
                <w:color w:val="auto"/>
              </w:rPr>
            </w:pPr>
          </w:p>
        </w:tc>
      </w:tr>
      <w:tr>
        <w:trPr>
          <w:trHeight w:val="214"/>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4"/>
        </w:trPr>
        <w:tc>
          <w:tcPr>
            <w:tcW w:w="6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(29,203)</w:t>
            </w:r>
          </w:p>
        </w:tc>
        <w:tc>
          <w:tcPr>
            <w:tcW w:w="0" w:type="dxa"/>
            <w:vAlign w:val="bottom"/>
          </w:tcPr>
          <w:p>
            <w:pPr>
              <w:spacing w:after="0"/>
              <w:rPr>
                <w:sz w:val="1"/>
                <w:szCs w:val="1"/>
                <w:color w:val="auto"/>
              </w:rPr>
            </w:pPr>
          </w:p>
        </w:tc>
      </w:tr>
      <w:tr>
        <w:trPr>
          <w:trHeight w:val="207"/>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(16,301)</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(18,613)</w:t>
            </w:r>
          </w:p>
        </w:tc>
        <w:tc>
          <w:tcPr>
            <w:tcW w:w="0" w:type="dxa"/>
            <w:vAlign w:val="bottom"/>
          </w:tcPr>
          <w:p>
            <w:pPr>
              <w:spacing w:after="0"/>
              <w:rPr>
                <w:sz w:val="1"/>
                <w:szCs w:val="1"/>
                <w:color w:val="auto"/>
              </w:rPr>
            </w:pPr>
          </w:p>
        </w:tc>
      </w:tr>
      <w:tr>
        <w:trPr>
          <w:trHeight w:val="247"/>
        </w:trPr>
        <w:tc>
          <w:tcPr>
            <w:tcW w:w="63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income tax (benefit) provision</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41,909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-2300605</wp:posOffset>
            </wp:positionV>
            <wp:extent cx="1016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0">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-2300605</wp:posOffset>
            </wp:positionV>
            <wp:extent cx="9334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1">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-865505</wp:posOffset>
            </wp:positionV>
            <wp:extent cx="1016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2">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-865505</wp:posOffset>
            </wp:positionV>
            <wp:extent cx="9334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3">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-313690</wp:posOffset>
            </wp:positionV>
            <wp:extent cx="1016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4">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-313690</wp:posOffset>
            </wp:positionV>
            <wp:extent cx="9334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5">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1016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6">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1016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7">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9334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8">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9334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9">
                      <a:extLst>
                        <a:ext uri="{28A0092B-C50C-407E-A947-70E740481C1C}"/>
                      </a:extLst>
                    </a:blip>
                    <a:srcRect/>
                    <a:stretch>
                      <a:fillRect/>
                    </a:stretch>
                  </pic:blipFill>
                  <pic:spPr bwMode="auto">
                    <a:xfrm>
                      <a:off x="0" y="0"/>
                      <a:ext cx="93345" cy="8255"/>
                    </a:xfrm>
                    <a:prstGeom prst="rect">
                      <a:avLst/>
                    </a:prstGeom>
                    <a:noFill/>
                  </pic:spPr>
                </pic:pic>
              </a:graphicData>
            </a:graphic>
          </wp:anchor>
        </w:drawing>
      </w:r>
    </w:p>
    <w:p>
      <w:pPr>
        <w:spacing w:after="0" w:line="69"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As detailed in Note 2 “Summary of Significant Accounting Policies” the Company elected to prospectively adopt the guidance in ASU 2023-09. The following table is a reconciliation of the U.S. federal statutory income tax rate to the Company’s effective tax rate for the fiscal year ended March 27, 2026 in accordance with the guidance in ASU 2023-09:</w:t>
      </w:r>
    </w:p>
    <w:p>
      <w:pPr>
        <w:spacing w:after="0" w:line="62"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March 27,</w:t>
      </w:r>
    </w:p>
    <w:p>
      <w:pPr>
        <w:jc w:val="center"/>
        <w:ind w:left="7380"/>
        <w:spacing w:after="0" w:line="235" w:lineRule="auto"/>
        <w:rPr>
          <w:sz w:val="20"/>
          <w:szCs w:val="20"/>
          <w:color w:val="auto"/>
        </w:rPr>
      </w:pPr>
      <w:r>
        <w:rPr>
          <w:rFonts w:ascii="Times New Roman" w:cs="Times New Roman" w:eastAsia="Times New Roman" w:hAnsi="Times New Roman"/>
          <w:sz w:val="14"/>
          <w:szCs w:val="14"/>
          <w:b w:val="1"/>
          <w:bCs w:val="1"/>
          <w:color w:val="auto"/>
        </w:rPr>
        <w:t>2026</w:t>
      </w:r>
    </w:p>
    <w:tbl>
      <w:tblPr>
        <w:tblLayout w:type="fixed"/>
        <w:tblInd w:w="0" w:type="dxa"/>
        <w:tblCellMar>
          <w:top w:w="0" w:type="dxa"/>
          <w:left w:w="0" w:type="dxa"/>
          <w:bottom w:w="0" w:type="dxa"/>
          <w:right w:w="0" w:type="dxa"/>
        </w:tblCellMar>
      </w:tblPr>
      <w:tr>
        <w:trPr>
          <w:trHeight w:val="140"/>
        </w:trPr>
        <w:tc>
          <w:tcPr>
            <w:tcW w:w="6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69"/>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40" w:type="dxa"/>
            <w:vAlign w:val="bottom"/>
            <w:tcBorders>
              <w:top w:val="single" w:sz="8" w:color="auto"/>
              <w:bottom w:val="single" w:sz="8" w:color="auto"/>
            </w:tcBorders>
          </w:tcPr>
          <w:p>
            <w:pPr>
              <w:jc w:val="right"/>
              <w:ind w:right="880"/>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0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U.S. federal statutory tax rate</w:t>
            </w:r>
          </w:p>
        </w:tc>
        <w:tc>
          <w:tcPr>
            <w:tcW w:w="2400" w:type="dxa"/>
            <w:vAlign w:val="bottom"/>
            <w:gridSpan w:val="2"/>
            <w:shd w:val="clear" w:color="auto" w:fill="CFF0FC"/>
          </w:tcPr>
          <w:p>
            <w:pPr>
              <w:jc w:val="right"/>
              <w:ind w:right="78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4"/>
        </w:trPr>
        <w:tc>
          <w:tcPr>
            <w:tcW w:w="6180" w:type="dxa"/>
            <w:vAlign w:val="bottom"/>
          </w:tcPr>
          <w:p>
            <w:pPr>
              <w:spacing w:after="0" w:line="214" w:lineRule="exact"/>
              <w:rPr>
                <w:sz w:val="20"/>
                <w:szCs w:val="20"/>
                <w:color w:val="auto"/>
              </w:rPr>
            </w:pPr>
            <w:r>
              <w:rPr>
                <w:rFonts w:ascii="Times New Roman" w:cs="Times New Roman" w:eastAsia="Times New Roman" w:hAnsi="Times New Roman"/>
                <w:sz w:val="18"/>
                <w:szCs w:val="18"/>
                <w:b w:val="1"/>
                <w:bCs w:val="1"/>
                <w:color w:val="auto"/>
              </w:rPr>
              <w:t>State and local income tax, net of federal income tax effect</w:t>
            </w:r>
            <w:r>
              <w:rPr>
                <w:rFonts w:ascii="Times New Roman" w:cs="Times New Roman" w:eastAsia="Times New Roman" w:hAnsi="Times New Roman"/>
                <w:sz w:val="23"/>
                <w:szCs w:val="23"/>
                <w:b w:val="1"/>
                <w:bCs w:val="1"/>
                <w:color w:val="auto"/>
                <w:vertAlign w:val="superscript"/>
              </w:rPr>
              <w:t>1</w:t>
            </w: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364</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4"/>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1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1,714</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4"/>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cross-border tax laws:</w:t>
            </w: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4"/>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Foreign-derived intangible income benefit</w:t>
            </w:r>
          </w:p>
        </w:tc>
        <w:tc>
          <w:tcPr>
            <w:tcW w:w="1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14"/>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Subpart F, GILTI and other inclusions, net of foreign tax credits</w:t>
            </w: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4"/>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867</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4"/>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credits</w:t>
            </w: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4"/>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R&amp;D credits</w:t>
            </w:r>
          </w:p>
        </w:tc>
        <w:tc>
          <w:tcPr>
            <w:tcW w:w="1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4"/>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valuation allowances</w:t>
            </w: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1,339</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4"/>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1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14"/>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2,438</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4"/>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162(m) limitation</w:t>
            </w:r>
          </w:p>
        </w:tc>
        <w:tc>
          <w:tcPr>
            <w:tcW w:w="1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2,626</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4"/>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Changes in unrecognized tax benefits</w:t>
            </w:r>
          </w:p>
        </w:tc>
        <w:tc>
          <w:tcPr>
            <w:tcW w:w="14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2400" w:type="dxa"/>
            <w:vAlign w:val="bottom"/>
            <w:gridSpan w:val="2"/>
          </w:tcPr>
          <w:p>
            <w:pPr>
              <w:jc w:val="right"/>
              <w:ind w:right="78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5897880</wp:posOffset>
            </wp:positionH>
            <wp:positionV relativeFrom="paragraph">
              <wp:posOffset>-158115</wp:posOffset>
            </wp:positionV>
            <wp:extent cx="762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0">
                      <a:extLst>
                        <a:ext uri="{28A0092B-C50C-407E-A947-70E740481C1C}"/>
                      </a:extLst>
                    </a:blip>
                    <a:srcRect/>
                    <a:stretch>
                      <a:fillRect/>
                    </a:stretch>
                  </pic:blipFill>
                  <pic:spPr bwMode="auto">
                    <a:xfrm>
                      <a:off x="0" y="0"/>
                      <a:ext cx="7620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4845050</wp:posOffset>
            </wp:positionH>
            <wp:positionV relativeFrom="paragraph">
              <wp:posOffset>-13970</wp:posOffset>
            </wp:positionV>
            <wp:extent cx="229298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1">
                      <a:extLst>
                        <a:ext uri="{28A0092B-C50C-407E-A947-70E740481C1C}"/>
                      </a:extLst>
                    </a:blip>
                    <a:srcRect/>
                    <a:stretch>
                      <a:fillRect/>
                    </a:stretch>
                  </pic:blipFill>
                  <pic:spPr bwMode="auto">
                    <a:xfrm>
                      <a:off x="0" y="0"/>
                      <a:ext cx="2292985" cy="8255"/>
                    </a:xfrm>
                    <a:prstGeom prst="rect">
                      <a:avLst/>
                    </a:prstGeom>
                    <a:noFill/>
                  </pic:spPr>
                </pic:pic>
              </a:graphicData>
            </a:graphic>
          </wp:anchor>
        </w:drawing>
      </w:r>
    </w:p>
    <w:p>
      <w:pPr>
        <w:ind w:left="380" w:hanging="373"/>
        <w:spacing w:after="0" w:line="201" w:lineRule="auto"/>
        <w:tabs>
          <w:tab w:leader="none" w:pos="380"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During the fiscal year ended March 27, 2026, New Hampshire state taxes made up the majority of this category.</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29" w:lineRule="exact"/>
        <w:rPr>
          <w:rFonts w:ascii="Times New Roman" w:cs="Times New Roman" w:eastAsia="Times New Roman" w:hAnsi="Times New Roman"/>
          <w:sz w:val="22"/>
          <w:szCs w:val="22"/>
          <w:color w:val="auto"/>
          <w:vertAlign w:val="superscript"/>
        </w:rPr>
      </w:pPr>
    </w:p>
    <w:p>
      <w:pPr>
        <w:ind w:left="546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4845050</wp:posOffset>
            </wp:positionH>
            <wp:positionV relativeFrom="paragraph">
              <wp:posOffset>-662940</wp:posOffset>
            </wp:positionV>
            <wp:extent cx="229298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3">
                      <a:extLst>
                        <a:ext uri="{28A0092B-C50C-407E-A947-70E740481C1C}"/>
                      </a:extLst>
                    </a:blip>
                    <a:srcRect/>
                    <a:stretch>
                      <a:fillRect/>
                    </a:stretch>
                  </pic:blipFill>
                  <pic:spPr bwMode="auto">
                    <a:xfrm>
                      <a:off x="0" y="0"/>
                      <a:ext cx="2292985" cy="825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99" w:name="page100"/>
    <w:bookmarkEnd w:id="9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29"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The following table shows the difference between the income tax (benefit) provision at the statutory federal tax rate and the (benefit) provision for income taxes for the fiscal years ended March 28, 2025 and March 29, 2024, using the methodology in place prior to the adoption of ASU 2023-09:</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20" w:type="dxa"/>
            <w:vAlign w:val="bottom"/>
            <w:tcBorders>
              <w:bottom w:val="single" w:sz="8" w:color="auto"/>
            </w:tcBorders>
          </w:tcPr>
          <w:p>
            <w:pPr>
              <w:spacing w:after="0"/>
              <w:rPr>
                <w:sz w:val="14"/>
                <w:szCs w:val="14"/>
                <w:color w:val="auto"/>
              </w:rPr>
            </w:pPr>
          </w:p>
        </w:tc>
      </w:tr>
      <w:tr>
        <w:trPr>
          <w:trHeight w:val="116"/>
        </w:trPr>
        <w:tc>
          <w:tcPr>
            <w:tcW w:w="7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right"/>
              <w:ind w:right="494"/>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jc w:val="right"/>
              <w:ind w:right="493"/>
              <w:spacing w:after="0" w:line="116" w:lineRule="exact"/>
              <w:rPr>
                <w:sz w:val="20"/>
                <w:szCs w:val="20"/>
                <w:color w:val="auto"/>
              </w:rPr>
            </w:pPr>
            <w:r>
              <w:rPr>
                <w:rFonts w:ascii="Times New Roman" w:cs="Times New Roman" w:eastAsia="Times New Roman" w:hAnsi="Times New Roman"/>
                <w:sz w:val="13"/>
                <w:szCs w:val="13"/>
                <w:b w:val="1"/>
                <w:bCs w:val="1"/>
                <w:color w:val="auto"/>
              </w:rPr>
              <w:t>March 29,</w:t>
            </w:r>
          </w:p>
        </w:tc>
      </w:tr>
      <w:tr>
        <w:trPr>
          <w:trHeight w:val="172"/>
        </w:trPr>
        <w:tc>
          <w:tcPr>
            <w:tcW w:w="7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provision at U.S. statutory rate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(17,996)</w:t>
            </w:r>
          </w:p>
        </w:tc>
        <w:tc>
          <w:tcPr>
            <w:tcW w:w="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40,907</w:t>
            </w:r>
          </w:p>
        </w:tc>
      </w:tr>
      <w:tr>
        <w:trPr>
          <w:trHeight w:val="21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6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1,106</w:t>
            </w:r>
          </w:p>
        </w:tc>
      </w:tr>
      <w:tr>
        <w:trPr>
          <w:trHeight w:val="21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(25,612)</w:t>
            </w:r>
          </w:p>
        </w:tc>
      </w:tr>
      <w:tr>
        <w:trPr>
          <w:trHeight w:val="21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r>
      <w:tr>
        <w:trPr>
          <w:trHeight w:val="21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2,094</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1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Cumulative provision-to-return</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1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Subpart F and GILTI, net of credits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640</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uncertain tax positions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827</w:t>
            </w:r>
          </w:p>
        </w:tc>
      </w:tr>
      <w:tr>
        <w:trPr>
          <w:trHeight w:val="21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162(m) limitation</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3,542</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3,010</w:t>
            </w:r>
          </w:p>
        </w:tc>
      </w:tr>
      <w:tr>
        <w:trPr>
          <w:trHeight w:val="21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tax rate</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2,632</w:t>
            </w:r>
          </w:p>
        </w:tc>
      </w:tr>
      <w:tr>
        <w:trPr>
          <w:trHeight w:val="21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1,848</w:t>
            </w:r>
          </w:p>
        </w:tc>
      </w:tr>
      <w:tr>
        <w:trPr>
          <w:trHeight w:val="21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BEAT alternative minimum tax</w:t>
            </w:r>
          </w:p>
        </w:tc>
        <w:tc>
          <w:tcPr>
            <w:tcW w:w="26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1,454</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Entity restructuring</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25,921</w:t>
            </w:r>
          </w:p>
        </w:tc>
      </w:tr>
      <w:tr>
        <w:trPr>
          <w:trHeight w:val="21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Nondeductible - loss on forward repurchase contract</w:t>
            </w:r>
          </w:p>
        </w:tc>
        <w:tc>
          <w:tcPr>
            <w:tcW w:w="26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7,298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Refund interest and other</w:t>
            </w: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07"/>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income tax (benefit) provision</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41,909</w:t>
            </w: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5965825</wp:posOffset>
            </wp:positionH>
            <wp:positionV relativeFrom="paragraph">
              <wp:posOffset>-168910</wp:posOffset>
            </wp:positionV>
            <wp:extent cx="1104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4">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69"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Entity restructurings are the net tax effect of transactions undertaken to streamline business operations, including the termination of a related party distributor and worthless stock deductions for our photonics subsidiaries, which fully ceased operating during the fiscal year ended March 28, 2025. The March 29, 2024 entity restructuring relates to post-acquisition integrations to align business operations and integrate Crocus’s assets and workforce into the Company’s existing affiliates. The Company engaged in an intra-entity asset sale that resulted in a taxable gain reduced by net operating losses (“NOL”) in France and the generation and utilization of foreign tax credits in the U.S. Assets were transferred at fair market value pursuant to a valuation. The entity restructuring increased the effective tax rate primarily because a deferred tax liability was established on the difference between the fair market value and book value of Crocus’s intellectual property transferred to the U.S.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00" w:name="page101"/>
    <w:bookmarkEnd w:id="10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36" w:lineRule="exact"/>
        <w:rPr>
          <w:sz w:val="20"/>
          <w:szCs w:val="20"/>
          <w:color w:val="auto"/>
        </w:rPr>
      </w:pPr>
    </w:p>
    <w:p>
      <w:pPr>
        <w:jc w:val="both"/>
        <w:ind w:firstLine="562"/>
        <w:spacing w:after="0" w:line="308" w:lineRule="auto"/>
        <w:rPr>
          <w:sz w:val="20"/>
          <w:szCs w:val="20"/>
          <w:color w:val="auto"/>
        </w:rPr>
      </w:pPr>
      <w:r>
        <w:rPr>
          <w:rFonts w:ascii="Times New Roman" w:cs="Times New Roman" w:eastAsia="Times New Roman" w:hAnsi="Times New Roman"/>
          <w:sz w:val="17"/>
          <w:szCs w:val="17"/>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March 28,</w:t>
            </w:r>
          </w:p>
        </w:tc>
      </w:tr>
      <w:tr>
        <w:trPr>
          <w:trHeight w:val="172"/>
        </w:trPr>
        <w:tc>
          <w:tcPr>
            <w:tcW w:w="6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4"/>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92,034</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87,759</w:t>
            </w:r>
          </w:p>
        </w:tc>
      </w:tr>
      <w:tr>
        <w:trPr>
          <w:trHeight w:val="214"/>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bonuses, sales commissions and other compensation</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10,456</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6,502</w:t>
            </w:r>
          </w:p>
        </w:tc>
      </w:tr>
      <w:tr>
        <w:trPr>
          <w:trHeight w:val="214"/>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and sales related</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18,574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15,629</w:t>
            </w:r>
          </w:p>
        </w:tc>
      </w:tr>
      <w:tr>
        <w:trPr>
          <w:trHeight w:val="214"/>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4,651</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3,780</w:t>
            </w:r>
          </w:p>
        </w:tc>
      </w:tr>
      <w:tr>
        <w:trPr>
          <w:trHeight w:val="214"/>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3,290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3,154</w:t>
            </w:r>
          </w:p>
        </w:tc>
      </w:tr>
      <w:tr>
        <w:trPr>
          <w:trHeight w:val="214"/>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3,960</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2,442</w:t>
            </w:r>
          </w:p>
        </w:tc>
      </w:tr>
      <w:tr>
        <w:trPr>
          <w:trHeight w:val="214"/>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1,923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1,918</w:t>
            </w:r>
          </w:p>
        </w:tc>
      </w:tr>
      <w:tr>
        <w:trPr>
          <w:trHeight w:val="214"/>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accruals and reserves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1,359</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3,753</w:t>
            </w:r>
          </w:p>
        </w:tc>
      </w:tr>
      <w:tr>
        <w:trPr>
          <w:trHeight w:val="214"/>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NOL carryforwards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4,314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5,255</w:t>
            </w:r>
          </w:p>
        </w:tc>
      </w:tr>
      <w:tr>
        <w:trPr>
          <w:trHeight w:val="214"/>
        </w:trPr>
        <w:tc>
          <w:tcPr>
            <w:tcW w:w="61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Equity method and other investments</w:t>
            </w:r>
          </w:p>
        </w:tc>
        <w:tc>
          <w:tcPr>
            <w:tcW w:w="16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1,352</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6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deferred income tax assets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141,913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130,192</w:t>
            </w:r>
          </w:p>
        </w:tc>
      </w:tr>
      <w:tr>
        <w:trPr>
          <w:trHeight w:val="214"/>
        </w:trPr>
        <w:tc>
          <w:tcPr>
            <w:tcW w:w="61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Valuation allowance for deferred income tax assets</w:t>
            </w:r>
          </w:p>
        </w:tc>
        <w:tc>
          <w:tcPr>
            <w:tcW w:w="16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w:t>
            </w:r>
          </w:p>
        </w:tc>
      </w:tr>
      <w:tr>
        <w:trPr>
          <w:trHeight w:val="207"/>
        </w:trPr>
        <w:tc>
          <w:tcPr>
            <w:tcW w:w="6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136,134</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125,942</w:t>
            </w:r>
          </w:p>
        </w:tc>
      </w:tr>
      <w:tr>
        <w:trPr>
          <w:trHeight w:val="20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4"/>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method and other investments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14"/>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Intangibles assets, net</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(38,349)</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(42,623)</w:t>
            </w:r>
          </w:p>
        </w:tc>
      </w:tr>
      <w:tr>
        <w:trPr>
          <w:trHeight w:val="214"/>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(12,108)</w:t>
            </w:r>
          </w:p>
        </w:tc>
      </w:tr>
      <w:tr>
        <w:trPr>
          <w:trHeight w:val="214"/>
        </w:trPr>
        <w:tc>
          <w:tcPr>
            <w:tcW w:w="61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16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w:t>
            </w:r>
          </w:p>
        </w:tc>
      </w:tr>
      <w:tr>
        <w:trPr>
          <w:trHeight w:val="207"/>
        </w:trPr>
        <w:tc>
          <w:tcPr>
            <w:tcW w:w="6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(55,913)</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(57,414)</w:t>
            </w:r>
          </w:p>
        </w:tc>
      </w:tr>
      <w:tr>
        <w:trPr>
          <w:trHeight w:val="227"/>
        </w:trPr>
        <w:tc>
          <w:tcPr>
            <w:tcW w:w="61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Net deferred income tax assets</w:t>
            </w: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80,221</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68,528</w:t>
            </w: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5965825</wp:posOffset>
            </wp:positionH>
            <wp:positionV relativeFrom="paragraph">
              <wp:posOffset>-1426210</wp:posOffset>
            </wp:positionV>
            <wp:extent cx="1104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6">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-1145540</wp:posOffset>
            </wp:positionV>
            <wp:extent cx="1104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7">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-313690</wp:posOffset>
            </wp:positionV>
            <wp:extent cx="1104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8">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-24765</wp:posOffset>
            </wp:positionV>
            <wp:extent cx="1104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9">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-7620</wp:posOffset>
            </wp:positionV>
            <wp:extent cx="1104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0">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189"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The Tax Cuts and Jobs Act of 2017 (“TCJA”) required the capitalization and amortization of domestic and foreign research and development (“R&amp;D”) expenditures over five and 15 years, respectively. On July 4, 2025, the OBBB was enacted and restored immediate expensing for domestic R&amp;D and provided a one-time Accelerated R&amp;D Amortization Election to deduct previously capitalized domestic R&amp;D over two years. In addition, Section 59(e) of the Internal Revenue Code of 1986, as amended (the “IRC”), allows an annual election to capitalize and amortized domestic R&amp;D expenditures over ten-years. The capitalized research and development costs deferred tax asset above represents the tax effect of the remaining cost to be amortized.</w:t>
      </w:r>
    </w:p>
    <w:p>
      <w:pPr>
        <w:spacing w:after="0" w:line="77"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 acquired NOL and research and development tax credit (“R&amp;D Credit”) carryforwards that are subject to limitations and valuation allowances. The IRC provides for a limitation of the annual use of NOLs, R&amp;D Credits, and other tax attributes following certain ownership changes that limit the ability to utilize NOL and R&amp;D Credit carryforwards. Under IRC Sections 382 and 383, an ownership change is generally defined as a greater than 50% change (by value) in its equity ownership over a three-year period.</w:t>
      </w:r>
    </w:p>
    <w:p>
      <w:pPr>
        <w:spacing w:after="0" w:line="73"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NOLs and capital losses may be available to reduce future taxable income. As of March 27, 2026, the Company had net Federal NOLs of $2,857 that were generated after December 31, 2017, and therefore carryforward indefinitely. State NOL carryforwards have been fully utilized. As of March 27, 2026, the Company had deferred tax assets (“DTAs”) related to capital losses, equity method of accounting, and state R&amp;D Credit carryforwards of $1,457, $1,352, and $3,290, respectively. The Company has established valuation allowances of $5,779 to fully offset the capital losses and equity method of accounts DTAs and most of the state R&amp;D Credit.</w:t>
      </w:r>
    </w:p>
    <w:p>
      <w:pPr>
        <w:spacing w:after="0" w:line="77"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As of March 27, 2026, the Company had net income taxes refunded for the year was $27,081, which consisted of a $30,889 federal refund offset by $3,324 in net foreign payments (including $2,217 paid to the Philippines) and $484 in net state payments.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01" w:name="page102"/>
    <w:bookmarkEnd w:id="10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36"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The Company’s intent is to permanently reinvest and use its existing foreign cash to fund its subsidiaries’ working capital needs, short-term and long-term capital projects, and to make investments and acquisitions.</w:t>
      </w:r>
    </w:p>
    <w:p>
      <w:pPr>
        <w:spacing w:after="0" w:line="55" w:lineRule="exact"/>
        <w:rPr>
          <w:sz w:val="20"/>
          <w:szCs w:val="20"/>
          <w:color w:val="auto"/>
        </w:rPr>
      </w:pPr>
    </w:p>
    <w:p>
      <w:pPr>
        <w:jc w:val="both"/>
        <w:ind w:firstLine="562"/>
        <w:spacing w:after="0" w:line="263" w:lineRule="auto"/>
        <w:rPr>
          <w:sz w:val="20"/>
          <w:szCs w:val="20"/>
          <w:color w:val="auto"/>
        </w:rPr>
      </w:pPr>
      <w:r>
        <w:rPr>
          <w:rFonts w:ascii="Times New Roman" w:cs="Times New Roman" w:eastAsia="Times New Roman" w:hAnsi="Times New Roman"/>
          <w:sz w:val="18"/>
          <w:szCs w:val="18"/>
          <w:color w:val="auto"/>
        </w:rPr>
        <w:t>The Company filed carryback claims allowable under the Coronavirus Aid, Relief and Economic Security Act (“the CARES Act”) to utilize NOLs and carryover credits generated during fiscal year 2021. As of March 27, 2026, the Company has $11,468 tax receivables, primarily related to the CARES Act, of which $7,375 is classified as current.</w:t>
      </w:r>
    </w:p>
    <w:p>
      <w:pPr>
        <w:spacing w:after="0" w:line="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16"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As of March 27, 2026, March 28, 2025 and March 29, 2024, the Company had gross uncertain tax positions which would impact the effective tax rate, if recognized. These amounts are recorded as a long-term liability, as the Company does not anticipate payment within one year.</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16"/>
        </w:trPr>
        <w:tc>
          <w:tcPr>
            <w:tcW w:w="5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right"/>
              <w:ind w:right="397"/>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right"/>
              <w:ind w:right="377"/>
              <w:spacing w:after="0" w:line="116" w:lineRule="exact"/>
              <w:rPr>
                <w:sz w:val="20"/>
                <w:szCs w:val="20"/>
                <w:color w:val="auto"/>
              </w:rPr>
            </w:pPr>
            <w:r>
              <w:rPr>
                <w:rFonts w:ascii="Times New Roman" w:cs="Times New Roman" w:eastAsia="Times New Roman" w:hAnsi="Times New Roman"/>
                <w:sz w:val="13"/>
                <w:szCs w:val="13"/>
                <w:b w:val="1"/>
                <w:bCs w:val="1"/>
                <w:color w:val="auto"/>
              </w:rPr>
              <w:t>March 28,</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right"/>
              <w:ind w:right="357"/>
              <w:spacing w:after="0" w:line="116" w:lineRule="exact"/>
              <w:rPr>
                <w:sz w:val="20"/>
                <w:szCs w:val="20"/>
                <w:color w:val="auto"/>
              </w:rPr>
            </w:pPr>
            <w:r>
              <w:rPr>
                <w:rFonts w:ascii="Times New Roman" w:cs="Times New Roman" w:eastAsia="Times New Roman" w:hAnsi="Times New Roman"/>
                <w:sz w:val="13"/>
                <w:szCs w:val="13"/>
                <w:b w:val="1"/>
                <w:bCs w:val="1"/>
                <w:color w:val="auto"/>
              </w:rPr>
              <w:t>March 29,</w:t>
            </w:r>
          </w:p>
        </w:tc>
      </w:tr>
      <w:tr>
        <w:trPr>
          <w:trHeight w:val="172"/>
        </w:trPr>
        <w:tc>
          <w:tcPr>
            <w:tcW w:w="5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42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4,797</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4,980</w:t>
            </w:r>
          </w:p>
        </w:tc>
        <w:tc>
          <w:tcPr>
            <w:tcW w:w="36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2,408</w:t>
            </w:r>
          </w:p>
        </w:tc>
      </w:tr>
      <w:tr>
        <w:trPr>
          <w:trHeight w:val="214"/>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increases - tax positions for prior periods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2,210</w:t>
            </w:r>
          </w:p>
        </w:tc>
      </w:tr>
      <w:tr>
        <w:trPr>
          <w:trHeight w:val="214"/>
        </w:trPr>
        <w:tc>
          <w:tcPr>
            <w:tcW w:w="5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increases - tax positions for current period</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378</w:t>
            </w:r>
          </w:p>
        </w:tc>
      </w:tr>
      <w:tr>
        <w:trPr>
          <w:trHeight w:val="214"/>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decreases lapse of applicable statutes of limitations</w:t>
            </w:r>
          </w:p>
        </w:tc>
        <w:tc>
          <w:tcPr>
            <w:tcW w:w="1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7"/>
        </w:trPr>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4,679</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4,797</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4,980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-24765</wp:posOffset>
            </wp:positionV>
            <wp:extent cx="10160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2">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1016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3">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9334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4">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9334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5">
                      <a:extLst>
                        <a:ext uri="{28A0092B-C50C-407E-A947-70E740481C1C}"/>
                      </a:extLst>
                    </a:blip>
                    <a:srcRect/>
                    <a:stretch>
                      <a:fillRect/>
                    </a:stretch>
                  </pic:blipFill>
                  <pic:spPr bwMode="auto">
                    <a:xfrm>
                      <a:off x="0" y="0"/>
                      <a:ext cx="93345" cy="8255"/>
                    </a:xfrm>
                    <a:prstGeom prst="rect">
                      <a:avLst/>
                    </a:prstGeom>
                    <a:noFill/>
                  </pic:spPr>
                </pic:pic>
              </a:graphicData>
            </a:graphic>
          </wp:anchor>
        </w:drawing>
      </w:r>
    </w:p>
    <w:p>
      <w:pPr>
        <w:spacing w:after="0" w:line="82" w:lineRule="exact"/>
        <w:rPr>
          <w:sz w:val="20"/>
          <w:szCs w:val="20"/>
          <w:color w:val="auto"/>
        </w:rPr>
      </w:pPr>
    </w:p>
    <w:p>
      <w:pPr>
        <w:jc w:val="both"/>
        <w:ind w:right="20" w:firstLine="562"/>
        <w:spacing w:after="0" w:line="263" w:lineRule="auto"/>
        <w:rPr>
          <w:sz w:val="20"/>
          <w:szCs w:val="20"/>
          <w:color w:val="auto"/>
        </w:rPr>
      </w:pPr>
      <w:r>
        <w:rPr>
          <w:rFonts w:ascii="Times New Roman" w:cs="Times New Roman" w:eastAsia="Times New Roman" w:hAnsi="Times New Roman"/>
          <w:sz w:val="18"/>
          <w:szCs w:val="18"/>
          <w:color w:val="auto"/>
        </w:rPr>
        <w:t>The Company believes that all tax positions are adequately provided for; amounts asserted by tax authorities could be greater or less than the accrued position. Accordingly, the Company’s provisions for federal, state and foreign tax related matters to be recorded in the future might change as revised estimates are made, or the underlying matters are settled or otherwise resolved.</w:t>
      </w:r>
    </w:p>
    <w:p>
      <w:pPr>
        <w:spacing w:after="0" w:line="68"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Company’s policy is to classify interest expense and penalties, if any, as components of the income tax (benefit) provision in the consolidated statements of operations. The Company recorded net increases of $305, $323 and $826 in interest, penalties and releases during fiscal years 2026, 2025 and 2024, respectively. As of March 27, 2026 and March 28, 2025, the amount of accrued interest and penalties totaled approximately $1,534 and $1,230, respectively.</w:t>
      </w:r>
    </w:p>
    <w:p>
      <w:pPr>
        <w:spacing w:after="0" w:line="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Examinations by Tax Authorities</w:t>
      </w:r>
    </w:p>
    <w:p>
      <w:pPr>
        <w:spacing w:after="0" w:line="116"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routinely subject to examination by taxing authorities in the United States and the foreign jurisdictions in which it does business. Currently, the Internal Revenue Service is auditing the CARES Act carryback claim for fiscal years 2016 through 2021, and the Bureau of Internal Revenue is auditing our Philippine subsidiary for tax year 2019. U.S. and material foreign jurisdictions statutes of limitation remain open as of 2016.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02" w:name="page103"/>
    <w:bookmarkEnd w:id="10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32" w:lineRule="exact"/>
        <w:rPr>
          <w:sz w:val="20"/>
          <w:szCs w:val="20"/>
          <w:color w:val="auto"/>
        </w:rPr>
      </w:pPr>
    </w:p>
    <w:p>
      <w:pPr>
        <w:ind w:left="580" w:hanging="573"/>
        <w:spacing w:after="0"/>
        <w:tabs>
          <w:tab w:leader="none" w:pos="5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Restructurings</w:t>
      </w:r>
    </w:p>
    <w:p>
      <w:pPr>
        <w:spacing w:after="0" w:line="115"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January 2025 Restructuring</w:t>
      </w:r>
    </w:p>
    <w:p>
      <w:pPr>
        <w:spacing w:after="0" w:line="116"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In January 2025, management committed to a plan that included repositioning to high-growth and lower cost regions and further consolidation of leased facilities in an effort to optimize its cost structure (the “January 2025 Restructuring”). In connection with the plan, the Company incurred $3,085 and $5,760 of total charges for the fiscal years ended March 27, 2026 and</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March 28, 2025, respectively. The Company incurred $1,562 and $5,121 related to employee severance and other employee-related benefit charges for the fiscal years ended March 27, 2026 and March 28, 2025, respectively. The Company does not expect to incur additional material charges related to the January 2025 Restructuring.</w:t>
      </w:r>
    </w:p>
    <w:p>
      <w:pPr>
        <w:spacing w:after="0" w:line="78" w:lineRule="exact"/>
        <w:rPr>
          <w:sz w:val="20"/>
          <w:szCs w:val="20"/>
          <w:color w:val="auto"/>
        </w:rPr>
      </w:pPr>
    </w:p>
    <w:p>
      <w:pPr>
        <w:jc w:val="both"/>
        <w:ind w:right="20" w:firstLine="569"/>
        <w:spacing w:after="0" w:line="278" w:lineRule="auto"/>
        <w:rPr>
          <w:sz w:val="20"/>
          <w:szCs w:val="20"/>
          <w:color w:val="auto"/>
        </w:rPr>
      </w:pPr>
      <w:r>
        <w:rPr>
          <w:rFonts w:ascii="Times New Roman" w:cs="Times New Roman" w:eastAsia="Times New Roman" w:hAnsi="Times New Roman"/>
          <w:sz w:val="18"/>
          <w:szCs w:val="18"/>
          <w:color w:val="auto"/>
        </w:rPr>
        <w:t>The following table presents restructuring, exit costs and other charges, net as included in the Company’s consolidated statement of operations for the fiscal years ended March 27, 2026 and March 28, 2025 related to the January 2025 Restructuring.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20" w:type="dxa"/>
            <w:vAlign w:val="bottom"/>
            <w:vMerge w:val="restart"/>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107"/>
        </w:trPr>
        <w:tc>
          <w:tcPr>
            <w:tcW w:w="77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7740" w:type="dxa"/>
            <w:vAlign w:val="bottom"/>
          </w:tcPr>
          <w:p>
            <w:pPr>
              <w:spacing w:after="0"/>
              <w:rPr>
                <w:sz w:val="14"/>
                <w:szCs w:val="14"/>
                <w:color w:val="auto"/>
              </w:rPr>
            </w:pPr>
          </w:p>
        </w:tc>
        <w:tc>
          <w:tcPr>
            <w:tcW w:w="11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7"/>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shd w:val="clear" w:color="auto" w:fill="CFF0FC"/>
          </w:tcPr>
          <w:p>
            <w:pPr>
              <w:jc w:val="right"/>
              <w:ind w:right="94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301</w:t>
            </w:r>
          </w:p>
        </w:tc>
        <w:tc>
          <w:tcPr>
            <w:tcW w:w="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1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18"/>
                <w:szCs w:val="18"/>
                <w:color w:val="auto"/>
              </w:rPr>
            </w:pPr>
          </w:p>
        </w:tc>
        <w:tc>
          <w:tcPr>
            <w:tcW w:w="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1,801</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14"/>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983</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1,810</w:t>
            </w:r>
          </w:p>
        </w:tc>
        <w:tc>
          <w:tcPr>
            <w:tcW w:w="0" w:type="dxa"/>
            <w:vAlign w:val="bottom"/>
          </w:tcPr>
          <w:p>
            <w:pPr>
              <w:spacing w:after="0"/>
              <w:rPr>
                <w:sz w:val="1"/>
                <w:szCs w:val="1"/>
                <w:color w:val="auto"/>
              </w:rPr>
            </w:pPr>
          </w:p>
        </w:tc>
      </w:tr>
      <w:tr>
        <w:trPr>
          <w:trHeight w:val="207"/>
        </w:trPr>
        <w:tc>
          <w:tcPr>
            <w:tcW w:w="7740" w:type="dxa"/>
            <w:vAlign w:val="bottom"/>
          </w:tcPr>
          <w:p>
            <w:pPr>
              <w:spacing w:after="0"/>
              <w:rPr>
                <w:sz w:val="18"/>
                <w:szCs w:val="18"/>
                <w:color w:val="auto"/>
              </w:rPr>
            </w:pPr>
          </w:p>
        </w:tc>
        <w:tc>
          <w:tcPr>
            <w:tcW w:w="1100" w:type="dxa"/>
            <w:vAlign w:val="bottom"/>
          </w:tcPr>
          <w:p>
            <w:pPr>
              <w:jc w:val="right"/>
              <w:ind w:right="94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3,085</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5,760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5965825</wp:posOffset>
            </wp:positionH>
            <wp:positionV relativeFrom="paragraph">
              <wp:posOffset>-168910</wp:posOffset>
            </wp:positionV>
            <wp:extent cx="1104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7">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69" w:lineRule="exact"/>
        <w:rPr>
          <w:sz w:val="20"/>
          <w:szCs w:val="20"/>
          <w:color w:val="auto"/>
        </w:rPr>
      </w:pPr>
    </w:p>
    <w:p>
      <w:pPr>
        <w:jc w:val="both"/>
        <w:ind w:firstLine="569"/>
        <w:spacing w:after="0" w:line="278" w:lineRule="auto"/>
        <w:rPr>
          <w:sz w:val="20"/>
          <w:szCs w:val="20"/>
          <w:color w:val="auto"/>
        </w:rPr>
      </w:pPr>
      <w:r>
        <w:rPr>
          <w:rFonts w:ascii="Times New Roman" w:cs="Times New Roman" w:eastAsia="Times New Roman" w:hAnsi="Times New Roman"/>
          <w:sz w:val="18"/>
          <w:szCs w:val="18"/>
          <w:color w:val="auto"/>
        </w:rPr>
        <w:t>A summary of changes in the Company’s accrual for employee severance and related expenses related to the January 2025 Restructuring was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Severance</w:t>
            </w:r>
          </w:p>
        </w:tc>
      </w:tr>
      <w:tr>
        <w:trPr>
          <w:trHeight w:val="207"/>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29, 2024</w:t>
            </w:r>
          </w:p>
        </w:tc>
        <w:tc>
          <w:tcPr>
            <w:tcW w:w="36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incurred</w:t>
            </w:r>
          </w:p>
        </w:tc>
        <w:tc>
          <w:tcPr>
            <w:tcW w:w="360" w:type="dxa"/>
            <w:vAlign w:val="bottom"/>
          </w:tcPr>
          <w:p>
            <w:pPr>
              <w:spacing w:after="0"/>
              <w:rPr>
                <w:sz w:val="18"/>
                <w:szCs w:val="18"/>
                <w:color w:val="auto"/>
              </w:rPr>
            </w:pPr>
          </w:p>
        </w:tc>
        <w:tc>
          <w:tcPr>
            <w:tcW w:w="1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5,121</w:t>
            </w:r>
          </w:p>
        </w:tc>
      </w:tr>
      <w:tr>
        <w:trPr>
          <w:trHeight w:val="214"/>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disbursements</w:t>
            </w: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w:t>
            </w:r>
          </w:p>
        </w:tc>
      </w:tr>
      <w:tr>
        <w:trPr>
          <w:trHeight w:val="214"/>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436</w:t>
            </w:r>
          </w:p>
        </w:tc>
      </w:tr>
      <w:tr>
        <w:trPr>
          <w:trHeight w:val="207"/>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28, 2025</w:t>
            </w:r>
          </w:p>
        </w:tc>
        <w:tc>
          <w:tcPr>
            <w:tcW w:w="36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1,647</w:t>
            </w:r>
          </w:p>
        </w:tc>
      </w:tr>
      <w:tr>
        <w:trPr>
          <w:trHeight w:val="214"/>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incurred</w:t>
            </w:r>
          </w:p>
        </w:tc>
        <w:tc>
          <w:tcPr>
            <w:tcW w:w="360" w:type="dxa"/>
            <w:vAlign w:val="bottom"/>
          </w:tcPr>
          <w:p>
            <w:pPr>
              <w:spacing w:after="0"/>
              <w:rPr>
                <w:sz w:val="18"/>
                <w:szCs w:val="18"/>
                <w:color w:val="auto"/>
              </w:rPr>
            </w:pPr>
          </w:p>
        </w:tc>
        <w:tc>
          <w:tcPr>
            <w:tcW w:w="1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1,562</w:t>
            </w:r>
          </w:p>
        </w:tc>
      </w:tr>
      <w:tr>
        <w:trPr>
          <w:trHeight w:val="214"/>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disbursements</w:t>
            </w: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w:t>
            </w:r>
          </w:p>
        </w:tc>
      </w:tr>
      <w:tr>
        <w:trPr>
          <w:trHeight w:val="214"/>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2,067</w:t>
            </w:r>
          </w:p>
        </w:tc>
      </w:tr>
      <w:tr>
        <w:trPr>
          <w:trHeight w:val="247"/>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27, 2026</w:t>
            </w: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162</w:t>
            </w:r>
          </w:p>
        </w:tc>
      </w:tr>
    </w:tbl>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June 2025 Restructuring</w:t>
      </w:r>
    </w:p>
    <w:p>
      <w:pPr>
        <w:spacing w:after="0" w:line="116"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In June 2025, the Company further consolidated leased facilities and optimized its cost structure through repositioning its workforce to high-growth markets and rebalancing its workforce to lower cost markets (the “June 2025 Restructuring”). In connection with the plan, the Company incurred $10,274 of total charges for the fiscal years ended March 27, 2026 of which $4,826 related to employee severance and other employee-related benefit charges, and $5,027 related to real estate actions. The Company does not expect to incur additional material charges related to the June 2025 Restructuring.</w:t>
      </w:r>
    </w:p>
    <w:p>
      <w:pPr>
        <w:spacing w:after="0" w:line="73" w:lineRule="exact"/>
        <w:rPr>
          <w:sz w:val="20"/>
          <w:szCs w:val="20"/>
          <w:color w:val="auto"/>
        </w:rPr>
      </w:pPr>
    </w:p>
    <w:p>
      <w:pPr>
        <w:jc w:val="both"/>
        <w:ind w:right="20" w:firstLine="569"/>
        <w:spacing w:after="0" w:line="278" w:lineRule="auto"/>
        <w:rPr>
          <w:sz w:val="20"/>
          <w:szCs w:val="20"/>
          <w:color w:val="auto"/>
        </w:rPr>
      </w:pPr>
      <w:r>
        <w:rPr>
          <w:rFonts w:ascii="Times New Roman" w:cs="Times New Roman" w:eastAsia="Times New Roman" w:hAnsi="Times New Roman"/>
          <w:sz w:val="18"/>
          <w:szCs w:val="18"/>
          <w:color w:val="auto"/>
        </w:rPr>
        <w:t>The following table presents restructuring, exit costs and other charges, net as included in the Company’s consolidated statement of operations for the fiscal year ended March 27, 2026 related to the June 2025 Restructuring.</w:t>
      </w:r>
    </w:p>
    <w:p>
      <w:pPr>
        <w:sectPr>
          <w:pgSz w:w="11900" w:h="16838" w:orient="portrait"/>
          <w:cols w:equalWidth="0" w:num="1">
            <w:col w:w="11240"/>
          </w:cols>
          <w:pgMar w:left="320" w:top="759"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3590" cy="135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8">
                      <a:extLst>
                        <a:ext uri="{28A0092B-C50C-407E-A947-70E740481C1C}"/>
                      </a:extLst>
                    </a:blip>
                    <a:srcRect/>
                    <a:stretch>
                      <a:fillRect/>
                    </a:stretch>
                  </pic:blipFill>
                  <pic:spPr bwMode="auto">
                    <a:xfrm>
                      <a:off x="0" y="0"/>
                      <a:ext cx="7133590" cy="135890"/>
                    </a:xfrm>
                    <a:prstGeom prst="rect">
                      <a:avLst/>
                    </a:prstGeom>
                    <a:noFill/>
                  </pic:spPr>
                </pic:pic>
              </a:graphicData>
            </a:graphic>
          </wp:anchor>
        </w:drawing>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3590" cy="144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9">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Selling, general and administrative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16"/>
        </w:trPr>
        <w:tc>
          <w:tcPr>
            <w:tcW w:w="240" w:type="dxa"/>
            <w:vAlign w:val="bottom"/>
          </w:tcPr>
          <w:p>
            <w:pPr>
              <w:spacing w:after="0"/>
              <w:rPr>
                <w:sz w:val="10"/>
                <w:szCs w:val="10"/>
                <w:color w:val="auto"/>
              </w:rPr>
            </w:pPr>
          </w:p>
        </w:tc>
        <w:tc>
          <w:tcPr>
            <w:tcW w:w="1760" w:type="dxa"/>
            <w:vAlign w:val="bottom"/>
          </w:tcPr>
          <w:p>
            <w:pPr>
              <w:jc w:val="center"/>
              <w:ind w:right="281"/>
              <w:spacing w:after="0" w:line="116" w:lineRule="exact"/>
              <w:rPr>
                <w:sz w:val="20"/>
                <w:szCs w:val="20"/>
                <w:color w:val="auto"/>
              </w:rPr>
            </w:pPr>
            <w:r>
              <w:rPr>
                <w:rFonts w:ascii="Times New Roman" w:cs="Times New Roman" w:eastAsia="Times New Roman" w:hAnsi="Times New Roman"/>
                <w:sz w:val="13"/>
                <w:szCs w:val="13"/>
                <w:b w:val="1"/>
                <w:bCs w:val="1"/>
                <w:color w:val="auto"/>
              </w:rPr>
              <w:t>March 27,</w:t>
            </w:r>
          </w:p>
        </w:tc>
      </w:tr>
      <w:tr>
        <w:trPr>
          <w:trHeight w:val="172"/>
        </w:trPr>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189"/>
        </w:trPr>
        <w:tc>
          <w:tcPr>
            <w:tcW w:w="24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61"/>
              <w:spacing w:after="0" w:line="189" w:lineRule="exact"/>
              <w:rPr>
                <w:sz w:val="20"/>
                <w:szCs w:val="20"/>
                <w:color w:val="auto"/>
              </w:rPr>
            </w:pPr>
            <w:r>
              <w:rPr>
                <w:rFonts w:ascii="Times New Roman" w:cs="Times New Roman" w:eastAsia="Times New Roman" w:hAnsi="Times New Roman"/>
                <w:sz w:val="18"/>
                <w:szCs w:val="18"/>
                <w:color w:val="auto"/>
              </w:rPr>
              <w:t>1,559</w:t>
            </w:r>
          </w:p>
        </w:tc>
      </w:tr>
      <w:tr>
        <w:trPr>
          <w:trHeight w:val="214"/>
        </w:trPr>
        <w:tc>
          <w:tcPr>
            <w:tcW w:w="240" w:type="dxa"/>
            <w:vAlign w:val="bottom"/>
          </w:tcPr>
          <w:p>
            <w:pPr>
              <w:spacing w:after="0"/>
              <w:rPr>
                <w:sz w:val="18"/>
                <w:szCs w:val="18"/>
                <w:color w:val="auto"/>
              </w:rPr>
            </w:pPr>
          </w:p>
        </w:tc>
        <w:tc>
          <w:tcPr>
            <w:tcW w:w="176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2,931</w:t>
            </w:r>
          </w:p>
        </w:tc>
      </w:tr>
      <w:tr>
        <w:trPr>
          <w:trHeight w:val="233"/>
        </w:trPr>
        <w:tc>
          <w:tcPr>
            <w:tcW w:w="240" w:type="dxa"/>
            <w:vAlign w:val="bottom"/>
          </w:tcPr>
          <w:p>
            <w:pPr>
              <w:spacing w:after="0"/>
              <w:rPr>
                <w:sz w:val="20"/>
                <w:szCs w:val="20"/>
                <w:color w:val="auto"/>
              </w:rPr>
            </w:pPr>
          </w:p>
        </w:tc>
        <w:tc>
          <w:tcPr>
            <w:tcW w:w="176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5,784</w:t>
            </w:r>
          </w:p>
        </w:tc>
      </w:tr>
    </w:tbl>
    <w:p>
      <w:pPr>
        <w:ind w:left="1380" w:hanging="1372"/>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12655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0">
                      <a:extLst>
                        <a:ext uri="{28A0092B-C50C-407E-A947-70E740481C1C}"/>
                      </a:extLst>
                    </a:blip>
                    <a:srcRect/>
                    <a:stretch>
                      <a:fillRect/>
                    </a:stretch>
                  </pic:blipFill>
                  <pic:spPr bwMode="auto">
                    <a:xfrm>
                      <a:off x="0" y="0"/>
                      <a:ext cx="12655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12655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1">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20" w:space="720"/>
            <w:col w:w="2000"/>
          </w:cols>
          <w:pgMar w:left="320" w:top="759" w:right="339" w:bottom="1440" w:gutter="0" w:footer="0" w:header="0"/>
          <w:type w:val="continuous"/>
        </w:sect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486410</wp:posOffset>
            </wp:positionV>
            <wp:extent cx="71589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type w:val="continuous"/>
        </w:sectPr>
      </w:pPr>
    </w:p>
    <w:bookmarkStart w:id="103" w:name="page104"/>
    <w:bookmarkEnd w:id="10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36" w:lineRule="exact"/>
        <w:rPr>
          <w:sz w:val="20"/>
          <w:szCs w:val="20"/>
          <w:color w:val="auto"/>
        </w:rPr>
      </w:pPr>
    </w:p>
    <w:p>
      <w:pPr>
        <w:ind w:firstLine="569"/>
        <w:spacing w:after="0" w:line="278" w:lineRule="auto"/>
        <w:rPr>
          <w:sz w:val="20"/>
          <w:szCs w:val="20"/>
          <w:color w:val="auto"/>
        </w:rPr>
      </w:pPr>
      <w:r>
        <w:rPr>
          <w:rFonts w:ascii="Times New Roman" w:cs="Times New Roman" w:eastAsia="Times New Roman" w:hAnsi="Times New Roman"/>
          <w:sz w:val="18"/>
          <w:szCs w:val="18"/>
          <w:color w:val="auto"/>
        </w:rPr>
        <w:t>A summary of changes in the Company’s accrual for employee severance and related expenses related to the June 2025 Restructuring was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Severance</w:t>
            </w:r>
          </w:p>
        </w:tc>
      </w:tr>
      <w:tr>
        <w:trPr>
          <w:trHeight w:val="207"/>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28, 2025</w:t>
            </w:r>
          </w:p>
        </w:tc>
        <w:tc>
          <w:tcPr>
            <w:tcW w:w="36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incurred</w:t>
            </w:r>
          </w:p>
        </w:tc>
        <w:tc>
          <w:tcPr>
            <w:tcW w:w="360" w:type="dxa"/>
            <w:vAlign w:val="bottom"/>
          </w:tcPr>
          <w:p>
            <w:pPr>
              <w:spacing w:after="0"/>
              <w:rPr>
                <w:sz w:val="18"/>
                <w:szCs w:val="18"/>
                <w:color w:val="auto"/>
              </w:rPr>
            </w:pPr>
          </w:p>
        </w:tc>
        <w:tc>
          <w:tcPr>
            <w:tcW w:w="16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4,826</w:t>
            </w:r>
          </w:p>
        </w:tc>
      </w:tr>
      <w:tr>
        <w:trPr>
          <w:trHeight w:val="214"/>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disbursements</w:t>
            </w: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w:t>
            </w:r>
          </w:p>
        </w:tc>
      </w:tr>
      <w:tr>
        <w:trPr>
          <w:trHeight w:val="214"/>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47"/>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27, 2026</w:t>
            </w: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1,817</w:t>
            </w:r>
          </w:p>
        </w:tc>
      </w:tr>
    </w:tbl>
    <w:p>
      <w:pPr>
        <w:spacing w:after="0" w:line="299" w:lineRule="exact"/>
        <w:rPr>
          <w:sz w:val="20"/>
          <w:szCs w:val="20"/>
          <w:color w:val="auto"/>
        </w:rPr>
      </w:pPr>
    </w:p>
    <w:p>
      <w:pPr>
        <w:ind w:left="580" w:hanging="573"/>
        <w:spacing w:after="0"/>
        <w:tabs>
          <w:tab w:leader="none" w:pos="5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15"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Share repurchase transactions with Sanken</w:t>
      </w:r>
    </w:p>
    <w:p>
      <w:pPr>
        <w:spacing w:after="0" w:line="116"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On July 23, 2024, the Company entered into a share repurchase agreement with Sanken (the “Share Repurchase Agreement”) pursuant to which the Company agreed to repurchase 38,767,315 shares of the Company’s common stock from Sanken in a privately negotiated transaction at a price per share equal to the price per share at which the underwriters in a public underwritten equity offering of shares of our common stock would purchase the shares (the “Equity Offering”). The repurchase of shares of common stock occurred in two separate closings, with the first closing taking place after the closing of the Equity Offering (the “First Closing”) and the second closing (the “Second Closing”) occurring after the receipt of the proceeds from the borrowings under the Refinanced 2023 Term Loan Facility. The First Closing of the share repurchase was conditioned upon the closing of the Equity Offering and certain other conditions, and the Second Closing of the share repurchase was conditioned upon the receipt of net proceeds of no less than $300,000 from incremental term loans under the Refinanced 2023 Term Loan Facility. Pursuant to the terms of the Share Repurchase Agreement, Sanken reimbursed the Company for the expenses incurred by the Company in connection with the transactions contemplated by the Share Repurchase Agreement, and paid a facilitation fee of $35,000, which was recorded within additional paid-in-capital with the consolidated statements of changes in equity.</w:t>
      </w:r>
    </w:p>
    <w:p>
      <w:pPr>
        <w:spacing w:after="0" w:line="82"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To fund the First Closing, the Company entered into an underwriting agreement (the “Underwriting Agreement”) with Barclays Capital Inc. and Morgan Stanley &amp; Co. LLC, as representatives of the several underwriters (the “Underwriters”), on July 24, 2024, pursuant to which the Company agreed to sell 25,000,000 shares of the Company’s common stock to the Underwriters at a price of $23.16 per share. Under the terms of the Underwriting Agreement, the Company granted the Underwriters a 30-day option to purchase up to an additional 3,750,000 shares of the Company’s common stock at the same purchase price, which option was exercised in full prior to the closing of the Equity Offering.</w:t>
      </w:r>
    </w:p>
    <w:p>
      <w:pPr>
        <w:spacing w:after="0" w:line="77"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On July 26, 2024, the Company completed the Equity Offering pursuant to the Underwriting Agreement of 28,750,000 shares of its common stock at a public offering price of $24.00 per share resulting in net proceeds to the Company of approximately $665,850, after deducting $24,150 of underwriting discounts. As described above, the Company used the net proceeds of the Equity Offering to complete the First Closing under the Share Repurchase Agreement.</w:t>
      </w:r>
    </w:p>
    <w:p>
      <w:pPr>
        <w:spacing w:after="0" w:line="73"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On July 29, 2024, the Company completed the First Closing under the Share Repurchase Agreement, repurchasing 28,750,000 shares of the Company’s common stock for aggregate consideration of $628,256, which was the Equity Offering price, less the facilitation fee of $35,000, underwriting discounts, and reimbursable transaction expenses. The shares repurchased in the First Closing were retired.</w:t>
      </w:r>
    </w:p>
    <w:p>
      <w:pPr>
        <w:spacing w:after="0" w:line="6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On August 7, 2024, the Company completed the Second Closing under the Share Repurchase Agreement, repurchasing 10,017,315 shares of the Company’s common stock for aggregate cash consideration of $225,549, which was the Equity Offering price, less underwriting discounts and reimbursable transaction expenses. The Company used a portion of the proceeds from the Refinanced 2023 Term Loan Facility and existing cash on hand to complete the Second Closing. The shares repurchased in the Second Closing were also retired.</w:t>
      </w:r>
    </w:p>
    <w:p>
      <w:pPr>
        <w:spacing w:after="0" w:line="73"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Share Repurchase Agreement was accounted for as a forward repurchase contract as there were certain terms that could have caused the obligation not to be fulfilled. Accordingly, the contract was initially recorded as a liability at its fair value with subsequent remeasurements recognized in loss on change in fair value of forward repurchase contract until the completion of the First Closing and Second Closing. The Company recognized a loss of $34,752 as a result of the fair value forward repurchase contract in the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04" w:name="page105"/>
    <w:bookmarkEnd w:id="10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36"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In connection with the Share Repurchase Agreement, the Company entered into a Second Amended and Restated Stockholders Agreement with Sanken (the “Second Amended and Restated Stockholders Agreement”), which amended and restated the Amended and Restated Stockholders Agreement, dated as of June 16, 2022, by and among the Company, Sanken and OEP SKNA, L.P. (“OEP”). The Second Amended and Restated Stockholders Agreement, which became effective in accordance with its terms on July 29, 2024, removed OEP as a party and amended certain rights and obligations of the Company and Sanken.</w:t>
      </w:r>
    </w:p>
    <w:p>
      <w:pPr>
        <w:spacing w:after="0" w:line="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Other transactions involving Sanken</w:t>
      </w:r>
    </w:p>
    <w:p>
      <w:pPr>
        <w:spacing w:after="0" w:line="116" w:lineRule="exact"/>
        <w:rPr>
          <w:sz w:val="20"/>
          <w:szCs w:val="20"/>
          <w:color w:val="auto"/>
        </w:rPr>
      </w:pPr>
    </w:p>
    <w:p>
      <w:pPr>
        <w:jc w:val="both"/>
        <w:ind w:firstLine="569"/>
        <w:spacing w:after="0" w:line="285" w:lineRule="auto"/>
        <w:rPr>
          <w:sz w:val="20"/>
          <w:szCs w:val="20"/>
          <w:color w:val="auto"/>
        </w:rPr>
      </w:pPr>
      <w:r>
        <w:rPr>
          <w:rFonts w:ascii="Times New Roman" w:cs="Times New Roman" w:eastAsia="Times New Roman" w:hAnsi="Times New Roman"/>
          <w:sz w:val="17"/>
          <w:szCs w:val="17"/>
          <w:color w:val="auto"/>
        </w:rPr>
        <w:t>Net sales of the Company’s products to Sanken totaled $6,161 for the fiscal year ended March 29, 2024, and are included in net sales to related party in the consolidated statements of operations. Although certain costs are shared or allocated, cost of goods sold and gross margins attributable to related party sales are consistent with those of third-party customers. There were no trade accounts receivable, net from Sanken as of March 27, 2026 or March 28, 2025.</w:t>
      </w:r>
    </w:p>
    <w:p>
      <w:pPr>
        <w:spacing w:after="0" w:line="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March 27, 2026, Sanken held approximately 32.2% of the Company’s outstanding shares of common stock.</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Sanken Distribution Agreement</w:t>
      </w:r>
    </w:p>
    <w:p>
      <w:pPr>
        <w:spacing w:after="0" w:line="116"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On March 30, 2023, the Company entered into a termination of the distribution agreement with Sanken (the “Termination Agreement”). The Termination Agreement formally terminated the distribution agreement dated as of July 5, 2007, by and between the Company and Sanken (the “Distribution Agreement”), effective March 31, 2023. In connection with the termination of the Distribution Agreement, and, as provided for in the Termination Agreement, the Company made a one-time payment of $5,000 to Sanken in exchange for the cancellation of Sanken’s exclusive distribution rights in Japan. Concurrent with the Termination Agreement, AML and Sanken also entered into a short-term, non-exclusive distribution agreement (as amended, the “Short-Term Distribution Agreement”) and a consulting agreement (the “Consulting Agreement”), each of which were effective April 1, 2023. In addition, the Company allowed a one-time sales return from Sanken of resalable inventory of $4,200. The Short-Term Distribution Agreement provided for the management and sale of Company product inventory for a period of 24 months from April 1, 2023. Under the terms of the Consulting Agreement, Sanken agreed to continue to provide transition services for a period of six months from</w:t>
      </w:r>
    </w:p>
    <w:p>
      <w:pPr>
        <w:spacing w:after="0" w:line="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April 1, 2023 to a strategic customer as orders for the customer were transitioned from Sanken to the Company, and the Company agreed to pay Sanken for providing these transition services.</w:t>
      </w:r>
    </w:p>
    <w:p>
      <w:pPr>
        <w:spacing w:after="0" w:line="75" w:lineRule="exact"/>
        <w:rPr>
          <w:sz w:val="20"/>
          <w:szCs w:val="20"/>
          <w:color w:val="auto"/>
        </w:rPr>
      </w:pPr>
    </w:p>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On March 31, 2025, the Company and Sanken entered into an amendment to the Short-Term Distribution Agreement to extend the term by twelve months. During the fiscal year ended March 27, 2026, no payments were made by the Company to Sanken under the Short-Term Distribution Agreement or the Consulting Agreement.</w:t>
      </w:r>
    </w:p>
    <w:p>
      <w:pPr>
        <w:spacing w:after="0" w:line="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Transactions involving Polar Semiconductor, LLC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PSL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16"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On April 25, 2024, the Company, Sanken, PSL and PS Investment Aggregator, L.P. (“Subscriber”) entered into a Sale and Subscription Agreement (the “PSL Agreement”), pursuant to which Subscriber and certain of its affiliates agreed to make capital contributions to PSL of $175,000 in exchange for equity interests in PSL, which closed on September 20, 2024 (the “PSL Closing”). As contemplated by the PSL Agreement, the Company agreed to discharge all outstanding PSL Promissory Notes held by the Company for a value of $10,350 in exchange for PSL equity interests. Following the PSL Closing, the Company owned approximately 10.2% of PSL. As a result of PSL’s share issuance to Subscriber, the Company recognized a net loss of $2,804 primarily related to the difference between the selling price per share and its carrying amount per share and after a gain from the conversion of the PSL Promissory Notes. The loss is included in Other income (expense), net in the consolidated statements of operations.</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fiscal year ended March 27, 2026, the Company made advanced payments for products of $15,000.</w:t>
      </w:r>
    </w:p>
    <w:p>
      <w:pPr>
        <w:spacing w:after="0" w:line="114" w:lineRule="exact"/>
        <w:rPr>
          <w:sz w:val="20"/>
          <w:szCs w:val="20"/>
          <w:color w:val="auto"/>
        </w:rPr>
      </w:pPr>
    </w:p>
    <w:p>
      <w:pPr>
        <w:jc w:val="both"/>
        <w:ind w:firstLine="562"/>
        <w:spacing w:after="0" w:line="263" w:lineRule="auto"/>
        <w:rPr>
          <w:sz w:val="20"/>
          <w:szCs w:val="20"/>
          <w:color w:val="auto"/>
        </w:rPr>
      </w:pPr>
      <w:r>
        <w:rPr>
          <w:rFonts w:ascii="Times New Roman" w:cs="Times New Roman" w:eastAsia="Times New Roman" w:hAnsi="Times New Roman"/>
          <w:sz w:val="18"/>
          <w:szCs w:val="18"/>
          <w:color w:val="auto"/>
        </w:rPr>
        <w:t>At the PSL Closing, the Company, Sanken and Subscriber entered into an amended and restated limited partnership agreement (the “Limited Partnership Agreement”) with Polar Semiconductor GP I, LLC. The Limited Partnership Agreement contains representations, warranties and covenants of the parties customary for a transaction of this type, the reimbursement of expenses and costs, and restrictions on transfers.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05" w:name="page106"/>
    <w:bookmarkEnd w:id="10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3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Notes Receivable from PSL</w:t>
      </w:r>
    </w:p>
    <w:p>
      <w:pPr>
        <w:spacing w:after="0" w:line="116"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On December 2, 2021, AML entered into a loan agreement with PSL wherein PSL provided an initial promissory note to AML for a principal amount of $7,500 (the “Initial PSL Loan”). The Initial PSL Loan was to be repaid in equal installments, comprised of principal and interest accrued at 1.26% per annum, over a term of four years, with payments due on the first day of each calendar year quarter (April 1, July 1, October 1, and January 1). On July 1, 2022, PSL borrowed an additional $7,500 under the same terms of the Initial PSL Loan (the “Secondary PSL Loan” and, together with the Initial PSL Loan, the “PSL Promissory Notes”). The Secondary PSL Loan was to be repaid in equal installments, comprised of principal and interest accrued at 2.99% per annum, over a term of four years, with payments due on the first day of each calendar year quarter (April 1, July 1, October 1, and January 1). The PSL Promissory Notes were discharged in full in connection with the PSL Closing.</w:t>
      </w:r>
    </w:p>
    <w:p>
      <w:pPr>
        <w:spacing w:after="0" w:line="77" w:lineRule="exact"/>
        <w:rPr>
          <w:sz w:val="20"/>
          <w:szCs w:val="20"/>
          <w:color w:val="auto"/>
        </w:rPr>
      </w:pPr>
    </w:p>
    <w:p>
      <w:pPr>
        <w:jc w:val="both"/>
        <w:ind w:firstLine="562"/>
        <w:spacing w:after="0" w:line="263" w:lineRule="auto"/>
        <w:rPr>
          <w:sz w:val="20"/>
          <w:szCs w:val="20"/>
          <w:color w:val="auto"/>
        </w:rPr>
      </w:pPr>
      <w:r>
        <w:rPr>
          <w:rFonts w:ascii="Times New Roman" w:cs="Times New Roman" w:eastAsia="Times New Roman" w:hAnsi="Times New Roman"/>
          <w:sz w:val="18"/>
          <w:szCs w:val="18"/>
          <w:color w:val="auto"/>
        </w:rPr>
        <w:t>Prior to the discharge, during the year ended March 28, 2025, PSL made required quarterly payments to AML totaling $1,964, which included $89 of interest. The remaining outstanding principal balance and accrued interest on the PSL Promissory Notes of $6,596 was discharged in full in connection with the PSL Agreement.</w:t>
      </w:r>
    </w:p>
    <w:p>
      <w:pPr>
        <w:spacing w:after="0" w:line="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Other Transactions involving PSL</w:t>
      </w:r>
    </w:p>
    <w:p>
      <w:pPr>
        <w:spacing w:after="0" w:line="116" w:lineRule="exact"/>
        <w:rPr>
          <w:sz w:val="20"/>
          <w:szCs w:val="20"/>
          <w:color w:val="auto"/>
        </w:rPr>
      </w:pPr>
    </w:p>
    <w:p>
      <w:pPr>
        <w:jc w:val="both"/>
        <w:ind w:firstLine="562"/>
        <w:spacing w:after="0" w:line="263" w:lineRule="auto"/>
        <w:rPr>
          <w:sz w:val="20"/>
          <w:szCs w:val="20"/>
          <w:color w:val="auto"/>
        </w:rPr>
      </w:pPr>
      <w:r>
        <w:rPr>
          <w:rFonts w:ascii="Times New Roman" w:cs="Times New Roman" w:eastAsia="Times New Roman" w:hAnsi="Times New Roman"/>
          <w:sz w:val="18"/>
          <w:szCs w:val="18"/>
          <w:color w:val="auto"/>
        </w:rPr>
        <w:t>The Company purchases products from PSL. Purchases of various products from PSL totaled $62,468, $55,001 and $60,426 for the fiscal years ended March 27, 2026, March 28, 2025, and March 29, 2024, respectively. Accounts payable to PSL included in amounts due to related party totaled $4,794 and $6,535 as of March 27, 2026 and March 28, 2025, respectively.</w:t>
      </w:r>
    </w:p>
    <w:p>
      <w:pPr>
        <w:spacing w:after="0" w:line="68" w:lineRule="exact"/>
        <w:rPr>
          <w:sz w:val="20"/>
          <w:szCs w:val="20"/>
          <w:color w:val="auto"/>
        </w:rPr>
      </w:pPr>
    </w:p>
    <w:p>
      <w:pPr>
        <w:jc w:val="both"/>
        <w:ind w:firstLine="562"/>
        <w:spacing w:after="0" w:line="278" w:lineRule="auto"/>
        <w:rPr>
          <w:sz w:val="20"/>
          <w:szCs w:val="20"/>
          <w:color w:val="auto"/>
        </w:rPr>
      </w:pPr>
      <w:r>
        <w:rPr>
          <w:rFonts w:ascii="Times New Roman" w:cs="Times New Roman" w:eastAsia="Times New Roman" w:hAnsi="Times New Roman"/>
          <w:sz w:val="18"/>
          <w:szCs w:val="18"/>
          <w:color w:val="auto"/>
        </w:rPr>
        <w:t>The Company recorded a net loss of $9,399, net gain of $1,176, and net loss of $538 for the fiscal years ended March 27, 2026, March 28, 2025, and March 29, 2024, respectively, related to the Company’s partnership investment in PSL included in (loss) income in earnings of equity investment.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478790</wp:posOffset>
            </wp:positionV>
            <wp:extent cx="71589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06" w:name="page107"/>
    <w:bookmarkEnd w:id="106"/>
    <w:p>
      <w:pPr>
        <w:ind w:left="7320"/>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OMNIBUS INCENTIVE COMPENSATION PLAN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AGREEMENT</w:t>
      </w:r>
    </w:p>
    <w:p>
      <w:pPr>
        <w:spacing w:after="0" w:line="2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This Restricted Stock Unit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as of the Date of Grant set forth below between Allegro MicroSystems,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Participant named below. This Agreement is made pursuant to the Allegro MicroSystems, Inc. 2020 Omnibus Incentive Compensation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is subject in its entirety to all applicable provisions of the Plan. Notwithstanding the foregoing, except as specifically provided herein, to the extent the Participant is party to a severance agreement with the Company and this Agreement includes terms that conflict with the terms included in such severance agreement, the terms included in such severance agreement shall govern to the extent that such terms are permitted under the Plan and have been properly authorized in accordance with the Plan and applicable law. Capitalized terms used herein and not otherwise defined will have the meanings set forth in the Plan. For purposes of this Agreement, “</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means, to the extent the Participant is not employed by the Company, the subsidiary of the Company that employs the Participant, and “</w:t>
      </w:r>
      <w:r>
        <w:rPr>
          <w:rFonts w:ascii="Times New Roman" w:cs="Times New Roman" w:eastAsia="Times New Roman" w:hAnsi="Times New Roman"/>
          <w:sz w:val="20"/>
          <w:szCs w:val="20"/>
          <w:u w:val="single" w:color="auto"/>
          <w:color w:val="auto"/>
        </w:rPr>
        <w:t>Stock Plan Service Provider</w:t>
      </w:r>
      <w:r>
        <w:rPr>
          <w:rFonts w:ascii="Times New Roman" w:cs="Times New Roman" w:eastAsia="Times New Roman" w:hAnsi="Times New Roman"/>
          <w:sz w:val="20"/>
          <w:szCs w:val="20"/>
          <w:color w:val="auto"/>
        </w:rPr>
        <w:t>” means Fidelity Stock Plan Services, LLC or any successor service provider engaged by the Company to provide brokerage and administrative services for the Plan.</w:t>
      </w:r>
    </w:p>
    <w:tbl>
      <w:tblPr>
        <w:tblLayout w:type="fixed"/>
        <w:tblInd w:w="1820" w:type="dxa"/>
        <w:tblCellMar>
          <w:top w:w="0" w:type="dxa"/>
          <w:left w:w="0" w:type="dxa"/>
          <w:bottom w:w="0" w:type="dxa"/>
          <w:right w:w="0" w:type="dxa"/>
        </w:tblCellMar>
      </w:tblPr>
      <w:tr>
        <w:trPr>
          <w:trHeight w:val="193"/>
        </w:trPr>
        <w:tc>
          <w:tcPr>
            <w:tcW w:w="31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2300" w:type="dxa"/>
            <w:vAlign w:val="bottom"/>
            <w:gridSpan w:val="2"/>
          </w:tcPr>
          <w:p>
            <w:pPr>
              <w:spacing w:after="0" w:line="193" w:lineRule="exact"/>
              <w:rPr>
                <w:sz w:val="20"/>
                <w:szCs w:val="20"/>
                <w:color w:val="auto"/>
              </w:rPr>
            </w:pPr>
            <w:r>
              <w:rPr>
                <w:rFonts w:ascii="Times New Roman" w:cs="Times New Roman" w:eastAsia="Times New Roman" w:hAnsi="Times New Roman"/>
                <w:sz w:val="20"/>
                <w:szCs w:val="20"/>
                <w:b w:val="1"/>
                <w:bCs w:val="1"/>
                <w:color w:val="auto"/>
              </w:rPr>
              <w:t>Notice of Award</w:t>
            </w:r>
          </w:p>
        </w:tc>
        <w:tc>
          <w:tcPr>
            <w:tcW w:w="0" w:type="dxa"/>
            <w:vAlign w:val="bottom"/>
          </w:tcPr>
          <w:p>
            <w:pPr>
              <w:spacing w:after="0"/>
              <w:rPr>
                <w:sz w:val="1"/>
                <w:szCs w:val="1"/>
                <w:color w:val="auto"/>
              </w:rPr>
            </w:pPr>
          </w:p>
        </w:tc>
      </w:tr>
      <w:tr>
        <w:trPr>
          <w:trHeight w:val="20"/>
        </w:trPr>
        <w:tc>
          <w:tcPr>
            <w:tcW w:w="3120" w:type="dxa"/>
            <w:vAlign w:val="bottom"/>
            <w:vMerge w:val="continue"/>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120" w:type="dxa"/>
            <w:vAlign w:val="bottom"/>
            <w:vMerge w:val="continue"/>
          </w:tcPr>
          <w:p>
            <w:pPr>
              <w:spacing w:after="0"/>
              <w:rPr>
                <w:sz w:val="19"/>
                <w:szCs w:val="19"/>
                <w:color w:val="auto"/>
              </w:rPr>
            </w:pPr>
          </w:p>
        </w:tc>
        <w:tc>
          <w:tcPr>
            <w:tcW w:w="2300" w:type="dxa"/>
            <w:vAlign w:val="bottom"/>
            <w:gridSpan w:val="2"/>
          </w:tcPr>
          <w:p>
            <w:pPr>
              <w:ind w:left="800"/>
              <w:spacing w:after="0" w:line="221" w:lineRule="exact"/>
              <w:rPr>
                <w:sz w:val="20"/>
                <w:szCs w:val="20"/>
                <w:color w:val="auto"/>
              </w:rPr>
            </w:pPr>
            <w:r>
              <w:rPr>
                <w:rFonts w:ascii="Times New Roman" w:cs="Times New Roman" w:eastAsia="Times New Roman" w:hAnsi="Times New Roman"/>
                <w:sz w:val="20"/>
                <w:szCs w:val="20"/>
                <w:color w:val="auto"/>
                <w:w w:val="96"/>
              </w:rPr>
              <w:t>[Participant Name]</w:t>
            </w:r>
          </w:p>
        </w:tc>
        <w:tc>
          <w:tcPr>
            <w:tcW w:w="0" w:type="dxa"/>
            <w:vAlign w:val="bottom"/>
          </w:tcPr>
          <w:p>
            <w:pPr>
              <w:spacing w:after="0"/>
              <w:rPr>
                <w:sz w:val="1"/>
                <w:szCs w:val="1"/>
                <w:color w:val="auto"/>
              </w:rPr>
            </w:pPr>
          </w:p>
        </w:tc>
      </w:tr>
      <w:tr>
        <w:trPr>
          <w:trHeight w:val="227"/>
        </w:trPr>
        <w:tc>
          <w:tcPr>
            <w:tcW w:w="3120" w:type="dxa"/>
            <w:vAlign w:val="bottom"/>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Date of Grant:</w:t>
            </w:r>
          </w:p>
        </w:tc>
        <w:tc>
          <w:tcPr>
            <w:tcW w:w="2300" w:type="dxa"/>
            <w:vAlign w:val="bottom"/>
            <w:gridSpan w:val="2"/>
          </w:tcPr>
          <w:p>
            <w:pPr>
              <w:ind w:left="800"/>
              <w:spacing w:after="0" w:line="228" w:lineRule="exact"/>
              <w:rPr>
                <w:sz w:val="20"/>
                <w:szCs w:val="20"/>
                <w:color w:val="auto"/>
              </w:rPr>
            </w:pPr>
            <w:r>
              <w:rPr>
                <w:rFonts w:ascii="Times New Roman" w:cs="Times New Roman" w:eastAsia="Times New Roman" w:hAnsi="Times New Roman"/>
                <w:sz w:val="20"/>
                <w:szCs w:val="20"/>
                <w:color w:val="auto"/>
              </w:rPr>
              <w:t>[Grant Date]</w:t>
            </w:r>
          </w:p>
        </w:tc>
        <w:tc>
          <w:tcPr>
            <w:tcW w:w="0" w:type="dxa"/>
            <w:vAlign w:val="bottom"/>
          </w:tcPr>
          <w:p>
            <w:pPr>
              <w:spacing w:after="0"/>
              <w:rPr>
                <w:sz w:val="1"/>
                <w:szCs w:val="1"/>
                <w:color w:val="auto"/>
              </w:rPr>
            </w:pPr>
          </w:p>
        </w:tc>
      </w:tr>
      <w:tr>
        <w:trPr>
          <w:trHeight w:val="253"/>
        </w:trPr>
        <w:tc>
          <w:tcPr>
            <w:tcW w:w="3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 of Restricted Stock Units:</w:t>
            </w:r>
          </w:p>
        </w:tc>
        <w:tc>
          <w:tcPr>
            <w:tcW w:w="230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auto"/>
                <w:w w:val="96"/>
              </w:rPr>
              <w:t>[Quantity Granted]</w:t>
            </w:r>
          </w:p>
        </w:tc>
        <w:tc>
          <w:tcPr>
            <w:tcW w:w="0" w:type="dxa"/>
            <w:vAlign w:val="bottom"/>
          </w:tcPr>
          <w:p>
            <w:pPr>
              <w:spacing w:after="0"/>
              <w:rPr>
                <w:sz w:val="1"/>
                <w:szCs w:val="1"/>
                <w:color w:val="auto"/>
              </w:rPr>
            </w:pPr>
          </w:p>
        </w:tc>
      </w:tr>
    </w:tbl>
    <w:p>
      <w:pPr>
        <w:spacing w:after="0" w:line="237" w:lineRule="auto"/>
        <w:rPr>
          <w:sz w:val="20"/>
          <w:szCs w:val="20"/>
          <w:color w:val="auto"/>
        </w:rPr>
      </w:pPr>
      <w:r>
        <w:rPr>
          <w:rFonts w:ascii="Times New Roman" w:cs="Times New Roman" w:eastAsia="Times New Roman" w:hAnsi="Times New Roman"/>
          <w:sz w:val="20"/>
          <w:szCs w:val="20"/>
          <w:color w:val="auto"/>
        </w:rPr>
        <w:t>Vesting Schedule:</w:t>
      </w:r>
    </w:p>
    <w:p>
      <w:pPr>
        <w:ind w:left="2180"/>
        <w:spacing w:after="0"/>
        <w:tabs>
          <w:tab w:leader="none" w:pos="3640" w:val="left"/>
        </w:tabs>
        <w:rPr>
          <w:sz w:val="20"/>
          <w:szCs w:val="20"/>
          <w:color w:val="auto"/>
        </w:rPr>
      </w:pPr>
      <w:r>
        <w:rPr>
          <w:rFonts w:ascii="Times New Roman" w:cs="Times New Roman" w:eastAsia="Times New Roman" w:hAnsi="Times New Roman"/>
          <w:sz w:val="20"/>
          <w:szCs w:val="20"/>
          <w:b w:val="1"/>
          <w:bCs w:val="1"/>
          <w:color w:val="auto"/>
        </w:rPr>
        <w:t>Vesting Date</w:t>
      </w:r>
      <w:r>
        <w:rPr>
          <w:sz w:val="20"/>
          <w:szCs w:val="20"/>
          <w:color w:val="auto"/>
        </w:rPr>
        <w:tab/>
      </w:r>
      <w:r>
        <w:rPr>
          <w:rFonts w:ascii="Times New Roman" w:cs="Times New Roman" w:eastAsia="Times New Roman" w:hAnsi="Times New Roman"/>
          <w:sz w:val="19"/>
          <w:szCs w:val="19"/>
          <w:b w:val="1"/>
          <w:bCs w:val="1"/>
          <w:color w:val="auto"/>
        </w:rPr>
        <w:t>Portion of Stock Units Vesting</w:t>
      </w:r>
    </w:p>
    <w:p>
      <w:pPr>
        <w:ind w:left="2180"/>
        <w:spacing w:after="0"/>
        <w:tabs>
          <w:tab w:leader="none" w:pos="3640" w:val="left"/>
        </w:tabs>
        <w:rPr>
          <w:sz w:val="20"/>
          <w:szCs w:val="20"/>
          <w:color w:val="auto"/>
        </w:rPr>
      </w:pPr>
      <w:r>
        <w:rPr>
          <w:rFonts w:ascii="Times New Roman" w:cs="Times New Roman" w:eastAsia="Times New Roman" w:hAnsi="Times New Roman"/>
          <w:sz w:val="20"/>
          <w:szCs w:val="20"/>
          <w:color w:val="auto"/>
        </w:rPr>
        <w:t>[VestDate 1]</w:t>
      </w:r>
      <w:r>
        <w:rPr>
          <w:sz w:val="20"/>
          <w:szCs w:val="20"/>
          <w:color w:val="auto"/>
        </w:rPr>
        <w:tab/>
      </w:r>
      <w:r>
        <w:rPr>
          <w:rFonts w:ascii="Times New Roman" w:cs="Times New Roman" w:eastAsia="Times New Roman" w:hAnsi="Times New Roman"/>
          <w:sz w:val="19"/>
          <w:szCs w:val="19"/>
          <w:color w:val="auto"/>
        </w:rPr>
        <w:t>[Percentage]</w:t>
      </w:r>
    </w:p>
    <w:p>
      <w:pPr>
        <w:ind w:left="2180"/>
        <w:spacing w:after="0"/>
        <w:tabs>
          <w:tab w:leader="none" w:pos="3640" w:val="left"/>
        </w:tabs>
        <w:rPr>
          <w:sz w:val="20"/>
          <w:szCs w:val="20"/>
          <w:color w:val="auto"/>
        </w:rPr>
      </w:pPr>
      <w:r>
        <w:rPr>
          <w:rFonts w:ascii="Times New Roman" w:cs="Times New Roman" w:eastAsia="Times New Roman" w:hAnsi="Times New Roman"/>
          <w:sz w:val="20"/>
          <w:szCs w:val="20"/>
          <w:color w:val="auto"/>
        </w:rPr>
        <w:t>[VestDate 2]</w:t>
      </w:r>
      <w:r>
        <w:rPr>
          <w:sz w:val="20"/>
          <w:szCs w:val="20"/>
          <w:color w:val="auto"/>
        </w:rPr>
        <w:tab/>
      </w:r>
      <w:r>
        <w:rPr>
          <w:rFonts w:ascii="Times New Roman" w:cs="Times New Roman" w:eastAsia="Times New Roman" w:hAnsi="Times New Roman"/>
          <w:sz w:val="19"/>
          <w:szCs w:val="19"/>
          <w:color w:val="auto"/>
        </w:rPr>
        <w:t>[Percentage]</w:t>
      </w:r>
    </w:p>
    <w:p>
      <w:pPr>
        <w:ind w:left="2180"/>
        <w:spacing w:after="0"/>
        <w:tabs>
          <w:tab w:leader="none" w:pos="3640" w:val="left"/>
        </w:tabs>
        <w:rPr>
          <w:sz w:val="20"/>
          <w:szCs w:val="20"/>
          <w:color w:val="auto"/>
        </w:rPr>
      </w:pPr>
      <w:r>
        <w:rPr>
          <w:rFonts w:ascii="Times New Roman" w:cs="Times New Roman" w:eastAsia="Times New Roman" w:hAnsi="Times New Roman"/>
          <w:sz w:val="20"/>
          <w:szCs w:val="20"/>
          <w:color w:val="auto"/>
        </w:rPr>
        <w:t>[VestDate 3]</w:t>
      </w:r>
      <w:r>
        <w:rPr>
          <w:sz w:val="20"/>
          <w:szCs w:val="20"/>
          <w:color w:val="auto"/>
        </w:rPr>
        <w:tab/>
      </w:r>
      <w:r>
        <w:rPr>
          <w:rFonts w:ascii="Times New Roman" w:cs="Times New Roman" w:eastAsia="Times New Roman" w:hAnsi="Times New Roman"/>
          <w:sz w:val="19"/>
          <w:szCs w:val="19"/>
          <w:color w:val="auto"/>
        </w:rPr>
        <w:t>[Percentage]</w:t>
      </w:r>
    </w:p>
    <w:p>
      <w:pPr>
        <w:spacing w:after="0" w:line="237" w:lineRule="auto"/>
        <w:rPr>
          <w:sz w:val="20"/>
          <w:szCs w:val="20"/>
          <w:color w:val="auto"/>
        </w:rPr>
      </w:pPr>
      <w:r>
        <w:rPr>
          <w:rFonts w:ascii="Times New Roman" w:cs="Times New Roman" w:eastAsia="Times New Roman" w:hAnsi="Times New Roman"/>
          <w:sz w:val="20"/>
          <w:szCs w:val="20"/>
          <w:i w:val="1"/>
          <w:iCs w:val="1"/>
          <w:color w:val="auto"/>
        </w:rPr>
        <w:t>Except as otherwise provided in this Agreement, vesting is dependent on the Participant remaining employed by, or providing service to, the Company or a subsidiary through the applicable Vesting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Agreement includes this Notice of Award and the following Exhibits, which are expressly incorporated by reference in their entirety herein:</w:t>
      </w:r>
    </w:p>
    <w:p>
      <w:pPr>
        <w:spacing w:after="0" w:line="13" w:lineRule="exact"/>
        <w:rPr>
          <w:sz w:val="20"/>
          <w:szCs w:val="20"/>
          <w:color w:val="auto"/>
        </w:rPr>
      </w:pPr>
    </w:p>
    <w:p>
      <w:pPr>
        <w:ind w:left="1040" w:hanging="374"/>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 General Terms and Conditions</w:t>
      </w:r>
    </w:p>
    <w:p>
      <w:pPr>
        <w:spacing w:after="0" w:line="37" w:lineRule="exact"/>
        <w:rPr>
          <w:rFonts w:ascii="Times New Roman" w:cs="Times New Roman" w:eastAsia="Times New Roman" w:hAnsi="Times New Roman"/>
          <w:sz w:val="18"/>
          <w:szCs w:val="18"/>
          <w:color w:val="auto"/>
        </w:rPr>
      </w:pPr>
    </w:p>
    <w:p>
      <w:pPr>
        <w:ind w:left="1040" w:hanging="374"/>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 Country-Specific Terms</w:t>
      </w:r>
    </w:p>
    <w:p>
      <w:pPr>
        <w:spacing w:after="0" w:line="51" w:lineRule="exact"/>
        <w:rPr>
          <w:sz w:val="20"/>
          <w:szCs w:val="20"/>
          <w:color w:val="auto"/>
        </w:rPr>
      </w:pPr>
    </w:p>
    <w:p>
      <w:pPr>
        <w:ind w:left="1500" w:hanging="370"/>
        <w:spacing w:after="0"/>
        <w:tabs>
          <w:tab w:leader="none" w:pos="1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 I – Restrictive Covenants</w:t>
      </w:r>
    </w:p>
    <w:p>
      <w:pPr>
        <w:spacing w:after="0" w:line="37" w:lineRule="exact"/>
        <w:rPr>
          <w:rFonts w:ascii="Times New Roman" w:cs="Times New Roman" w:eastAsia="Times New Roman" w:hAnsi="Times New Roman"/>
          <w:sz w:val="18"/>
          <w:szCs w:val="18"/>
          <w:color w:val="auto"/>
        </w:rPr>
      </w:pPr>
    </w:p>
    <w:p>
      <w:pPr>
        <w:ind w:left="1500" w:hanging="370"/>
        <w:spacing w:after="0"/>
        <w:tabs>
          <w:tab w:leader="none" w:pos="1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 II – Country-Specific Terms, Conditions and Notices for Participants Outside the U.S.</w:t>
      </w:r>
    </w:p>
    <w:p>
      <w:pPr>
        <w:spacing w:after="0" w:line="3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9"/>
          <w:szCs w:val="19"/>
          <w:color w:val="auto"/>
        </w:rPr>
        <w:t>This Agreement shall be accepted by the Participant in accordance with the electronic acceptance procedures set forth on the signature page.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969645</wp:posOffset>
            </wp:positionV>
            <wp:extent cx="71589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07" w:name="page108"/>
    <w:bookmarkEnd w:id="107"/>
    <w:p>
      <w:pPr>
        <w:spacing w:after="0" w:line="39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Company has caused its duly authorized officer to execute this Agreement, and the Participant has executed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effective as of the Date of Grant.</w:t>
      </w:r>
    </w:p>
    <w:p>
      <w:pPr>
        <w:spacing w:after="0" w:line="16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color w:val="auto"/>
        </w:rPr>
        <w:t>ALLEGRO MICROSYSTEMS, INC.</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color w:val="auto"/>
        </w:rPr>
        <w:t>Name</w:t>
      </w:r>
    </w:p>
    <w:p>
      <w:pPr>
        <w:spacing w:after="0" w:line="3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Erin Hagen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Senior Vice President and Chief Human Resources Officer</w:t>
      </w:r>
    </w:p>
    <w:p>
      <w:pPr>
        <w:spacing w:after="0" w:line="211" w:lineRule="exact"/>
        <w:rPr>
          <w:sz w:val="20"/>
          <w:szCs w:val="20"/>
          <w:color w:val="auto"/>
        </w:rPr>
      </w:pPr>
    </w:p>
    <w:p>
      <w:pPr>
        <w:sectPr>
          <w:pgSz w:w="11900" w:h="16838" w:orient="portrait"/>
          <w:cols w:equalWidth="0" w:num="2">
            <w:col w:w="3380" w:space="320"/>
            <w:col w:w="7540"/>
          </w:cols>
          <w:pgMar w:left="320" w:top="1440" w:right="339" w:bottom="1440" w:gutter="0" w:footer="0" w:header="0"/>
          <w:type w:val="continuous"/>
        </w:sectPr>
      </w:pPr>
    </w:p>
    <w:p>
      <w:pPr>
        <w:spacing w:after="0" w:line="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ELECTRONIC ACCEPTANCE: </w:t>
      </w:r>
      <w:r>
        <w:rPr>
          <w:rFonts w:ascii="Times New Roman" w:cs="Times New Roman" w:eastAsia="Times New Roman" w:hAnsi="Times New Roman"/>
          <w:sz w:val="20"/>
          <w:szCs w:val="20"/>
          <w:color w:val="auto"/>
        </w:rPr>
        <w:t>By electronically accepting this Agreement via the Stock Plan Service Provider’s web portal at</w:t>
      </w:r>
      <w:r>
        <w:rPr>
          <w:rFonts w:ascii="Times New Roman" w:cs="Times New Roman" w:eastAsia="Times New Roman" w:hAnsi="Times New Roman"/>
          <w:sz w:val="20"/>
          <w:szCs w:val="20"/>
          <w:b w:val="1"/>
          <w:bCs w:val="1"/>
          <w:color w:val="auto"/>
        </w:rPr>
        <w:t xml:space="preserve"> www.netbenefits.fidelity.com </w:t>
      </w:r>
      <w:r>
        <w:rPr>
          <w:rFonts w:ascii="Times New Roman" w:cs="Times New Roman" w:eastAsia="Times New Roman" w:hAnsi="Times New Roman"/>
          <w:sz w:val="20"/>
          <w:szCs w:val="20"/>
          <w:color w:val="auto"/>
        </w:rPr>
        <w:t>and completing the electronic acceptance procedures reflected therein, the Participant hereby accepts the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Stock Units described in this Agreement, and the Participant expressly agrees to be bound by the terms and conditions of the Plan and this Agreement. Further, the Participant hereby expressly acknowledges and agrees that all decisions and determinations of the Committee with respect to the Stock Units shall be final, conclusive and binding upon the Participant.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0"/>
          <w:szCs w:val="20"/>
          <w:color w:val="FF0000"/>
        </w:rPr>
        <w:t>#AcceptanceDate#</w:t>
      </w:r>
      <w:r>
        <w:rPr>
          <w:sz w:val="20"/>
          <w:szCs w:val="20"/>
          <w:color w:val="auto"/>
        </w:rPr>
        <w:tab/>
      </w:r>
      <w:r>
        <w:rPr>
          <w:rFonts w:ascii="Times New Roman" w:cs="Times New Roman" w:eastAsia="Times New Roman" w:hAnsi="Times New Roman"/>
          <w:sz w:val="20"/>
          <w:szCs w:val="20"/>
          <w:color w:val="FF0000"/>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2489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7">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131445</wp:posOffset>
            </wp:positionV>
            <wp:extent cx="2489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8">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20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GENERAL TERMS AND CONDITIONS</w:t>
      </w:r>
    </w:p>
    <w:p>
      <w:pPr>
        <w:spacing w:after="0" w:line="225" w:lineRule="exact"/>
        <w:rPr>
          <w:sz w:val="20"/>
          <w:szCs w:val="20"/>
          <w:color w:val="auto"/>
        </w:rPr>
      </w:pPr>
    </w:p>
    <w:p>
      <w:pPr>
        <w:jc w:val="both"/>
        <w:ind w:firstLine="7"/>
        <w:spacing w:after="0" w:line="241" w:lineRule="auto"/>
        <w:tabs>
          <w:tab w:leader="none" w:pos="509"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Grant of Stock Units</w:t>
      </w:r>
      <w:r>
        <w:rPr>
          <w:rFonts w:ascii="Times New Roman" w:cs="Times New Roman" w:eastAsia="Times New Roman" w:hAnsi="Times New Roman"/>
          <w:sz w:val="20"/>
          <w:szCs w:val="20"/>
          <w:color w:val="auto"/>
        </w:rPr>
        <w:t xml:space="preserve">. Subject to the terms and conditions set forth in this Agreement and in the Plan, the Company hereby grants the Participant the number of restricted stock units set forth in the </w:t>
      </w:r>
      <w:r>
        <w:rPr>
          <w:rFonts w:ascii="Times New Roman" w:cs="Times New Roman" w:eastAsia="Times New Roman" w:hAnsi="Times New Roman"/>
          <w:sz w:val="20"/>
          <w:szCs w:val="20"/>
          <w:u w:val="single" w:color="auto"/>
          <w:color w:val="auto"/>
        </w:rPr>
        <w:t>Notice of Award</w:t>
      </w:r>
      <w:r>
        <w:rPr>
          <w:rFonts w:ascii="Times New Roman" w:cs="Times New Roman" w:eastAsia="Times New Roman" w:hAnsi="Times New Roman"/>
          <w:sz w:val="20"/>
          <w:szCs w:val="20"/>
          <w:color w:val="auto"/>
        </w:rPr>
        <w:t>, subject to the restrictions set forth below and in the Plan (the “</w:t>
      </w:r>
      <w:r>
        <w:rPr>
          <w:rFonts w:ascii="Times New Roman" w:cs="Times New Roman" w:eastAsia="Times New Roman" w:hAnsi="Times New Roman"/>
          <w:sz w:val="20"/>
          <w:szCs w:val="20"/>
          <w:u w:val="single" w:color="auto"/>
          <w:color w:val="auto"/>
        </w:rPr>
        <w:t>Stock Units</w:t>
      </w:r>
      <w:r>
        <w:rPr>
          <w:rFonts w:ascii="Times New Roman" w:cs="Times New Roman" w:eastAsia="Times New Roman" w:hAnsi="Times New Roman"/>
          <w:sz w:val="20"/>
          <w:szCs w:val="20"/>
          <w:color w:val="auto"/>
        </w:rPr>
        <w:t>”). Each Stock Unit represents the right of the Participant to receive a share of common stock of the Company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if and when the specified conditions are met in Section 4 below, and on the applicable payment date set forth in Section 7 below.</w:t>
      </w:r>
    </w:p>
    <w:p>
      <w:pPr>
        <w:spacing w:after="0" w:line="201" w:lineRule="exact"/>
        <w:rPr>
          <w:rFonts w:ascii="Times New Roman" w:cs="Times New Roman" w:eastAsia="Times New Roman" w:hAnsi="Times New Roman"/>
          <w:sz w:val="21"/>
          <w:szCs w:val="21"/>
          <w:color w:val="auto"/>
        </w:rPr>
      </w:pPr>
    </w:p>
    <w:p>
      <w:pPr>
        <w:jc w:val="both"/>
        <w:ind w:firstLine="7"/>
        <w:spacing w:after="0"/>
        <w:tabs>
          <w:tab w:leader="none" w:pos="509"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Stock Unit Account</w:t>
      </w:r>
      <w:r>
        <w:rPr>
          <w:rFonts w:ascii="Times New Roman" w:cs="Times New Roman" w:eastAsia="Times New Roman" w:hAnsi="Times New Roman"/>
          <w:sz w:val="20"/>
          <w:szCs w:val="20"/>
          <w:color w:val="auto"/>
        </w:rPr>
        <w:t>. Stock Units represent hypothetical shares of Company Stock, and not actual shares of stock. The Company shall establish and maintain a Stock Unit account, as a bookkeeping account on its records, for the Participant and shall record in such account the number of Stock Units granted to the Participant. No shares of Company Stock shall be issued to the Participant at the time the grant is made, and the Participant shall not be, and shall not have any of the rights or privileges of, a stockholder of the Company with respect to any Stock Units recorded in the Stock Unit account. The Participant shall not have any interest in any fund or specific assets of the Company by reason of this award or the Stock Unit account established for the Participant.</w:t>
      </w:r>
    </w:p>
    <w:p>
      <w:pPr>
        <w:spacing w:after="0" w:line="200" w:lineRule="exact"/>
        <w:rPr>
          <w:rFonts w:ascii="Times New Roman" w:cs="Times New Roman" w:eastAsia="Times New Roman" w:hAnsi="Times New Roman"/>
          <w:sz w:val="21"/>
          <w:szCs w:val="21"/>
          <w:color w:val="auto"/>
        </w:rPr>
      </w:pPr>
    </w:p>
    <w:p>
      <w:pPr>
        <w:ind w:left="520" w:hanging="513"/>
        <w:spacing w:after="0"/>
        <w:tabs>
          <w:tab w:leader="none" w:pos="52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Agreement, the following terms have the meaning set forth below:</w:t>
      </w:r>
    </w:p>
    <w:p>
      <w:pPr>
        <w:spacing w:after="0" w:line="213" w:lineRule="exact"/>
        <w:rPr>
          <w:rFonts w:ascii="Times New Roman" w:cs="Times New Roman" w:eastAsia="Times New Roman" w:hAnsi="Times New Roman"/>
          <w:sz w:val="21"/>
          <w:szCs w:val="21"/>
          <w:color w:val="auto"/>
        </w:rPr>
      </w:pPr>
    </w:p>
    <w:p>
      <w:pPr>
        <w:ind w:left="1020" w:hanging="264"/>
        <w:spacing w:after="0"/>
        <w:tabs>
          <w:tab w:leader="none" w:pos="1020"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shall have the meaning set forth in the Plan.</w:t>
      </w:r>
    </w:p>
    <w:p>
      <w:pPr>
        <w:spacing w:after="0" w:line="213" w:lineRule="exact"/>
        <w:rPr>
          <w:rFonts w:ascii="Times New Roman" w:cs="Times New Roman" w:eastAsia="Times New Roman" w:hAnsi="Times New Roman"/>
          <w:sz w:val="21"/>
          <w:szCs w:val="21"/>
          <w:color w:val="auto"/>
        </w:rPr>
      </w:pPr>
    </w:p>
    <w:p>
      <w:pPr>
        <w:jc w:val="both"/>
        <w:ind w:firstLine="756"/>
        <w:spacing w:after="0" w:line="238" w:lineRule="auto"/>
        <w:tabs>
          <w:tab w:leader="none" w:pos="1018"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the occurrence of any of the following without the Participant’s prior written consent: (a) a material reduction in the Participant’s base salary paid or payable by the Company, the successor entity following a Change of Control event (the “</w:t>
      </w:r>
      <w:r>
        <w:rPr>
          <w:rFonts w:ascii="Times New Roman" w:cs="Times New Roman" w:eastAsia="Times New Roman" w:hAnsi="Times New Roman"/>
          <w:sz w:val="20"/>
          <w:szCs w:val="20"/>
          <w:u w:val="single" w:color="auto"/>
          <w:color w:val="auto"/>
        </w:rPr>
        <w:t>Acquiror</w:t>
      </w:r>
      <w:r>
        <w:rPr>
          <w:rFonts w:ascii="Times New Roman" w:cs="Times New Roman" w:eastAsia="Times New Roman" w:hAnsi="Times New Roman"/>
          <w:sz w:val="20"/>
          <w:szCs w:val="20"/>
          <w:color w:val="auto"/>
        </w:rPr>
        <w:t>”), and/or any of its subsidiaries (“</w:t>
      </w:r>
      <w:r>
        <w:rPr>
          <w:rFonts w:ascii="Times New Roman" w:cs="Times New Roman" w:eastAsia="Times New Roman" w:hAnsi="Times New Roman"/>
          <w:sz w:val="20"/>
          <w:szCs w:val="20"/>
          <w:u w:val="single" w:color="auto"/>
          <w:color w:val="auto"/>
        </w:rPr>
        <w:t>Good Reason Entity</w:t>
      </w:r>
      <w:r>
        <w:rPr>
          <w:rFonts w:ascii="Times New Roman" w:cs="Times New Roman" w:eastAsia="Times New Roman" w:hAnsi="Times New Roman"/>
          <w:sz w:val="20"/>
          <w:szCs w:val="20"/>
          <w:color w:val="auto"/>
        </w:rPr>
        <w:t>”); (b) a material diminution in the Participant’s authority, duties, responsibilities, or reporting relationship in connection with the Participant’s employment with a Good Reason Entity; or (c) the relocation of the Participant’s principal work location in connection with the Participant's employment by a Good Reason Entity to a facility or location more than seventy-five (75) miles from the Participant’s work location on the date of the Change of Control. Termination of employment for Good Reason shall not be deemed to occur unless the Participant provides written notice to the Good Reason Entity within sixty (60) days following the first occurrence of the event of Good Reason and the Good Reason Entity does not cure the event of Good Reason within thirty (30) days following receipt of the Participant’s written notice. Notwithstanding the foregoing, to the extent the Participant is party to a severance agreement with the Company and such severance agreement includes a definition of “Good Reason” that is different from the foregoing, in addition to the definition of “Good Reason” included in such severance agreement governing (pursuant to the Recitals herein), the associated “notice and cure” provision included in such severance agreement shall also apply to this Agreement; provided, however, that by executing this Agreement, the Participant hereby agrees that this Agreement hereby amends, supersedes and replaces the portion of the Good Reason provision of any severance agreement to which the Participant is a party that references relocation as a Good Reason trigger such that the respective severance agreement provision shall be amended to replace the existing relocation provision to provide that a relocation of more than seventy-five (75) miles shall constitute Good Reason, and the other provisions of such severance agreement as it relates to Good Reason shall continue to apply.</w:t>
      </w:r>
    </w:p>
    <w:p>
      <w:pPr>
        <w:spacing w:after="0" w:line="203" w:lineRule="exact"/>
        <w:rPr>
          <w:rFonts w:ascii="Times New Roman" w:cs="Times New Roman" w:eastAsia="Times New Roman" w:hAnsi="Times New Roman"/>
          <w:sz w:val="21"/>
          <w:szCs w:val="21"/>
          <w:color w:val="auto"/>
        </w:rPr>
      </w:pPr>
    </w:p>
    <w:p>
      <w:pPr>
        <w:ind w:firstLine="756"/>
        <w:spacing w:after="0" w:line="251" w:lineRule="auto"/>
        <w:tabs>
          <w:tab w:leader="none" w:pos="1018"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shall have the meaning set forth in the Plan; provided, however, that the Committee may adjust the age and/or years of service that constitutes a qualifying retirement for purposes of this Agreement.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109" w:name="page110"/>
    <w:bookmarkEnd w:id="109"/>
    <w:p>
      <w:pPr>
        <w:ind w:firstLine="756"/>
        <w:spacing w:after="0" w:line="251" w:lineRule="auto"/>
        <w:tabs>
          <w:tab w:leader="none" w:pos="1018"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Negotiated Deferred Voluntary Termination</w:t>
      </w:r>
      <w:r>
        <w:rPr>
          <w:rFonts w:ascii="Times New Roman" w:cs="Times New Roman" w:eastAsia="Times New Roman" w:hAnsi="Times New Roman"/>
          <w:sz w:val="20"/>
          <w:szCs w:val="20"/>
          <w:color w:val="auto"/>
        </w:rPr>
        <w:t>” shall mean a termination by the Participant in which the Participant agrees to continue the Participant's service with the Company beyond a reasonable notice period, at the request of the Company.</w:t>
      </w:r>
    </w:p>
    <w:p>
      <w:pPr>
        <w:spacing w:after="0" w:line="188" w:lineRule="exact"/>
        <w:rPr>
          <w:rFonts w:ascii="Times New Roman" w:cs="Times New Roman" w:eastAsia="Times New Roman" w:hAnsi="Times New Roman"/>
          <w:sz w:val="21"/>
          <w:szCs w:val="21"/>
          <w:color w:val="auto"/>
        </w:rPr>
      </w:pPr>
    </w:p>
    <w:p>
      <w:pPr>
        <w:ind w:left="520" w:hanging="513"/>
        <w:spacing w:after="0"/>
        <w:tabs>
          <w:tab w:leader="none" w:pos="52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w:t>
      </w:r>
    </w:p>
    <w:p>
      <w:pPr>
        <w:spacing w:after="0" w:line="213" w:lineRule="exact"/>
        <w:rPr>
          <w:rFonts w:ascii="Times New Roman" w:cs="Times New Roman" w:eastAsia="Times New Roman" w:hAnsi="Times New Roman"/>
          <w:sz w:val="21"/>
          <w:szCs w:val="21"/>
          <w:color w:val="auto"/>
        </w:rPr>
      </w:pPr>
    </w:p>
    <w:p>
      <w:pPr>
        <w:jc w:val="both"/>
        <w:ind w:firstLine="756"/>
        <w:spacing w:after="0" w:line="244" w:lineRule="auto"/>
        <w:tabs>
          <w:tab w:leader="none" w:pos="1018"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Except as provided in this Section 4 and Section 5, the Stock Units shall become vested according to the vesting schedule set forth in the Notice of Award (each,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provided that the Participant continues to be employed by, or provide service to, the Company or a subsidiary from the Date of Grant until the applicable Vesting Date.</w:t>
      </w:r>
    </w:p>
    <w:p>
      <w:pPr>
        <w:spacing w:after="0" w:line="196" w:lineRule="exact"/>
        <w:rPr>
          <w:rFonts w:ascii="Times New Roman" w:cs="Times New Roman" w:eastAsia="Times New Roman" w:hAnsi="Times New Roman"/>
          <w:sz w:val="21"/>
          <w:szCs w:val="21"/>
          <w:color w:val="auto"/>
        </w:rPr>
      </w:pPr>
    </w:p>
    <w:p>
      <w:pPr>
        <w:jc w:val="both"/>
        <w:ind w:firstLine="756"/>
        <w:spacing w:after="0" w:line="241" w:lineRule="auto"/>
        <w:tabs>
          <w:tab w:leader="none" w:pos="1081"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vesting of the Stock Units shall be cumulative, but shall not exceed 100% of the Stock Units. If the foregoing schedule would produce fractional Stock Units, the number of Stock Units that vest shall be rounded down to the nearest whole Stock Unit and the fractional Stock Units will be accumulated so that the resulting whole Stock Units will be included in the number of Stock Units that become vested on the last Vesting Date.</w:t>
      </w:r>
    </w:p>
    <w:p>
      <w:pPr>
        <w:spacing w:after="0" w:line="188" w:lineRule="exact"/>
        <w:rPr>
          <w:sz w:val="20"/>
          <w:szCs w:val="20"/>
          <w:color w:val="auto"/>
        </w:rPr>
      </w:pPr>
    </w:p>
    <w:p>
      <w:pPr>
        <w:jc w:val="both"/>
        <w:ind w:firstLine="1498"/>
        <w:spacing w:after="0"/>
        <w:rPr>
          <w:sz w:val="20"/>
          <w:szCs w:val="20"/>
          <w:color w:val="auto"/>
        </w:rPr>
      </w:pPr>
      <w:r>
        <w:rPr>
          <w:rFonts w:ascii="Times New Roman" w:cs="Times New Roman" w:eastAsia="Times New Roman" w:hAnsi="Times New Roman"/>
          <w:sz w:val="20"/>
          <w:szCs w:val="20"/>
          <w:color w:val="auto"/>
        </w:rPr>
        <w:t xml:space="preserve">Notwithstanding Section 4(a) above, contingent upon the Participant’s compliance with the covenants provided in the applicable restrictive covenants set forth in </w:t>
      </w:r>
      <w:r>
        <w:rPr>
          <w:rFonts w:ascii="Times New Roman" w:cs="Times New Roman" w:eastAsia="Times New Roman" w:hAnsi="Times New Roman"/>
          <w:sz w:val="20"/>
          <w:szCs w:val="20"/>
          <w:u w:val="single" w:color="auto"/>
          <w:color w:val="auto"/>
        </w:rPr>
        <w:t>Part 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upon the Participant’s termination of employment or service on account of the Participant’s (i) Disability, (ii) Retirement, (iii) death, or (iv) Negotiated Deferred Voluntary Termination, the Participant shall be treated for vesting purposes as though the Participant remained employed or providing service to the Company or a subsidiary through the next subsequent Vesting Date following the Participant’s termination, meaning, upon termination detailed in (i) through (iv) of this Section 4(b), the Participant shall vest in the Stock Units that would have otherwise become vested as of such next subsequent Vesting Date provided, however, the Company has the right to reduce or change the amount depending on the facts and circumstances. Notwithstanding the foregoing, any additional vesting upon termination on account of Retirement pursuant to this Section 4(b) shall be provided only to the extent such vesting does not result in a violation of any age discrimination or other applicable law. Thereafter, any remaining unvested Stock Units shall be forfeited immediately.</w:t>
      </w:r>
    </w:p>
    <w:p>
      <w:pPr>
        <w:spacing w:after="0" w:line="188" w:lineRule="exact"/>
        <w:rPr>
          <w:sz w:val="20"/>
          <w:szCs w:val="20"/>
          <w:color w:val="auto"/>
        </w:rPr>
      </w:pPr>
    </w:p>
    <w:p>
      <w:pPr>
        <w:jc w:val="both"/>
        <w:ind w:firstLine="1498"/>
        <w:spacing w:after="0" w:line="250" w:lineRule="auto"/>
        <w:rPr>
          <w:sz w:val="20"/>
          <w:szCs w:val="20"/>
          <w:color w:val="auto"/>
        </w:rPr>
      </w:pPr>
      <w:r>
        <w:rPr>
          <w:rFonts w:ascii="Times New Roman" w:cs="Times New Roman" w:eastAsia="Times New Roman" w:hAnsi="Times New Roman"/>
          <w:sz w:val="20"/>
          <w:szCs w:val="20"/>
          <w:color w:val="auto"/>
        </w:rPr>
        <w:t>For avoidance of doubt, if the Participant's termination of employment or service is on account of Retirement, the Participant must remain employed through the three (3) month notice period in order to receive the pro-rata acceleration detailed above. If the Participant does not remain employed during the three (3) month notice period, all unvested Stock Units shall immediately be forfeited.</w:t>
      </w:r>
    </w:p>
    <w:p>
      <w:pPr>
        <w:spacing w:after="0" w:line="191" w:lineRule="exact"/>
        <w:rPr>
          <w:sz w:val="20"/>
          <w:szCs w:val="20"/>
          <w:color w:val="auto"/>
        </w:rPr>
      </w:pPr>
    </w:p>
    <w:p>
      <w:pPr>
        <w:jc w:val="both"/>
        <w:ind w:firstLine="756"/>
        <w:spacing w:after="0" w:line="241" w:lineRule="auto"/>
        <w:tabs>
          <w:tab w:leader="none" w:pos="101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Except as otherwise provided in a written employment agreement or severance agreement which the Participant has entered into, in the event of a Change of Control before all of the Stock Units vest in accordance with Section 4(a) above, the Stock Units shall be treated as set forth in Section 5 below; provided, the Committee may take such actions with respect to the vesting of the Stock Units as it deems appropriate pursuant to the Plan.</w:t>
      </w:r>
    </w:p>
    <w:p>
      <w:pPr>
        <w:spacing w:after="0" w:line="18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For purposes of this Agreement, if the Participant is a local national of and employed in a country that is a member of the European Union, the grant of the Stock Units and the terms and conditions governing the Stock Units are intended to comply with the age discrimination provisions of the EU Equal Treatment Framework Directive, as implemented into local law (the “</w:t>
      </w:r>
      <w:r>
        <w:rPr>
          <w:rFonts w:ascii="Times New Roman" w:cs="Times New Roman" w:eastAsia="Times New Roman" w:hAnsi="Times New Roman"/>
          <w:sz w:val="20"/>
          <w:szCs w:val="20"/>
          <w:u w:val="single" w:color="auto"/>
          <w:color w:val="auto"/>
        </w:rPr>
        <w:t>Age Discrimination Rules</w:t>
      </w:r>
      <w:r>
        <w:rPr>
          <w:rFonts w:ascii="Times New Roman" w:cs="Times New Roman" w:eastAsia="Times New Roman" w:hAnsi="Times New Roman"/>
          <w:sz w:val="20"/>
          <w:szCs w:val="20"/>
          <w:color w:val="auto"/>
        </w:rPr>
        <w:t>”). To the extent a court or tribunal of competent jurisdiction determines that any provision of the Stock Units is invalid or unenforceable, in whole or in part, under the Age Discrimination Rules, the Company shall have the power and authority to revise or strike such provision to the minimum extent necessary to make it valid and enforceable to the full extent permitted under local law.</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0" w:name="page111"/>
    <w:bookmarkEnd w:id="110"/>
    <w:p>
      <w:pPr>
        <w:ind w:left="520" w:hanging="513"/>
        <w:spacing w:after="0"/>
        <w:tabs>
          <w:tab w:leader="none" w:pos="52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Vesting on a Change of Control</w:t>
      </w:r>
      <w:r>
        <w:rPr>
          <w:rFonts w:ascii="Times New Roman" w:cs="Times New Roman" w:eastAsia="Times New Roman" w:hAnsi="Times New Roman"/>
          <w:sz w:val="20"/>
          <w:szCs w:val="20"/>
          <w:color w:val="auto"/>
        </w:rPr>
        <w:t>.</w:t>
      </w:r>
    </w:p>
    <w:p>
      <w:pPr>
        <w:spacing w:after="0" w:line="213" w:lineRule="exact"/>
        <w:rPr>
          <w:rFonts w:ascii="Times New Roman" w:cs="Times New Roman" w:eastAsia="Times New Roman" w:hAnsi="Times New Roman"/>
          <w:sz w:val="21"/>
          <w:szCs w:val="21"/>
          <w:color w:val="auto"/>
        </w:rPr>
      </w:pPr>
    </w:p>
    <w:p>
      <w:pPr>
        <w:jc w:val="both"/>
        <w:ind w:firstLine="756"/>
        <w:spacing w:after="0" w:line="239" w:lineRule="auto"/>
        <w:tabs>
          <w:tab w:leader="none" w:pos="101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If, in the case of a merger, consolidation or acquisition of the Company that constitutes a Change of Control, the Participant continues to be employed by, or provide services to the Company, a subsidiary or Acquiror, upon closing of the Change of Control (the “</w:t>
      </w:r>
      <w:r>
        <w:rPr>
          <w:rFonts w:ascii="Times New Roman" w:cs="Times New Roman" w:eastAsia="Times New Roman" w:hAnsi="Times New Roman"/>
          <w:sz w:val="20"/>
          <w:szCs w:val="20"/>
          <w:u w:val="single" w:color="auto"/>
          <w:color w:val="auto"/>
        </w:rPr>
        <w:t>CoC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(i) if the Acquiror is a publicly traded entity, the Stock Units shall be converted to that number of Stock Units of the Acquiror that is reasonably determined by the Committee to be required to preclude an increase or decrease in the value of the Stock Units as of the CoC Closing Date, and (ii) if the Acquiror is not a publicly traded entity, the Stock Units shall be converted to that amount of cash equal to the value of the Stock Units; and the Stock Units or cash, as applicable, shall vest in accordance with the vesting schedule set forth in this Agreement and solely based on the passage of time, with the total number of Stock Units, or amount of cash, as applicable, vesting in accordance with Section 4(a) on each of the Vesting Dates or remaining Vesting Dates.</w:t>
      </w:r>
    </w:p>
    <w:p>
      <w:pPr>
        <w:spacing w:after="0" w:line="202" w:lineRule="exact"/>
        <w:rPr>
          <w:rFonts w:ascii="Times New Roman" w:cs="Times New Roman" w:eastAsia="Times New Roman" w:hAnsi="Times New Roman"/>
          <w:sz w:val="21"/>
          <w:szCs w:val="21"/>
          <w:color w:val="auto"/>
        </w:rPr>
      </w:pPr>
    </w:p>
    <w:p>
      <w:pPr>
        <w:jc w:val="both"/>
        <w:ind w:firstLine="756"/>
        <w:spacing w:after="0" w:line="241" w:lineRule="auto"/>
        <w:tabs>
          <w:tab w:leader="none" w:pos="101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If, within twelve (12) months following the CoC Closing Date, the Participant: (x) is terminated by the Company, a subsidiary or an Acquiror without Cause, or (y) terminates the Participant's employment for Good Reason, the converted Stock Units, or cash, as applicable shall vest as to 100% of the number of such Stock Units, or the total amount of cash, as applicable, on the date of such termination and shall be paid following termination of employment at the time set forth in Section 7.</w:t>
      </w:r>
    </w:p>
    <w:p>
      <w:pPr>
        <w:spacing w:after="0" w:line="201" w:lineRule="exact"/>
        <w:rPr>
          <w:rFonts w:ascii="Times New Roman" w:cs="Times New Roman" w:eastAsia="Times New Roman" w:hAnsi="Times New Roman"/>
          <w:sz w:val="21"/>
          <w:szCs w:val="21"/>
          <w:color w:val="auto"/>
        </w:rPr>
      </w:pPr>
    </w:p>
    <w:p>
      <w:pPr>
        <w:ind w:left="520" w:hanging="513"/>
        <w:spacing w:after="0"/>
        <w:tabs>
          <w:tab w:leader="none" w:pos="52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Termination of Stock Units</w:t>
      </w:r>
      <w:r>
        <w:rPr>
          <w:rFonts w:ascii="Times New Roman" w:cs="Times New Roman" w:eastAsia="Times New Roman" w:hAnsi="Times New Roman"/>
          <w:sz w:val="20"/>
          <w:szCs w:val="20"/>
          <w:color w:val="auto"/>
        </w:rPr>
        <w:t>.</w:t>
      </w:r>
    </w:p>
    <w:p>
      <w:pPr>
        <w:spacing w:after="0" w:line="213" w:lineRule="exact"/>
        <w:rPr>
          <w:rFonts w:ascii="Times New Roman" w:cs="Times New Roman" w:eastAsia="Times New Roman" w:hAnsi="Times New Roman"/>
          <w:sz w:val="21"/>
          <w:szCs w:val="21"/>
          <w:color w:val="auto"/>
        </w:rPr>
      </w:pPr>
    </w:p>
    <w:p>
      <w:pPr>
        <w:jc w:val="both"/>
        <w:ind w:firstLine="756"/>
        <w:spacing w:after="0" w:line="241" w:lineRule="auto"/>
        <w:tabs>
          <w:tab w:leader="none" w:pos="101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Except as set forth in this Agreement, if the Participant ceases to be employed by, or provide service to, the Company or a subsidiary for any reason before all of the Stock Units vest, any unvested Stock Units shall automatically terminate and shall be forfeited as of the date of the Participant’s termination of employment or service. No payment shall be made with respect to any unvested Stock Units that terminate as described in this Section 6.</w:t>
      </w:r>
    </w:p>
    <w:p>
      <w:pPr>
        <w:spacing w:after="0" w:line="201" w:lineRule="exact"/>
        <w:rPr>
          <w:rFonts w:ascii="Times New Roman" w:cs="Times New Roman" w:eastAsia="Times New Roman" w:hAnsi="Times New Roman"/>
          <w:sz w:val="21"/>
          <w:szCs w:val="21"/>
          <w:color w:val="auto"/>
        </w:rPr>
      </w:pPr>
    </w:p>
    <w:p>
      <w:pPr>
        <w:jc w:val="both"/>
        <w:ind w:firstLine="756"/>
        <w:spacing w:after="0" w:line="239" w:lineRule="auto"/>
        <w:tabs>
          <w:tab w:leader="none" w:pos="101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For purposes of this Agreement and notwithstanding anything to the contrary in the Plan, the Participant’s employment or service may, at the discretion of the Committee, be deemed to terminate on the date that the Participant ceases to actively be employed or provide services to the Company or a subsidiary and shall not be extended by any notice period mandated or implied under local law during which the Participant is not actually employed or providing services (e.g., garden leave or similar leave) or during or for which the Participant receives pay in lieu of notice or severance pay. The Company shall have the sole discretion to determine whether the Participant’s employment will be deemed to terminate when the Participant’s ceases to be actively employed as well as when the Participant is no longer in active employment or service for purposes of this Agreement, without reference to any other agreement, written or oral, including the Participant’s contract of employment.</w:t>
      </w:r>
    </w:p>
    <w:p>
      <w:pPr>
        <w:spacing w:after="0" w:line="202" w:lineRule="exact"/>
        <w:rPr>
          <w:rFonts w:ascii="Times New Roman" w:cs="Times New Roman" w:eastAsia="Times New Roman" w:hAnsi="Times New Roman"/>
          <w:sz w:val="21"/>
          <w:szCs w:val="21"/>
          <w:color w:val="auto"/>
        </w:rPr>
      </w:pPr>
    </w:p>
    <w:p>
      <w:pPr>
        <w:ind w:left="520" w:hanging="513"/>
        <w:spacing w:after="0"/>
        <w:tabs>
          <w:tab w:leader="none" w:pos="52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Payment of Stock Units and Tax/Purchase Price Withholding</w:t>
      </w:r>
      <w:r>
        <w:rPr>
          <w:rFonts w:ascii="Times New Roman" w:cs="Times New Roman" w:eastAsia="Times New Roman" w:hAnsi="Times New Roman"/>
          <w:sz w:val="20"/>
          <w:szCs w:val="20"/>
          <w:color w:val="auto"/>
        </w:rPr>
        <w:t>.</w:t>
      </w:r>
    </w:p>
    <w:p>
      <w:pPr>
        <w:spacing w:after="0" w:line="213" w:lineRule="exact"/>
        <w:rPr>
          <w:rFonts w:ascii="Times New Roman" w:cs="Times New Roman" w:eastAsia="Times New Roman" w:hAnsi="Times New Roman"/>
          <w:sz w:val="21"/>
          <w:szCs w:val="21"/>
          <w:color w:val="auto"/>
        </w:rPr>
      </w:pPr>
    </w:p>
    <w:p>
      <w:pPr>
        <w:jc w:val="both"/>
        <w:ind w:firstLine="756"/>
        <w:spacing w:after="0"/>
        <w:tabs>
          <w:tab w:leader="none" w:pos="101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Subject to Sections 7(b) through (g) and the country specific terms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and which is incorporated herein by reference, the issuance of Company Stock upon vesting of the Stock Units shall be made within thirty (30) days after the first to occur of (i) the Participant’s termination of employment or service on account of the Participant’s Disability, Retirement, death or Negotiated Deferred Voluntary Termination (to the extent the Stock Units vest on one of the foregoing events); and (ii) the applicable Vesting Date.</w:t>
      </w:r>
    </w:p>
    <w:p>
      <w:pPr>
        <w:spacing w:after="0" w:line="202" w:lineRule="exact"/>
        <w:rPr>
          <w:rFonts w:ascii="Times New Roman" w:cs="Times New Roman" w:eastAsia="Times New Roman" w:hAnsi="Times New Roman"/>
          <w:sz w:val="21"/>
          <w:szCs w:val="21"/>
          <w:color w:val="auto"/>
        </w:rPr>
      </w:pPr>
    </w:p>
    <w:p>
      <w:pPr>
        <w:jc w:val="both"/>
        <w:ind w:firstLine="756"/>
        <w:spacing w:after="0" w:line="244" w:lineRule="auto"/>
        <w:tabs>
          <w:tab w:leader="none" w:pos="101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Participant acknowledges that, regardless of any action taken by the Company or, if different, the Employer, the ultimate liability for all income tax, social insurance, payroll tax, fringe benefits tax, payment on account or other tax-related items related to the Participant’s participation in the Plan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1" w:name="page112"/>
    <w:bookmarkEnd w:id="111"/>
    <w:p>
      <w:pPr>
        <w:jc w:val="both"/>
        <w:spacing w:after="0"/>
        <w:rPr>
          <w:sz w:val="20"/>
          <w:szCs w:val="20"/>
          <w:color w:val="auto"/>
        </w:rPr>
      </w:pPr>
      <w:r>
        <w:rPr>
          <w:rFonts w:ascii="Times New Roman" w:cs="Times New Roman" w:eastAsia="Times New Roman" w:hAnsi="Times New Roman"/>
          <w:sz w:val="20"/>
          <w:szCs w:val="20"/>
          <w:color w:val="auto"/>
        </w:rPr>
        <w:t>legally applicable or deemed applicable to the Participant (“</w:t>
      </w:r>
      <w:r>
        <w:rPr>
          <w:rFonts w:ascii="Times New Roman" w:cs="Times New Roman" w:eastAsia="Times New Roman" w:hAnsi="Times New Roman"/>
          <w:sz w:val="20"/>
          <w:szCs w:val="20"/>
          <w:u w:val="single" w:color="auto"/>
          <w:color w:val="auto"/>
        </w:rPr>
        <w:t>Tax-Related Items</w:t>
      </w:r>
      <w:r>
        <w:rPr>
          <w:rFonts w:ascii="Times New Roman" w:cs="Times New Roman" w:eastAsia="Times New Roman" w:hAnsi="Times New Roman"/>
          <w:sz w:val="20"/>
          <w:szCs w:val="20"/>
          <w:color w:val="auto"/>
        </w:rPr>
        <w:t>”) is and remains the Participant’s responsibility and may exceed the amount, if any, actually withheld by the Company or the Employer. The Participant further acknowledges that the Company and/or the Employer (i) make no representations or undertakings regarding the treatment of any Tax-Related Items in connection with any aspect of the Stock Units or the underlying shares of Company Stock, including, but not limited to, the grant, vesting or settlement of the Stock Units, the subsequent sale of shares of Company Stock acquired pursuant to such settlement and the receipt of any dividends; and (ii) do not commit to and are under no obligation to structure the terms of the grant or any aspect of the Stock Units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204" w:lineRule="exact"/>
        <w:rPr>
          <w:sz w:val="20"/>
          <w:szCs w:val="20"/>
          <w:color w:val="auto"/>
        </w:rPr>
      </w:pPr>
    </w:p>
    <w:p>
      <w:pPr>
        <w:jc w:val="both"/>
        <w:ind w:firstLine="756"/>
        <w:spacing w:after="0" w:line="251" w:lineRule="auto"/>
        <w:tabs>
          <w:tab w:leader="none" w:pos="10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Prior to any relevant taxable or tax withholding event, as applicable, the Participant agrees to make adequate arrangements satisfactory to the Company and/or the Employer to satisfy all Tax-Related Items. In this regard, the Participant authorizes the Company or its agent to satisfy the obligations with regard to all Tax-Related Items by withholding shares of Company Stock otherwise issuable upon vesting that have an aggregate Fair Market Value sufficient to pay the minimum Tax-Related Items required to be withheld (or an equivalent cash amount, where the Stock Units are settled in cash in the Company’s sole discretion) or such additional Tax-Related Items elected by the Participant. For purposes of the foregoing, no fractional shares of Company Stock will be withheld or issued pursuant to the grant of the Stock Units. In the event that such withholding in shares of Company Stock is problematic under applicable tax or securities law or has materially adverse accounting consequences, by accepting this Agreement, the Participant authorizes the Company or its respective agents to satisfy any applicable withholding obligations or rights with regard to all Tax-Related Items by (i) selling on the Participant’s behalf a whole number of shares from those shares of Company Stock issued to the Participant as the Company determines to be appropriate to generate cash proceeds sufficient to satisfy any applicable withholding obligations or rights for Tax-Related Items, (ii) withholding from the Participant’s wages or other cash compensation paid to the Participant by the Company and/or the Employer (iii) requiring the Participant to make cash payment in an amount equal to the withholding obligations or rights for Tax-Related Items or (iv) any other method of withholding determined by the Company and to the extent required by applicable law or the Plan, approved by the Committee.</w:t>
      </w:r>
    </w:p>
    <w:p>
      <w:pPr>
        <w:spacing w:after="0" w:line="199" w:lineRule="exact"/>
        <w:rPr>
          <w:rFonts w:ascii="Times New Roman" w:cs="Times New Roman" w:eastAsia="Times New Roman" w:hAnsi="Times New Roman"/>
          <w:sz w:val="20"/>
          <w:szCs w:val="20"/>
          <w:color w:val="auto"/>
        </w:rPr>
      </w:pPr>
    </w:p>
    <w:p>
      <w:pPr>
        <w:jc w:val="both"/>
        <w:ind w:firstLine="756"/>
        <w:spacing w:after="0" w:line="239" w:lineRule="auto"/>
        <w:tabs>
          <w:tab w:leader="none" w:pos="101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Company may withhold or account for Tax-Related Items by considering applicable minimum statutory withholding rates or other applicable withholding rates, including maximum withholding rates applicable in the Participant’s jurisdiction(s) or withholding rates greater than the applicable minimum statutory withholding rates as elected by the Participant. In the event of over-withholding, the Participant may receive a refund of any over-withheld amount in cash and (with no entitlement to the equivalent in shares of Company Stock) or if not refunded, the Participant may be able to seek a refund from the local tax authorities. In the event of under-withholding, the Participant may be required to pay any additional Tax-Related Items directly to the applicable tax authority or to the Company and/or the Employer. If any obligation for Tax-Related Items is satisfied by withholding in shares of Company Stock, for tax purposes, the Participant is deemed to have been issued the full number of shares of Company Stock subject to the vested Stock Units, notwithstanding that a number of the shares of Company Stock is held back solely for the purpose of paying certain of the Tax-Related Items.</w:t>
      </w:r>
    </w:p>
    <w:p>
      <w:pPr>
        <w:spacing w:after="0" w:line="200" w:lineRule="exact"/>
        <w:rPr>
          <w:rFonts w:ascii="Times New Roman" w:cs="Times New Roman" w:eastAsia="Times New Roman" w:hAnsi="Times New Roman"/>
          <w:sz w:val="21"/>
          <w:szCs w:val="21"/>
          <w:color w:val="auto"/>
        </w:rPr>
      </w:pPr>
    </w:p>
    <w:p>
      <w:pPr>
        <w:jc w:val="both"/>
        <w:ind w:firstLine="756"/>
        <w:spacing w:after="0" w:line="241" w:lineRule="auto"/>
        <w:tabs>
          <w:tab w:leader="none" w:pos="101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Participant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or cash in settlement of the Stock Units if the Participant fails to comply with the Participant’s obligations in connection with the Tax-Related Items.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12" w:name="page113"/>
    <w:bookmarkEnd w:id="112"/>
    <w:p>
      <w:pPr>
        <w:jc w:val="both"/>
        <w:ind w:firstLine="756"/>
        <w:spacing w:after="0" w:line="239" w:lineRule="auto"/>
        <w:tabs>
          <w:tab w:leader="none" w:pos="1018"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obligation of the Company to deliver Company Stock shall also be subject to the condition that if at any time the Board shall determine in its discretion that the listing, registration or qualification of the shares upon any securities exchange or under any state or federal or local law, or the consent or approval of any governmental regulatory body is necessary or desirable as a condition of, or in connection with, the issuance of shares, the shares may not be issued in whole or in part unless such listing, registration, qualification, consent or approval shall have been effected or obtained free of any conditions not acceptable to the Board. The issuance of shares, if any, to the Participant pursuant to this Agreement is subject to any applicable taxes and other laws or regulations of the United States or of any state, municipality or other country having jurisdiction thereof.</w:t>
      </w:r>
    </w:p>
    <w:p>
      <w:pPr>
        <w:spacing w:after="0" w:line="204" w:lineRule="exact"/>
        <w:rPr>
          <w:rFonts w:ascii="Times New Roman" w:cs="Times New Roman" w:eastAsia="Times New Roman" w:hAnsi="Times New Roman"/>
          <w:sz w:val="21"/>
          <w:szCs w:val="21"/>
          <w:color w:val="auto"/>
        </w:rPr>
      </w:pPr>
    </w:p>
    <w:p>
      <w:pPr>
        <w:jc w:val="both"/>
        <w:ind w:firstLine="756"/>
        <w:spacing w:after="0" w:line="239" w:lineRule="auto"/>
        <w:tabs>
          <w:tab w:leader="none" w:pos="1018"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Notwithstanding anything in the Agreement to the contrary, the Company may, in its sole discretion, settle all or a portion of any vested Stock Units in the form of a cash payment to the extent settlement in shares of Company Stock is prohibited under local laws, rules or regulations, would require the Participant, the Company or the Employer to obtain the approval of any governmental and/or regulatory body in the Participant’s country of residence (or country of employment, if different), or is administratively burdensome. Alternatively, the Company, in its sole discretion, may settle all or a portion of the vested Stock Units in the form of shares of Company Stock but require an immediate sale of such shares of Company Stock (in which case, the Participant expressly and explicitly authorizes the Company to issue sales instructions, on the Participant’s behalf, to any brokerage firm and/or third party administrator engaged by the Company to hold the Participant’s shares of Company Stock).</w:t>
      </w:r>
    </w:p>
    <w:p>
      <w:pPr>
        <w:spacing w:after="0" w:line="202" w:lineRule="exact"/>
        <w:rPr>
          <w:rFonts w:ascii="Times New Roman" w:cs="Times New Roman" w:eastAsia="Times New Roman" w:hAnsi="Times New Roman"/>
          <w:sz w:val="21"/>
          <w:szCs w:val="21"/>
          <w:color w:val="auto"/>
        </w:rPr>
      </w:pPr>
    </w:p>
    <w:p>
      <w:pPr>
        <w:jc w:val="both"/>
        <w:ind w:firstLine="7"/>
        <w:spacing w:after="0" w:line="239" w:lineRule="auto"/>
        <w:tabs>
          <w:tab w:leader="none" w:pos="50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No Stockholder Rights; Dividend Equivalents</w:t>
      </w:r>
      <w:r>
        <w:rPr>
          <w:rFonts w:ascii="Times New Roman" w:cs="Times New Roman" w:eastAsia="Times New Roman" w:hAnsi="Times New Roman"/>
          <w:sz w:val="20"/>
          <w:szCs w:val="20"/>
          <w:color w:val="auto"/>
        </w:rPr>
        <w:t>. Neither the Participant, nor any person entitled to receive payment in the event of the Participant’s death, shall have any of the rights and privileges of a stockholder with respect to shares of Company Stock, including voting or dividend rights, until certificates for shares have been issued, or applicable book entry has been made, upon payment of Stock Units. The Participant acknowledges that no election under Section 83(b) of the Code is available with respect to Stock Units. Notwithstanding the foregoing, the Committee may grant to the Participant Dividend Equivalents on the shares underlying the Stock Units on the Date of Grant, or at any time prior to the Vesting Date, which shall be credited to the Stock Unit account for the Participant, will vest on the same schedule as the related Stock Units, and will be paid or distributed in accordance with this Agreement and the Plan.</w:t>
      </w:r>
    </w:p>
    <w:p>
      <w:pPr>
        <w:spacing w:after="0" w:line="204" w:lineRule="exact"/>
        <w:rPr>
          <w:rFonts w:ascii="Times New Roman" w:cs="Times New Roman" w:eastAsia="Times New Roman" w:hAnsi="Times New Roman"/>
          <w:sz w:val="21"/>
          <w:szCs w:val="21"/>
          <w:color w:val="auto"/>
        </w:rPr>
      </w:pPr>
    </w:p>
    <w:p>
      <w:pPr>
        <w:jc w:val="both"/>
        <w:ind w:firstLine="7"/>
        <w:spacing w:after="0" w:line="239" w:lineRule="auto"/>
        <w:tabs>
          <w:tab w:leader="none" w:pos="50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Grant Subject to Plan Provisions</w:t>
      </w:r>
      <w:r>
        <w:rPr>
          <w:rFonts w:ascii="Times New Roman" w:cs="Times New Roman" w:eastAsia="Times New Roman" w:hAnsi="Times New Roman"/>
          <w:sz w:val="20"/>
          <w:szCs w:val="20"/>
          <w:color w:val="auto"/>
        </w:rPr>
        <w:t>. This grant is made pursuant to the Plan, the terms of which are incorporated herein by reference, and in all respects shall be interpreted in accordance with the Plan. The grant and payment of the Stock Units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Tax-Related Items, (b) the registration, qualification or listing of the shares of Company Stock, (c) changes in capitalization of the Company and (d) other requirements of applicable law. The Committee shall have the authority to interpret and construe the Stock Units pursuant to the terms of the Plan, and its decisions shall be conclusive as to any questions arising hereunder.</w:t>
      </w:r>
    </w:p>
    <w:p>
      <w:pPr>
        <w:spacing w:after="0" w:line="204" w:lineRule="exact"/>
        <w:rPr>
          <w:rFonts w:ascii="Times New Roman" w:cs="Times New Roman" w:eastAsia="Times New Roman" w:hAnsi="Times New Roman"/>
          <w:sz w:val="21"/>
          <w:szCs w:val="21"/>
          <w:color w:val="auto"/>
        </w:rPr>
      </w:pPr>
    </w:p>
    <w:p>
      <w:pPr>
        <w:jc w:val="both"/>
        <w:ind w:firstLine="7"/>
        <w:spacing w:after="0" w:line="241" w:lineRule="auto"/>
        <w:tabs>
          <w:tab w:leader="none" w:pos="50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No Employment or Other Rights</w:t>
      </w:r>
      <w:r>
        <w:rPr>
          <w:rFonts w:ascii="Times New Roman" w:cs="Times New Roman" w:eastAsia="Times New Roman" w:hAnsi="Times New Roman"/>
          <w:sz w:val="20"/>
          <w:szCs w:val="20"/>
          <w:color w:val="auto"/>
        </w:rPr>
        <w:t>. The grant of the Stock Units shall not confer upon the Participant any right to be retained by or in the employ or service of any Employer and shall not interfere in any way with the right of any Employer to terminate the Participant’s employment or service at any time, subject to compliance with local law and the terms of any applicable employment agreement. The right of any Employer to terminate at will the Participant’s employment or service at any time for any reason is specifically reserved.</w:t>
      </w:r>
    </w:p>
    <w:p>
      <w:pPr>
        <w:spacing w:after="0" w:line="201" w:lineRule="exact"/>
        <w:rPr>
          <w:rFonts w:ascii="Times New Roman" w:cs="Times New Roman" w:eastAsia="Times New Roman" w:hAnsi="Times New Roman"/>
          <w:sz w:val="21"/>
          <w:szCs w:val="21"/>
          <w:color w:val="auto"/>
        </w:rPr>
      </w:pPr>
    </w:p>
    <w:p>
      <w:pPr>
        <w:ind w:firstLine="7"/>
        <w:spacing w:after="0" w:line="251" w:lineRule="auto"/>
        <w:tabs>
          <w:tab w:leader="none" w:pos="50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No Entitlement or Claims for Compensation</w:t>
      </w:r>
      <w:r>
        <w:rPr>
          <w:rFonts w:ascii="Times New Roman" w:cs="Times New Roman" w:eastAsia="Times New Roman" w:hAnsi="Times New Roman"/>
          <w:sz w:val="20"/>
          <w:szCs w:val="20"/>
          <w:color w:val="auto"/>
        </w:rPr>
        <w:t>. In connection with the acceptance of the grant of Stock Units under this Agreement, the Participant acknowledges the following:</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3" w:name="page114"/>
    <w:bookmarkEnd w:id="113"/>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19"/>
          <w:szCs w:val="19"/>
          <w:color w:val="auto"/>
        </w:rPr>
        <w:t>The Plan is established voluntarily by the Company, it is discretionary in nature and it may be modified, amended, suspended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terminated by the Company at any time, to the extent permitted by the Plan.</w:t>
      </w:r>
    </w:p>
    <w:p>
      <w:pPr>
        <w:spacing w:after="0" w:line="167" w:lineRule="exact"/>
        <w:rPr>
          <w:sz w:val="20"/>
          <w:szCs w:val="20"/>
          <w:color w:val="auto"/>
        </w:rPr>
      </w:pPr>
    </w:p>
    <w:p>
      <w:pPr>
        <w:jc w:val="both"/>
        <w:ind w:firstLine="749"/>
        <w:spacing w:after="0" w:line="284" w:lineRule="auto"/>
        <w:rPr>
          <w:sz w:val="20"/>
          <w:szCs w:val="20"/>
          <w:color w:val="auto"/>
        </w:rPr>
      </w:pPr>
      <w:r>
        <w:rPr>
          <w:rFonts w:ascii="Times New Roman" w:cs="Times New Roman" w:eastAsia="Times New Roman" w:hAnsi="Times New Roman"/>
          <w:sz w:val="21"/>
          <w:szCs w:val="21"/>
          <w:color w:val="auto"/>
        </w:rPr>
        <w:t>(b)</w:t>
      </w:r>
      <w:r>
        <w:rPr>
          <w:rFonts w:ascii="Times New Roman" w:cs="Times New Roman" w:eastAsia="Times New Roman" w:hAnsi="Times New Roman"/>
          <w:sz w:val="19"/>
          <w:szCs w:val="19"/>
          <w:color w:val="auto"/>
        </w:rPr>
        <w:t>The grant of Stock Units is exceptional, voluntary and occasional and does not create any contractual or other right to receive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future grants of Stock Units, or benefits in lieu of Stock Units, even if Stock Units have been granted repeatedly in the past.</w:t>
      </w:r>
    </w:p>
    <w:p>
      <w:pPr>
        <w:spacing w:after="0" w:line="13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(c)</w:t>
      </w:r>
      <w:r>
        <w:rPr>
          <w:rFonts w:ascii="Times New Roman" w:cs="Times New Roman" w:eastAsia="Times New Roman" w:hAnsi="Times New Roman"/>
          <w:sz w:val="19"/>
          <w:szCs w:val="19"/>
          <w:color w:val="auto"/>
        </w:rPr>
        <w:t>The Plan is operated and the Stock Units are granted exclusively by the Company, and only the Company is a party to this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Agreement; accordingly, any rights the Participant may have under this Agreement may be raised only against the Company but not any subsidiary or affiliate of the Company (including, but not limited to, the Employer).</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(d)</w:t>
      </w:r>
      <w:r>
        <w:rPr>
          <w:rFonts w:ascii="Times New Roman" w:cs="Times New Roman" w:eastAsia="Times New Roman" w:hAnsi="Times New Roman"/>
          <w:sz w:val="19"/>
          <w:szCs w:val="19"/>
          <w:color w:val="auto"/>
        </w:rPr>
        <w:t>All decisions with respect to future grants of Stock Units, if any, will be at the sole discretion of the Committee.</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(e)</w:t>
      </w:r>
      <w:r>
        <w:rPr>
          <w:rFonts w:ascii="Times New Roman" w:cs="Times New Roman" w:eastAsia="Times New Roman" w:hAnsi="Times New Roman"/>
          <w:sz w:val="19"/>
          <w:szCs w:val="19"/>
          <w:color w:val="auto"/>
        </w:rPr>
        <w:t>The Participant is voluntarily participating in the Plan.</w:t>
      </w:r>
    </w:p>
    <w:p>
      <w:pPr>
        <w:spacing w:after="0" w:line="197"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1"/>
          <w:szCs w:val="21"/>
          <w:color w:val="auto"/>
        </w:rPr>
        <w:t>(f)</w:t>
      </w:r>
      <w:r>
        <w:rPr>
          <w:rFonts w:ascii="Times New Roman" w:cs="Times New Roman" w:eastAsia="Times New Roman" w:hAnsi="Times New Roman"/>
          <w:sz w:val="19"/>
          <w:szCs w:val="19"/>
          <w:color w:val="auto"/>
        </w:rPr>
        <w:t>This grant of Stock Units and any Company Stock acquired under the Plan in connection with the Stock Units are extraordinary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items that do not constitute compensation of any kind for services of any kind rendered to the Company, Employer or any affiliate and which are outside the scope of the Participant’s employment contract, if any.</w:t>
      </w:r>
    </w:p>
    <w:p>
      <w:pPr>
        <w:spacing w:after="0" w:line="16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(g)</w:t>
      </w:r>
      <w:r>
        <w:rPr>
          <w:rFonts w:ascii="Times New Roman" w:cs="Times New Roman" w:eastAsia="Times New Roman" w:hAnsi="Times New Roman"/>
          <w:sz w:val="19"/>
          <w:szCs w:val="19"/>
          <w:color w:val="auto"/>
        </w:rPr>
        <w:t>This grant of Stock Units and any Company Stock acquired under the Plan and their value are not to be considered part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Participant’s normal or expected compensation or salary for any purpose, including, but not limited to, calculating any severance, resignation, termination, redundancy, dismissal, end-of-service payments, bonuses, holiday pay, long-service awards, pension or retirement or welfare benefits or similar payments.</w:t>
      </w:r>
    </w:p>
    <w:p>
      <w:pPr>
        <w:spacing w:after="0" w:line="17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(h)</w:t>
      </w:r>
      <w:r>
        <w:rPr>
          <w:rFonts w:ascii="Times New Roman" w:cs="Times New Roman" w:eastAsia="Times New Roman" w:hAnsi="Times New Roman"/>
          <w:sz w:val="19"/>
          <w:szCs w:val="19"/>
          <w:color w:val="auto"/>
        </w:rPr>
        <w:t>This grant of Stock Units and any Company Stock acquired under the Plan in connection with the Stock Units are not intended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replace any pension rights or compensation.</w:t>
      </w:r>
    </w:p>
    <w:p>
      <w:pPr>
        <w:spacing w:after="0" w:line="167"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1"/>
          <w:szCs w:val="21"/>
          <w:color w:val="auto"/>
        </w:rPr>
        <w:t>(i)</w:t>
      </w:r>
      <w:r>
        <w:rPr>
          <w:rFonts w:ascii="Times New Roman" w:cs="Times New Roman" w:eastAsia="Times New Roman" w:hAnsi="Times New Roman"/>
          <w:sz w:val="19"/>
          <w:szCs w:val="19"/>
          <w:color w:val="auto"/>
        </w:rPr>
        <w:t>Unless otherwise agreed with the Company in writing, the Stock Units and the shares of Company Stock subject to the Stock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Units, and the income from and value of same, are not granted as consideration for, or in connection with, the service the Participant may provide as a director of a subsidiary of the Company.</w:t>
      </w:r>
    </w:p>
    <w:p>
      <w:pPr>
        <w:spacing w:after="0" w:line="160"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(j)</w:t>
      </w:r>
      <w:r>
        <w:rPr>
          <w:rFonts w:ascii="Times New Roman" w:cs="Times New Roman" w:eastAsia="Times New Roman" w:hAnsi="Times New Roman"/>
          <w:sz w:val="19"/>
          <w:szCs w:val="19"/>
          <w:color w:val="auto"/>
        </w:rPr>
        <w:t>The future value of shares of Company Stock is unknown and cannot be predicted with certainty. If the Participant vests in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Stock Units and receives shares of Company Stock, the value of the acquired shares may increase or decrease. The Participant acknowledges and agrees that neither the Employer nor any affiliate shall be liable for any foreign exchange rate fluctuation between the Participant’s local currency and the United States Dollar that may affect the value of the Stock Units or of any amounts received by the Participant pursuant to the Stock Units or the subsequent sale of any Company Stock acquired in connection with the Stock Units.</w:t>
      </w:r>
    </w:p>
    <w:p>
      <w:pPr>
        <w:spacing w:after="0" w:line="170"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(k)</w:t>
      </w:r>
      <w:r>
        <w:rPr>
          <w:rFonts w:ascii="Times New Roman" w:cs="Times New Roman" w:eastAsia="Times New Roman" w:hAnsi="Times New Roman"/>
          <w:sz w:val="19"/>
          <w:szCs w:val="19"/>
          <w:color w:val="auto"/>
        </w:rPr>
        <w:t>The Participant shall have no claim or entitlement to compensation or damages that shall arise from (i) forfeiture of the Stock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Units resulting from the termination of the Participant’s employment (for any reason whatsoever, whether or not later found to be invalid or in breach of employment laws in the jurisdiction where the Participant is employed or the terms of the Participant’s employment agreement, if any) and/or (ii) forfeiture of the Stock Units or recoupment of any shares of Company Stock, cash or other benefits acquired pursuant to the Stock Units resulting from the application of any Policy (as defined</w:t>
      </w:r>
    </w:p>
    <w:p>
      <w:pPr>
        <w:spacing w:after="0" w:line="200" w:lineRule="exact"/>
        <w:rPr>
          <w:sz w:val="20"/>
          <w:szCs w:val="20"/>
          <w:color w:val="auto"/>
        </w:rPr>
      </w:pPr>
    </w:p>
    <w:p>
      <w:pPr>
        <w:spacing w:after="0" w:line="29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480060</wp:posOffset>
            </wp:positionV>
            <wp:extent cx="71589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420" w:top="1396" w:right="339" w:bottom="1440" w:gutter="0" w:footer="0" w:header="0"/>
        </w:sectPr>
      </w:pPr>
    </w:p>
    <w:bookmarkStart w:id="114" w:name="page115"/>
    <w:bookmarkEnd w:id="114"/>
    <w:p>
      <w:pPr>
        <w:jc w:val="both"/>
        <w:ind w:left="100" w:right="20"/>
        <w:spacing w:after="0" w:line="263" w:lineRule="auto"/>
        <w:rPr>
          <w:sz w:val="20"/>
          <w:szCs w:val="20"/>
          <w:color w:val="auto"/>
        </w:rPr>
      </w:pPr>
      <w:r>
        <w:rPr>
          <w:rFonts w:ascii="Times New Roman" w:cs="Times New Roman" w:eastAsia="Times New Roman" w:hAnsi="Times New Roman"/>
          <w:sz w:val="20"/>
          <w:szCs w:val="20"/>
          <w:color w:val="auto"/>
        </w:rPr>
        <w:t>below) of the Company, as it may be amended from time to time (whether such policy is adopted on or after the date of this Agreement) or any recoupment otherwise required by applicable laws, regulations or stock exchange listing standards.</w:t>
      </w:r>
    </w:p>
    <w:p>
      <w:pPr>
        <w:spacing w:after="0" w:line="160" w:lineRule="exact"/>
        <w:rPr>
          <w:sz w:val="20"/>
          <w:szCs w:val="20"/>
          <w:color w:val="auto"/>
        </w:rPr>
      </w:pPr>
    </w:p>
    <w:p>
      <w:pPr>
        <w:jc w:val="both"/>
        <w:ind w:left="100" w:firstLine="749"/>
        <w:spacing w:after="0" w:line="265" w:lineRule="auto"/>
        <w:rPr>
          <w:sz w:val="20"/>
          <w:szCs w:val="20"/>
          <w:color w:val="auto"/>
        </w:rPr>
      </w:pPr>
      <w:r>
        <w:rPr>
          <w:rFonts w:ascii="Times New Roman" w:cs="Times New Roman" w:eastAsia="Times New Roman" w:hAnsi="Times New Roman"/>
          <w:sz w:val="21"/>
          <w:szCs w:val="21"/>
          <w:color w:val="auto"/>
        </w:rPr>
        <w:t>(l)</w:t>
      </w:r>
      <w:r>
        <w:rPr>
          <w:rFonts w:ascii="Times New Roman" w:cs="Times New Roman" w:eastAsia="Times New Roman" w:hAnsi="Times New Roman"/>
          <w:sz w:val="19"/>
          <w:szCs w:val="19"/>
          <w:color w:val="auto"/>
        </w:rPr>
        <w:t>The award is separate from and does not form part of the Participant’s contract of employment or service. Upon termination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Participant’s employment or service for any reason, including wrongful or unfair dismissal, the Participant shall have no right to claim compensation or damages for the termination and forfeiture of Stock Units or the loss of any prospective benefit under the award.</w:t>
      </w:r>
    </w:p>
    <w:p>
      <w:pPr>
        <w:spacing w:after="0" w:line="178" w:lineRule="exact"/>
        <w:rPr>
          <w:sz w:val="20"/>
          <w:szCs w:val="20"/>
          <w:color w:val="auto"/>
        </w:rPr>
      </w:pPr>
    </w:p>
    <w:p>
      <w:pPr>
        <w:jc w:val="both"/>
        <w:ind w:firstLine="7"/>
        <w:spacing w:after="0" w:line="239" w:lineRule="auto"/>
        <w:tabs>
          <w:tab w:leader="none" w:pos="50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Assignment and Transfers</w:t>
      </w:r>
      <w:r>
        <w:rPr>
          <w:rFonts w:ascii="Times New Roman" w:cs="Times New Roman" w:eastAsia="Times New Roman" w:hAnsi="Times New Roman"/>
          <w:sz w:val="20"/>
          <w:szCs w:val="20"/>
          <w:color w:val="auto"/>
        </w:rPr>
        <w:t>. Except as permitted under the Plan or as the Committee may otherwise permit pursuant to the Plan, the rights and interests of the Participant under this Agreement may not be sold, assigned, encumbered or otherwise transferred except, (i) in the event of the death of the Participant, by will or by the laws of descent and distribution, or (ii) pursuant to a domestic relations order. In the event of any attempt by the Participant to alienate, assign, pledge, hypothecate, or otherwise dispose of the Stock Units or any right hereunder, except as provided for in this Agreement, or in the event of the levy or any attachment, execution or similar process upon the rights or interests hereby conferred, the Company may terminate the Stock Units by notice to the Participant, and the Stock Units and all rights hereunder shall thereupon become null and void. The rights and protections of the Company hereunder shall extend to any successors or assigns of the Company and to the Company’s parents, subsidiaries, and affiliates.</w:t>
      </w:r>
    </w:p>
    <w:p>
      <w:pPr>
        <w:spacing w:after="0" w:line="202" w:lineRule="exact"/>
        <w:rPr>
          <w:rFonts w:ascii="Times New Roman" w:cs="Times New Roman" w:eastAsia="Times New Roman" w:hAnsi="Times New Roman"/>
          <w:sz w:val="21"/>
          <w:szCs w:val="21"/>
          <w:color w:val="auto"/>
        </w:rPr>
      </w:pPr>
    </w:p>
    <w:p>
      <w:pPr>
        <w:jc w:val="both"/>
        <w:ind w:firstLine="7"/>
        <w:spacing w:after="0" w:line="239" w:lineRule="auto"/>
        <w:tabs>
          <w:tab w:leader="none" w:pos="50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Applicable Law; Jurisdiction</w:t>
      </w:r>
      <w:r>
        <w:rPr>
          <w:rFonts w:ascii="Times New Roman" w:cs="Times New Roman" w:eastAsia="Times New Roman" w:hAnsi="Times New Roman"/>
          <w:sz w:val="20"/>
          <w:szCs w:val="20"/>
          <w:color w:val="auto"/>
        </w:rPr>
        <w:t>. The validity, construction, interpretation and effect of this Agreement shall be governed by and construed in accordance with the laws of the State of Delaware, without giving effect to the conflicts of laws provisions thereof. Any action arising out of, or relating to, any of the provisions of this Agreement shall be brought only in the United States District Court for the District of New Hampshire, or if such court does not have jurisdiction or will not accept jurisdiction, in any court of general jurisdiction in Manchester, New Hampshire, and the jurisdiction of such court in any such proceeding shall be exclusive. Notwithstanding the foregoing sentence, on and after the date the Participant receives shares of Company Stock hereunder, the Participant will be subject to the jurisdiction provision set forth in the Company’s bylaws.</w:t>
      </w:r>
    </w:p>
    <w:p>
      <w:pPr>
        <w:spacing w:after="0" w:line="204" w:lineRule="exact"/>
        <w:rPr>
          <w:rFonts w:ascii="Times New Roman" w:cs="Times New Roman" w:eastAsia="Times New Roman" w:hAnsi="Times New Roman"/>
          <w:sz w:val="21"/>
          <w:szCs w:val="21"/>
          <w:color w:val="auto"/>
        </w:rPr>
      </w:pPr>
    </w:p>
    <w:p>
      <w:pPr>
        <w:jc w:val="both"/>
        <w:ind w:firstLine="7"/>
        <w:spacing w:after="0"/>
        <w:tabs>
          <w:tab w:leader="none" w:pos="50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Any notice to the Company provided for in this instrument shall be addressed to the Company in care of the General Counsel at the corporate headquarters of the Company, and any notice to the Participant shall be addressed to such Participant at the current address shown on the payroll records of the Employer.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w:t>
      </w:r>
    </w:p>
    <w:p>
      <w:pPr>
        <w:spacing w:after="0" w:line="202" w:lineRule="exact"/>
        <w:rPr>
          <w:rFonts w:ascii="Times New Roman" w:cs="Times New Roman" w:eastAsia="Times New Roman" w:hAnsi="Times New Roman"/>
          <w:sz w:val="21"/>
          <w:szCs w:val="21"/>
          <w:color w:val="auto"/>
        </w:rPr>
      </w:pPr>
    </w:p>
    <w:p>
      <w:pPr>
        <w:jc w:val="both"/>
        <w:ind w:firstLine="7"/>
        <w:spacing w:after="0" w:line="253" w:lineRule="auto"/>
        <w:tabs>
          <w:tab w:leader="none" w:pos="509"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u w:val="single" w:color="auto"/>
          <w:color w:val="auto"/>
        </w:rPr>
        <w:t>Recoupment Policy</w:t>
      </w:r>
      <w:r>
        <w:rPr>
          <w:rFonts w:ascii="Times New Roman" w:cs="Times New Roman" w:eastAsia="Times New Roman" w:hAnsi="Times New Roman"/>
          <w:sz w:val="19"/>
          <w:szCs w:val="19"/>
          <w:color w:val="auto"/>
        </w:rPr>
        <w:t>. In addition to this Agreement and subject to Section 19(h) of the Plan, the Stock Units and any shares of Company Stock issued to the Participant pursuant to the Stock Units shall be subject to and remain subject to any incentive compensation clawback or recoupment policy of the Company currently in effect (including, without limitation, the Allegro MicroSystems, Inc. Policy for Recovery of Erroneously Awarded Compensation) or as may be amended from time to time (the “</w:t>
      </w:r>
      <w:r>
        <w:rPr>
          <w:rFonts w:ascii="Times New Roman" w:cs="Times New Roman" w:eastAsia="Times New Roman" w:hAnsi="Times New Roman"/>
          <w:sz w:val="19"/>
          <w:szCs w:val="19"/>
          <w:u w:val="single" w:color="auto"/>
          <w:color w:val="auto"/>
        </w:rPr>
        <w:t>Policy</w:t>
      </w:r>
      <w:r>
        <w:rPr>
          <w:rFonts w:ascii="Times New Roman" w:cs="Times New Roman" w:eastAsia="Times New Roman" w:hAnsi="Times New Roman"/>
          <w:sz w:val="19"/>
          <w:szCs w:val="19"/>
          <w:color w:val="auto"/>
        </w:rPr>
        <w:t>”), to the extent the Policy is applicable to the Participant based upon the Participant’s position and responsibilities or as required under applicable laws, regulations or stock exchange listing standard. For purposes of the foregoing, the Participant expressly and explicitly authorizes the Company to issue instructions, on the Participant’s behalf, to any brokerage firm and/or third party administrator engaged by the Company to hold shares of Company Stock and other amounts acquired pursuant to the Stock Units to re-convey, transfer or otherwise return such shares of Company Stock and/or other amounts to the Company upon the Company’s enforcement of the Policy. To the extent that this Agreement, the Plan and/or the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15" w:name="page116"/>
    <w:bookmarkEnd w:id="115"/>
    <w:p>
      <w:pPr>
        <w:jc w:val="both"/>
        <w:ind w:firstLine="509"/>
        <w:spacing w:after="0" w:line="250" w:lineRule="auto"/>
        <w:rPr>
          <w:sz w:val="20"/>
          <w:szCs w:val="20"/>
          <w:color w:val="auto"/>
        </w:rPr>
      </w:pPr>
      <w:r>
        <w:rPr>
          <w:rFonts w:ascii="Times New Roman" w:cs="Times New Roman" w:eastAsia="Times New Roman" w:hAnsi="Times New Roman"/>
          <w:sz w:val="20"/>
          <w:szCs w:val="20"/>
          <w:color w:val="auto"/>
        </w:rPr>
        <w:t>Policy conflict, the terms of the Policy shall prevail. No recovery of compensation as described in this Section 15 will be an event giving rise to the Participant’s right to resign for Good Reason or “constructive termination” (or similar term) under any plan of, or agreement with, the Company, any subsidiary, affiliate and/or the Employer.</w:t>
      </w:r>
    </w:p>
    <w:p>
      <w:pPr>
        <w:spacing w:after="0" w:line="191" w:lineRule="exact"/>
        <w:rPr>
          <w:sz w:val="20"/>
          <w:szCs w:val="20"/>
          <w:color w:val="auto"/>
        </w:rPr>
      </w:pPr>
    </w:p>
    <w:p>
      <w:pPr>
        <w:jc w:val="both"/>
        <w:ind w:firstLine="7"/>
        <w:spacing w:after="0" w:line="251" w:lineRule="auto"/>
        <w:tabs>
          <w:tab w:leader="none" w:pos="509"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u w:val="single" w:color="auto"/>
          <w:color w:val="auto"/>
        </w:rPr>
        <w:t>Application of Section 409A of the Code</w:t>
      </w:r>
      <w:r>
        <w:rPr>
          <w:rFonts w:ascii="Times New Roman" w:cs="Times New Roman" w:eastAsia="Times New Roman" w:hAnsi="Times New Roman"/>
          <w:sz w:val="19"/>
          <w:szCs w:val="19"/>
          <w:color w:val="auto"/>
        </w:rPr>
        <w:t>. This Agreement is intended to be exempt from or otherwise comply with the provisions of Section 409A of the Code. Notwithstanding the foregoing, if the Stock Units constitute “deferred compensation” under Section 409A of the Code and the Stock Units become vested and settled upon the Participant’s termination of employment, payment with respect to the Stock Units shall be delayed for a period of six months after the Participant’s termination of employment if the Participant is a “specified employee” as defined under Section 409A of the Code and if required pursuant to Section 409A of the Code. If payment is delayed, the Stock Units shall be settled and paid within thirty (30) days after the date that is six (6) months following the Participant’s termination of employment. Payments with respect to the Stock Units may only be paid in a manner and upon an event permitted by Section 409A of the Code, and each payment under the Stock Units shall be treated as a separate payment, and the right to a series of installment payments under the Stock Units shall be treated as a right to a series of separate payments. In no event shall the Participant, directly or indirectly, designate the calendar year of payment. The Company may change or modify the terms of this Agreement without the Participant’s consent or signature if the Company determines, in its sole discretion, that such change or modification is necessary for purposes of compliance with or exemption from the requirements of Section 409A of the Code or any regulations or other guidance issued thereunder. Notwithstanding the previous sentence, the Company may also amend the Plan or this Agreement or revoke the Stock Units to the extent permitted by the Plan.</w:t>
      </w:r>
    </w:p>
    <w:p>
      <w:pPr>
        <w:spacing w:after="0" w:line="200" w:lineRule="exact"/>
        <w:rPr>
          <w:rFonts w:ascii="Times New Roman" w:cs="Times New Roman" w:eastAsia="Times New Roman" w:hAnsi="Times New Roman"/>
          <w:sz w:val="20"/>
          <w:szCs w:val="20"/>
          <w:color w:val="auto"/>
        </w:rPr>
      </w:pPr>
    </w:p>
    <w:p>
      <w:pPr>
        <w:jc w:val="both"/>
        <w:ind w:firstLine="7"/>
        <w:spacing w:after="0"/>
        <w:tabs>
          <w:tab w:leader="none" w:pos="509"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Country-Specific Terms</w:t>
      </w:r>
      <w:r>
        <w:rPr>
          <w:rFonts w:ascii="Times New Roman" w:cs="Times New Roman" w:eastAsia="Times New Roman" w:hAnsi="Times New Roman"/>
          <w:sz w:val="20"/>
          <w:szCs w:val="20"/>
          <w:color w:val="auto"/>
        </w:rPr>
        <w:t xml:space="preserve">. Notwithstanding anything to the contrary herein, the Stock Units shall be subject to the Country-Specific Terms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this Agreement. In addition, if the Participant relocates to, or becomes a resident of, one of the countries included in the Country-Specific Terms, the additional terms and conditions for such country will apply to the Participant to the extent the Company determines that the application of such terms and conditions is necessary or advisable in order to comply with local law or facilitate the administration of the Plan. The Country-Specific Terms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constitute part of this Agreement and are incorporated herein by reference.</w:t>
      </w:r>
    </w:p>
    <w:p>
      <w:pPr>
        <w:spacing w:after="0" w:line="200" w:lineRule="exact"/>
        <w:rPr>
          <w:rFonts w:ascii="Times New Roman" w:cs="Times New Roman" w:eastAsia="Times New Roman" w:hAnsi="Times New Roman"/>
          <w:sz w:val="21"/>
          <w:szCs w:val="21"/>
          <w:color w:val="auto"/>
        </w:rPr>
      </w:pPr>
    </w:p>
    <w:p>
      <w:pPr>
        <w:jc w:val="both"/>
        <w:ind w:firstLine="7"/>
        <w:spacing w:after="0" w:line="241" w:lineRule="auto"/>
        <w:tabs>
          <w:tab w:leader="none" w:pos="509"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the Participant’s participation in the Plan, or the Participant’s acquisition or sale of the underlying shares of Company Stock. The Participant should consult with the Participant’s own personal tax, legal and financial advisors regarding the Participant’s participation in the Plan before taking any action related to the Plan.</w:t>
      </w:r>
    </w:p>
    <w:p>
      <w:pPr>
        <w:spacing w:after="0" w:line="201" w:lineRule="exact"/>
        <w:rPr>
          <w:rFonts w:ascii="Times New Roman" w:cs="Times New Roman" w:eastAsia="Times New Roman" w:hAnsi="Times New Roman"/>
          <w:sz w:val="21"/>
          <w:szCs w:val="21"/>
          <w:color w:val="auto"/>
        </w:rPr>
      </w:pPr>
    </w:p>
    <w:p>
      <w:pPr>
        <w:jc w:val="both"/>
        <w:ind w:firstLine="7"/>
        <w:spacing w:after="0"/>
        <w:tabs>
          <w:tab w:leader="none" w:pos="509"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The Participant acknowledges that the Participant is proficient in the English language, or has consulted with an advisor who is proficient in the English language, so as to enable the Participant to understand the provisions of this Agreement and the Plan. If the Participant has received this Agreement or any other document related to the Plan translated into a language other than English and if the meaning of the translated version is different than the English version, the English version will control, unless otherwise required by applicable law.</w:t>
      </w:r>
    </w:p>
    <w:p>
      <w:pPr>
        <w:spacing w:after="0" w:line="202" w:lineRule="exact"/>
        <w:rPr>
          <w:rFonts w:ascii="Times New Roman" w:cs="Times New Roman" w:eastAsia="Times New Roman" w:hAnsi="Times New Roman"/>
          <w:sz w:val="21"/>
          <w:szCs w:val="21"/>
          <w:color w:val="auto"/>
        </w:rPr>
      </w:pPr>
    </w:p>
    <w:p>
      <w:pPr>
        <w:jc w:val="both"/>
        <w:ind w:firstLine="7"/>
        <w:spacing w:after="0" w:line="241" w:lineRule="auto"/>
        <w:tabs>
          <w:tab w:leader="none" w:pos="509"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Electronic Delivery and Participation</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16" w:name="page117"/>
    <w:bookmarkEnd w:id="116"/>
    <w:p>
      <w:pPr>
        <w:ind w:firstLine="7"/>
        <w:spacing w:after="0" w:line="251" w:lineRule="auto"/>
        <w:tabs>
          <w:tab w:leader="none" w:pos="509"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88" w:lineRule="exact"/>
        <w:rPr>
          <w:rFonts w:ascii="Times New Roman" w:cs="Times New Roman" w:eastAsia="Times New Roman" w:hAnsi="Times New Roman"/>
          <w:sz w:val="21"/>
          <w:szCs w:val="21"/>
          <w:color w:val="auto"/>
        </w:rPr>
      </w:pPr>
    </w:p>
    <w:p>
      <w:pPr>
        <w:jc w:val="both"/>
        <w:ind w:firstLine="7"/>
        <w:spacing w:after="0" w:line="241" w:lineRule="auto"/>
        <w:tabs>
          <w:tab w:leader="none" w:pos="509"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Participant’s participation in the Plan, on the Stock Units and on any shares of Company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201" w:lineRule="exact"/>
        <w:rPr>
          <w:rFonts w:ascii="Times New Roman" w:cs="Times New Roman" w:eastAsia="Times New Roman" w:hAnsi="Times New Roman"/>
          <w:sz w:val="21"/>
          <w:szCs w:val="21"/>
          <w:color w:val="auto"/>
        </w:rPr>
      </w:pPr>
    </w:p>
    <w:p>
      <w:pPr>
        <w:jc w:val="both"/>
        <w:ind w:firstLine="7"/>
        <w:spacing w:after="0" w:line="238" w:lineRule="auto"/>
        <w:tabs>
          <w:tab w:leader="none" w:pos="509"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Insider Trading/Market Abuse</w:t>
      </w:r>
      <w:r>
        <w:rPr>
          <w:rFonts w:ascii="Times New Roman" w:cs="Times New Roman" w:eastAsia="Times New Roman" w:hAnsi="Times New Roman"/>
          <w:sz w:val="20"/>
          <w:szCs w:val="20"/>
          <w:color w:val="auto"/>
        </w:rPr>
        <w:t>. The Participant acknowledges that, depending on the Participant’s or the broker’s country or where the Company shares are listed, the Participant may be subject to insider trading restrictions and/or market abuse laws which may affect the Participant’s ability to accept, acquire or sell or otherwise dispose of shares of Company Stock or rights to shares of Company Stock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Stock Units) during such times the Participant is considered to have “inside information” regarding the Company as defined in the laws or regulations in the applicable jurisdictions.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and (ii) “tipping” third parties or causing them to otherwise buy or sell securities. Keep in mind third parties include fellow employees. Any restrictions under these laws or regulations are separate from and in addition to any restrictions that may be imposed under any applicable insider trading policy of the Company. The Participant is responsible for complying with any restrictions and should speak to the Participant’s personal advisor on this matter.</w:t>
      </w:r>
    </w:p>
    <w:p>
      <w:pPr>
        <w:spacing w:after="0" w:line="208" w:lineRule="exact"/>
        <w:rPr>
          <w:rFonts w:ascii="Times New Roman" w:cs="Times New Roman" w:eastAsia="Times New Roman" w:hAnsi="Times New Roman"/>
          <w:sz w:val="21"/>
          <w:szCs w:val="21"/>
          <w:color w:val="auto"/>
        </w:rPr>
      </w:pPr>
    </w:p>
    <w:p>
      <w:pPr>
        <w:jc w:val="both"/>
        <w:ind w:firstLine="7"/>
        <w:spacing w:after="0" w:line="239" w:lineRule="auto"/>
        <w:tabs>
          <w:tab w:leader="none" w:pos="509"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Exchange Control, Foreign Asset/Account and/or Tax Reporting</w:t>
      </w:r>
      <w:r>
        <w:rPr>
          <w:rFonts w:ascii="Times New Roman" w:cs="Times New Roman" w:eastAsia="Times New Roman" w:hAnsi="Times New Roman"/>
          <w:sz w:val="20"/>
          <w:szCs w:val="20"/>
          <w:color w:val="auto"/>
        </w:rPr>
        <w:t>. Depending upon the country to which laws the Participant is subject, the Participant may have certain foreign asset/account and/or tax reporting requirements that may affect the Participant’s ability to acquire or hold shares of Company Stock under the Plan or cash received from participating in the Plan (including from any sale proceeds arising from the sale of shares of Company Stock) in a brokerage or bank account outside the Participant’s country of residence. The Participant’s country of residence may require that the Participant report such accounts, assets or transactions to the applicable authorities in the Participant’s country of residence. The Participant also may be required to repatriate cash received from participating in the Plan to the Participant’s country of residence within a certain period of time after receipt. The Participant is responsible for knowledge of and compliance with any such regulations and should speak with the Participant’s personal tax, legal and financial advisors regarding same.</w:t>
      </w:r>
    </w:p>
    <w:p>
      <w:pPr>
        <w:spacing w:after="0" w:line="202" w:lineRule="exact"/>
        <w:rPr>
          <w:rFonts w:ascii="Times New Roman" w:cs="Times New Roman" w:eastAsia="Times New Roman" w:hAnsi="Times New Roman"/>
          <w:sz w:val="21"/>
          <w:szCs w:val="21"/>
          <w:color w:val="auto"/>
        </w:rPr>
      </w:pPr>
    </w:p>
    <w:p>
      <w:pPr>
        <w:jc w:val="both"/>
        <w:ind w:firstLine="7"/>
        <w:spacing w:after="0"/>
        <w:tabs>
          <w:tab w:leader="none" w:pos="509"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The Participant shall comply with all provisions of the restrictive covenants set forth in the Participant’s contract of employment or amendment or addenda thereto, namely non-competition, non-solicitation and confidentiality obligations, for the respective time periods set forth therein. If the Participant fails to comply with any of these restrictive covenants, the Company shall be entitled to all remedies or damages available under applicable law, including, but not limited to, injunctive relief, equitable relief, and/or attorneys’ fees. In addition, the Participant shall forfeit any unvested Stock Units and/or underlying shares of Company Stock.</w:t>
      </w:r>
    </w:p>
    <w:p>
      <w:pPr>
        <w:spacing w:after="0" w:line="202" w:lineRule="exact"/>
        <w:rPr>
          <w:rFonts w:ascii="Times New Roman" w:cs="Times New Roman" w:eastAsia="Times New Roman" w:hAnsi="Times New Roman"/>
          <w:sz w:val="21"/>
          <w:szCs w:val="21"/>
          <w:color w:val="auto"/>
        </w:rPr>
      </w:pPr>
    </w:p>
    <w:p>
      <w:pPr>
        <w:jc w:val="both"/>
        <w:ind w:firstLine="7"/>
        <w:spacing w:after="0"/>
        <w:tabs>
          <w:tab w:leader="none" w:pos="509"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Legal and Tax Compliance; Cooperation</w:t>
      </w:r>
      <w:r>
        <w:rPr>
          <w:rFonts w:ascii="Times New Roman" w:cs="Times New Roman" w:eastAsia="Times New Roman" w:hAnsi="Times New Roman"/>
          <w:sz w:val="20"/>
          <w:szCs w:val="20"/>
          <w:color w:val="auto"/>
        </w:rPr>
        <w:t>. If the Participant resides or is employed outside of the United States, the Participant agrees, as a condition of the grant of the Stock Units, to repatriate all payments attributable to the shares of Company Stock and/or cash acquired under the Plan (including, but not limited to, dividends and any proceeds derived from the sale of shares of Company Stock acquired pursuant to the Stock Units) if required by and in accordance with local foreign exchange rules and regulations in the Participant’s country of residence (and country of employment, if different). In addition, the Participant also agrees to take any and all actions, and consents to any and all actions taken by the Company and its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7" w:name="page118"/>
    <w:bookmarkEnd w:id="117"/>
    <w:p>
      <w:pPr>
        <w:jc w:val="both"/>
        <w:ind w:firstLine="509"/>
        <w:spacing w:after="0" w:line="245" w:lineRule="auto"/>
        <w:rPr>
          <w:sz w:val="20"/>
          <w:szCs w:val="20"/>
          <w:color w:val="auto"/>
        </w:rPr>
      </w:pPr>
      <w:r>
        <w:rPr>
          <w:rFonts w:ascii="Times New Roman" w:cs="Times New Roman" w:eastAsia="Times New Roman" w:hAnsi="Times New Roman"/>
          <w:sz w:val="20"/>
          <w:szCs w:val="20"/>
          <w:color w:val="auto"/>
        </w:rPr>
        <w:t>subsidiaries and affiliates, as may be required to allow the Company and its subsidiaries and affiliates to comply with local laws, rules and regulations in the Participant’s country of residence (and country of employment, if different). Finally, the Participant agrees to take any and all actions as may be required to comply with the Participant’s personal legal and tax obligations under local laws, rules and regulations in the Participant’s country of residence (and country of employment, if different).</w:t>
      </w:r>
    </w:p>
    <w:p>
      <w:pPr>
        <w:spacing w:after="0" w:line="198" w:lineRule="exact"/>
        <w:rPr>
          <w:sz w:val="20"/>
          <w:szCs w:val="20"/>
          <w:color w:val="auto"/>
        </w:rPr>
      </w:pPr>
    </w:p>
    <w:p>
      <w:pPr>
        <w:ind w:left="520" w:hanging="513"/>
        <w:spacing w:after="0"/>
        <w:tabs>
          <w:tab w:leader="none" w:pos="52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w:t>
      </w:r>
    </w:p>
    <w:p>
      <w:pPr>
        <w:spacing w:after="0" w:line="213" w:lineRule="exact"/>
        <w:rPr>
          <w:rFonts w:ascii="Times New Roman" w:cs="Times New Roman" w:eastAsia="Times New Roman" w:hAnsi="Times New Roman"/>
          <w:sz w:val="21"/>
          <w:szCs w:val="21"/>
          <w:color w:val="auto"/>
        </w:rPr>
      </w:pPr>
    </w:p>
    <w:p>
      <w:pPr>
        <w:ind w:right="60" w:firstLine="756"/>
        <w:spacing w:after="0" w:line="251" w:lineRule="auto"/>
        <w:tabs>
          <w:tab w:leader="none" w:pos="1018"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If the Participant resides or is employed in the United States or a jurisdiction other than the European Union, European Economic Area, or the United Kingdom, the following provisions shall apply:</w:t>
      </w:r>
    </w:p>
    <w:p>
      <w:pPr>
        <w:spacing w:after="0" w:line="172" w:lineRule="exact"/>
        <w:rPr>
          <w:sz w:val="20"/>
          <w:szCs w:val="20"/>
          <w:color w:val="auto"/>
        </w:rPr>
      </w:pPr>
    </w:p>
    <w:p>
      <w:pPr>
        <w:jc w:val="both"/>
        <w:ind w:left="760"/>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The Company is located at 955 Perimeter Road, Manchester, New Hampshire 03103, United States of America and grants Stock Units under the Plan to employees of the Company and its subsidiaries in its sole discretion. In conjunction with the Company’s grant of the Stock Units under the Plan and its ongoing administration of such awards, the Company is providing the following information about its data collection, processing and transfer practices (“Personal Information Activities”). In accepting the grant of the Stock Units, the Participant expressly and explicitly consents to the Personal Data Activities as described herein.</w:t>
      </w:r>
    </w:p>
    <w:p>
      <w:pPr>
        <w:spacing w:after="0" w:line="181" w:lineRule="exact"/>
        <w:rPr>
          <w:sz w:val="20"/>
          <w:szCs w:val="20"/>
          <w:color w:val="auto"/>
        </w:rPr>
      </w:pPr>
    </w:p>
    <w:p>
      <w:pPr>
        <w:jc w:val="both"/>
        <w:ind w:left="760" w:firstLine="745"/>
        <w:spacing w:after="0" w:line="239" w:lineRule="auto"/>
        <w:tabs>
          <w:tab w:leader="none" w:pos="2048" w:val="left"/>
        </w:tabs>
        <w:numPr>
          <w:ilvl w:val="0"/>
          <w:numId w:val="58"/>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Data Collection, Processing and Usage</w:t>
      </w:r>
      <w:r>
        <w:rPr>
          <w:rFonts w:ascii="Times New Roman" w:cs="Times New Roman" w:eastAsia="Times New Roman" w:hAnsi="Times New Roman"/>
          <w:sz w:val="20"/>
          <w:szCs w:val="20"/>
          <w:b w:val="1"/>
          <w:bCs w:val="1"/>
          <w:i w:val="1"/>
          <w:iCs w:val="1"/>
          <w:color w:val="auto"/>
        </w:rPr>
        <w:t>. The Company collects, processes and uses the Participant’s personal data, including the Participant’s name, home address, email address, and telephone number, date of birth, social insurance/passport number or other identification number (e.g., resident registration number), salary, citizenship, job title, any shares of Company Stock or directorships held in the Company, and details of all Stock Units or any other equity compensation awards granted, canceled, exercised, vested, or outstanding in the Participant’s favor, which the Company receives from the Participant or the Employer (“Personal Information”). In granting the Stock Units under the Plan, the Company will collect the Participant’s Personal Information for purposes of allocating shares of Company Stock and implementing, administering and managing the Plan. The Company’s legal basis for the collection, processing and usage of the Participant’s Personal Information is the Participant’s consent.</w:t>
      </w:r>
    </w:p>
    <w:p>
      <w:pPr>
        <w:spacing w:after="0" w:line="200" w:lineRule="exact"/>
        <w:rPr>
          <w:rFonts w:ascii="Times New Roman" w:cs="Times New Roman" w:eastAsia="Times New Roman" w:hAnsi="Times New Roman"/>
          <w:sz w:val="21"/>
          <w:szCs w:val="21"/>
          <w:i w:val="1"/>
          <w:iCs w:val="1"/>
          <w:color w:val="auto"/>
        </w:rPr>
      </w:pPr>
    </w:p>
    <w:p>
      <w:pPr>
        <w:jc w:val="both"/>
        <w:ind w:left="760" w:firstLine="745"/>
        <w:spacing w:after="0"/>
        <w:tabs>
          <w:tab w:leader="none" w:pos="2048" w:val="left"/>
        </w:tabs>
        <w:numPr>
          <w:ilvl w:val="0"/>
          <w:numId w:val="58"/>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Stock Plan Service Provider</w:t>
      </w:r>
      <w:r>
        <w:rPr>
          <w:rFonts w:ascii="Times New Roman" w:cs="Times New Roman" w:eastAsia="Times New Roman" w:hAnsi="Times New Roman"/>
          <w:sz w:val="20"/>
          <w:szCs w:val="20"/>
          <w:b w:val="1"/>
          <w:bCs w:val="1"/>
          <w:i w:val="1"/>
          <w:iCs w:val="1"/>
          <w:color w:val="auto"/>
        </w:rPr>
        <w:t>. The Company transfers the Participant’s Personal Information to the Stock Plan Service Provider, an independent service provider based in the United States, which assists the Company with the implementation, administration and management of the Plan. In the future, the Company may select a different Stock Plan Service Provider and share the Participant’s Personal Information with another company that serves in a similar manner. The Stock Plan Service Provider will open an account for the Participant to receive and trade shares of Company Stock acquired under the Plan. The Participant will be asked to agree on separate terms and data processing practices with the Stock Plan Service Provider, which is a condition to the Participant’s ability to participate in the Plan.</w:t>
      </w:r>
    </w:p>
    <w:p>
      <w:pPr>
        <w:spacing w:after="0" w:line="197" w:lineRule="exact"/>
        <w:rPr>
          <w:rFonts w:ascii="Times New Roman" w:cs="Times New Roman" w:eastAsia="Times New Roman" w:hAnsi="Times New Roman"/>
          <w:sz w:val="21"/>
          <w:szCs w:val="21"/>
          <w:i w:val="1"/>
          <w:iCs w:val="1"/>
          <w:color w:val="auto"/>
        </w:rPr>
      </w:pPr>
    </w:p>
    <w:p>
      <w:pPr>
        <w:jc w:val="both"/>
        <w:ind w:left="760" w:firstLine="745"/>
        <w:spacing w:after="0" w:line="241" w:lineRule="auto"/>
        <w:tabs>
          <w:tab w:leader="none" w:pos="2048" w:val="left"/>
        </w:tabs>
        <w:numPr>
          <w:ilvl w:val="0"/>
          <w:numId w:val="58"/>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International Data Transfers</w:t>
      </w:r>
      <w:r>
        <w:rPr>
          <w:rFonts w:ascii="Times New Roman" w:cs="Times New Roman" w:eastAsia="Times New Roman" w:hAnsi="Times New Roman"/>
          <w:sz w:val="20"/>
          <w:szCs w:val="20"/>
          <w:b w:val="1"/>
          <w:bCs w:val="1"/>
          <w:i w:val="1"/>
          <w:iCs w:val="1"/>
          <w:color w:val="auto"/>
        </w:rPr>
        <w:t>. The Company and the Stock Plan Service Provider are based in the United States. If the Participant is outside the United States, the Participant should note that the Participant’s country has enacted data privacy laws that are different from the United States. By participating in the Plan, the Participant gives their consent to the transfer of the Participant’s Personal Information to the United States, or to such other jurisdiction as may be necessary for the delivery of the Plan and administration thereof.</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18" w:name="page119"/>
    <w:bookmarkEnd w:id="118"/>
    <w:p>
      <w:pPr>
        <w:jc w:val="both"/>
        <w:ind w:left="760" w:firstLine="745"/>
        <w:spacing w:after="0" w:line="239" w:lineRule="auto"/>
        <w:tabs>
          <w:tab w:leader="none" w:pos="2048" w:val="left"/>
        </w:tabs>
        <w:numPr>
          <w:ilvl w:val="0"/>
          <w:numId w:val="59"/>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Voluntariness and Consequences of Consent Denial or Withdrawal</w:t>
      </w:r>
      <w:r>
        <w:rPr>
          <w:rFonts w:ascii="Times New Roman" w:cs="Times New Roman" w:eastAsia="Times New Roman" w:hAnsi="Times New Roman"/>
          <w:sz w:val="20"/>
          <w:szCs w:val="20"/>
          <w:b w:val="1"/>
          <w:bCs w:val="1"/>
          <w:i w:val="1"/>
          <w:iCs w:val="1"/>
          <w:color w:val="auto"/>
        </w:rPr>
        <w:t>. The Participant’s participation in the Plan and the Participant’s grant of consent to Personal Data Activities pertaining to the grant and administration of the Stock Units and other awards that the Company may grant to the Participant pursuant to the Plan is purely voluntary. The Participant may deny or withdraw the Participant’s consent at any time. If the Participant does not consent, or if the Participant later withdraws the Participant’s consent, the Participant may be unable to participate in the Plan. This would not affect the Participant’s existing employment or salary; instead, the Participant merely may forfeit the opportunities associated with the Plan. To withdraw the Participant’s consent to Personal Data Activities, the Participant should contact the Participant’s local human resources department.</w:t>
      </w:r>
    </w:p>
    <w:p>
      <w:pPr>
        <w:spacing w:after="0" w:line="202" w:lineRule="exact"/>
        <w:rPr>
          <w:rFonts w:ascii="Times New Roman" w:cs="Times New Roman" w:eastAsia="Times New Roman" w:hAnsi="Times New Roman"/>
          <w:sz w:val="21"/>
          <w:szCs w:val="21"/>
          <w:i w:val="1"/>
          <w:iCs w:val="1"/>
          <w:color w:val="auto"/>
        </w:rPr>
      </w:pPr>
    </w:p>
    <w:p>
      <w:pPr>
        <w:jc w:val="both"/>
        <w:ind w:left="760" w:firstLine="745"/>
        <w:spacing w:after="0" w:line="239" w:lineRule="auto"/>
        <w:tabs>
          <w:tab w:leader="none" w:pos="2048" w:val="left"/>
        </w:tabs>
        <w:numPr>
          <w:ilvl w:val="0"/>
          <w:numId w:val="59"/>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Data Subjects Rights</w:t>
      </w:r>
      <w:r>
        <w:rPr>
          <w:rFonts w:ascii="Times New Roman" w:cs="Times New Roman" w:eastAsia="Times New Roman" w:hAnsi="Times New Roman"/>
          <w:sz w:val="20"/>
          <w:szCs w:val="20"/>
          <w:b w:val="1"/>
          <w:bCs w:val="1"/>
          <w:i w:val="1"/>
          <w:iCs w:val="1"/>
          <w:color w:val="auto"/>
        </w:rPr>
        <w:t>. The Participant may have a number of rights under data privacy laws in the Participant’s country of residence (and country of employment, if different). For example, the Participant’s rights may include the right to (1) request access or copies of Personal Information the Company processes pursuant to the Agreement, (2) request rectification of incorrect Personal Information, (3) request deletion of Personal Information, (4) request restrictions on processing of Personal Information, (5) lodge complaints with competent authorities in the Participant’s country of residence (and country of employment, if different), and/or (6) request a list with the names and addresses of any potential recipients of the Participant’s Personal Information. To receive clarification regarding the Participant’s rights or to exercise the Participant’s rights, the Participant should contact the Participant’s local human resources department.</w:t>
      </w:r>
    </w:p>
    <w:p>
      <w:pPr>
        <w:spacing w:after="0" w:line="207" w:lineRule="exact"/>
        <w:rPr>
          <w:sz w:val="20"/>
          <w:szCs w:val="20"/>
          <w:color w:val="auto"/>
        </w:rPr>
      </w:pPr>
    </w:p>
    <w:p>
      <w:pPr>
        <w:ind w:right="60" w:firstLine="756"/>
        <w:spacing w:after="0" w:line="251" w:lineRule="auto"/>
        <w:tabs>
          <w:tab w:leader="none" w:pos="101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If the Participant resides or is employed in the European Union, European Economic Area, or the United Kingdom, the following provisions shall apply:</w:t>
      </w:r>
    </w:p>
    <w:p>
      <w:pPr>
        <w:spacing w:after="0" w:line="172"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The Company is located at 955 Perimeter Road, Manchester, New Hampshire 03103, United States of America and grants Stock Units under the Plan to employees of the Company and its subsidiaries in its sole discretion. In conjunction with the Company’s grant of the Stock Units under the Plan and its ongoing administration of such awards, the Company is providing the following information about its data collection, processing and transfer practices (“Personal Information Activities”). The Participant should review the following information about the Company’s Personal Information Activities.</w:t>
      </w:r>
    </w:p>
    <w:p>
      <w:pPr>
        <w:spacing w:after="0" w:line="195" w:lineRule="exact"/>
        <w:rPr>
          <w:sz w:val="20"/>
          <w:szCs w:val="20"/>
          <w:color w:val="auto"/>
        </w:rPr>
      </w:pPr>
    </w:p>
    <w:p>
      <w:pPr>
        <w:jc w:val="both"/>
        <w:ind w:left="760" w:firstLine="835"/>
        <w:spacing w:after="0" w:line="252" w:lineRule="auto"/>
        <w:tabs>
          <w:tab w:leader="none" w:pos="2048" w:val="left"/>
        </w:tabs>
        <w:numPr>
          <w:ilvl w:val="0"/>
          <w:numId w:val="6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19"/>
          <w:szCs w:val="19"/>
          <w:b w:val="1"/>
          <w:bCs w:val="1"/>
          <w:i w:val="1"/>
          <w:iCs w:val="1"/>
          <w:u w:val="single" w:color="auto"/>
          <w:color w:val="auto"/>
        </w:rPr>
        <w:t>Data Collection, Processing and Usage</w:t>
      </w:r>
      <w:r>
        <w:rPr>
          <w:rFonts w:ascii="Times New Roman" w:cs="Times New Roman" w:eastAsia="Times New Roman" w:hAnsi="Times New Roman"/>
          <w:sz w:val="19"/>
          <w:szCs w:val="19"/>
          <w:b w:val="1"/>
          <w:bCs w:val="1"/>
          <w:i w:val="1"/>
          <w:iCs w:val="1"/>
          <w:color w:val="auto"/>
        </w:rPr>
        <w:t>. Pursuant to applicable data protection laws, the Participant is hereby notified that the Company collects, processes, and uses certain personally identifiable information about the Participant; specifically, including the Participant’s name, home address, email address and telephone number, date of birth, social insurance/passport or other identification number (e.g., resident registration number), salary, citizenship, job title, any shares or directorships held in the Company, and details of all Stock Units or any other equity compensation awards granted, cancelled, exercised, vested, or outstanding in the Participant’s favor, which the Company receives from the Participant or the Employer (“Personal Information”). In granting the Stock Units under the Plan, the Company will collect the Participant’s Personal Information for purposes of allocating shares and implementing, administering and managing the Plan. The Company’s legal basis for collecting, processing and using the Participant’s Personal Information will be the Company’s legitimate interest of managing the Plan and generally administering employee equity awards, the Company’s necessity to execute its contractual obligations under the Agreement and to comply with its legal obligations. The Participant’s refusal to provide Personal Information may affect the Participant’s ability to participate in the Plan. As such, by participating in the Plan, the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19" w:name="page120"/>
    <w:bookmarkEnd w:id="119"/>
    <w:p>
      <w:pPr>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Participant voluntarily acknowledges the collection, processing and use, of the Participant’s Personal Information as described herein.</w:t>
      </w:r>
    </w:p>
    <w:p>
      <w:pPr>
        <w:spacing w:after="0" w:line="170" w:lineRule="exact"/>
        <w:rPr>
          <w:sz w:val="20"/>
          <w:szCs w:val="20"/>
          <w:color w:val="auto"/>
        </w:rPr>
      </w:pPr>
    </w:p>
    <w:p>
      <w:pPr>
        <w:jc w:val="both"/>
        <w:ind w:firstLine="835"/>
        <w:spacing w:after="0"/>
        <w:tabs>
          <w:tab w:leader="none" w:pos="1288" w:val="left"/>
        </w:tabs>
        <w:numPr>
          <w:ilvl w:val="0"/>
          <w:numId w:val="6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Stock Plan Service Provider</w:t>
      </w:r>
      <w:r>
        <w:rPr>
          <w:rFonts w:ascii="Times New Roman" w:cs="Times New Roman" w:eastAsia="Times New Roman" w:hAnsi="Times New Roman"/>
          <w:sz w:val="20"/>
          <w:szCs w:val="20"/>
          <w:b w:val="1"/>
          <w:bCs w:val="1"/>
          <w:i w:val="1"/>
          <w:iCs w:val="1"/>
          <w:color w:val="auto"/>
        </w:rPr>
        <w:t>. The Company transfers the Participant’s Personal Information to the Stock Plan Service Provider, an independent service provider based in the United States, which assists the Company with the implementation, administration and management of the Plan. In the future, the Company may select a different Stock Plan Service Provider and share the Participant’s Personal Information with another company that serves in a similar manner. The Stock Plan Service Provider will open an account for the Participant to receive and trade shares of Company Stock acquired under the Plan. The Participant will be asked to agree on separate terms and data processing practices with the Stock Plan Service Provider, which is a condition to the Participant’s ability to participate in the Plan.</w:t>
      </w:r>
    </w:p>
    <w:p>
      <w:pPr>
        <w:spacing w:after="0" w:line="197" w:lineRule="exact"/>
        <w:rPr>
          <w:rFonts w:ascii="Times New Roman" w:cs="Times New Roman" w:eastAsia="Times New Roman" w:hAnsi="Times New Roman"/>
          <w:sz w:val="21"/>
          <w:szCs w:val="21"/>
          <w:i w:val="1"/>
          <w:iCs w:val="1"/>
          <w:color w:val="auto"/>
        </w:rPr>
      </w:pPr>
    </w:p>
    <w:p>
      <w:pPr>
        <w:jc w:val="both"/>
        <w:ind w:firstLine="835"/>
        <w:spacing w:after="0" w:line="241" w:lineRule="auto"/>
        <w:tabs>
          <w:tab w:leader="none" w:pos="1288" w:val="left"/>
        </w:tabs>
        <w:numPr>
          <w:ilvl w:val="0"/>
          <w:numId w:val="6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International Data Transfers</w:t>
      </w:r>
      <w:r>
        <w:rPr>
          <w:rFonts w:ascii="Times New Roman" w:cs="Times New Roman" w:eastAsia="Times New Roman" w:hAnsi="Times New Roman"/>
          <w:sz w:val="20"/>
          <w:szCs w:val="20"/>
          <w:b w:val="1"/>
          <w:bCs w:val="1"/>
          <w:i w:val="1"/>
          <w:iCs w:val="1"/>
          <w:color w:val="auto"/>
        </w:rPr>
        <w:t>. The Company and the Stock Plan Service Provider are based in the United States. The Company can only meet its contractual obligations to the Participant if the Participant’s Personal Information is transferred to the United States. The Company’s legal basis for the transfer of the Participant’s Personal Information to the United States is to satisfy its contractual obligations under the terms of the Agreement and/or its use of the standard data protection clauses adopted by the European Commission.</w:t>
      </w:r>
    </w:p>
    <w:p>
      <w:pPr>
        <w:spacing w:after="0" w:line="197" w:lineRule="exact"/>
        <w:rPr>
          <w:rFonts w:ascii="Times New Roman" w:cs="Times New Roman" w:eastAsia="Times New Roman" w:hAnsi="Times New Roman"/>
          <w:sz w:val="21"/>
          <w:szCs w:val="21"/>
          <w:i w:val="1"/>
          <w:iCs w:val="1"/>
          <w:color w:val="auto"/>
        </w:rPr>
      </w:pPr>
    </w:p>
    <w:p>
      <w:pPr>
        <w:jc w:val="both"/>
        <w:ind w:firstLine="835"/>
        <w:spacing w:after="0" w:line="257" w:lineRule="auto"/>
        <w:tabs>
          <w:tab w:leader="none" w:pos="1288" w:val="left"/>
        </w:tabs>
        <w:numPr>
          <w:ilvl w:val="0"/>
          <w:numId w:val="6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19"/>
          <w:szCs w:val="19"/>
          <w:b w:val="1"/>
          <w:bCs w:val="1"/>
          <w:i w:val="1"/>
          <w:iCs w:val="1"/>
          <w:u w:val="single" w:color="auto"/>
          <w:color w:val="auto"/>
        </w:rPr>
        <w:t>Data Retention</w:t>
      </w:r>
      <w:r>
        <w:rPr>
          <w:rFonts w:ascii="Times New Roman" w:cs="Times New Roman" w:eastAsia="Times New Roman" w:hAnsi="Times New Roman"/>
          <w:sz w:val="19"/>
          <w:szCs w:val="19"/>
          <w:b w:val="1"/>
          <w:bCs w:val="1"/>
          <w:i w:val="1"/>
          <w:iCs w:val="1"/>
          <w:color w:val="auto"/>
        </w:rPr>
        <w:t>. The Company will use the Participant’s Personal Information only as long as is necessary to implement, administer and manage the Participant’s participation in the Plan or as required to comply with legal or regulatory obligations, including under tax and securities laws. When the Company no longer needs the Participant’s Personal Information, the Company will remove it from its systems. If the Company keeps the Participant’s Personal Information longer, it would be to satisfy legal or regulatory obligations and the Company’s legal basis would be for compliance with relevant laws or regulations.</w:t>
      </w:r>
    </w:p>
    <w:p>
      <w:pPr>
        <w:spacing w:after="0" w:line="182" w:lineRule="exact"/>
        <w:rPr>
          <w:rFonts w:ascii="Times New Roman" w:cs="Times New Roman" w:eastAsia="Times New Roman" w:hAnsi="Times New Roman"/>
          <w:sz w:val="20"/>
          <w:szCs w:val="20"/>
          <w:i w:val="1"/>
          <w:iCs w:val="1"/>
          <w:color w:val="auto"/>
        </w:rPr>
      </w:pPr>
    </w:p>
    <w:p>
      <w:pPr>
        <w:jc w:val="both"/>
        <w:ind w:firstLine="835"/>
        <w:spacing w:after="0" w:line="239" w:lineRule="auto"/>
        <w:tabs>
          <w:tab w:leader="none" w:pos="1288" w:val="left"/>
        </w:tabs>
        <w:numPr>
          <w:ilvl w:val="0"/>
          <w:numId w:val="6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Data Subjects Rights</w:t>
      </w:r>
      <w:r>
        <w:rPr>
          <w:rFonts w:ascii="Times New Roman" w:cs="Times New Roman" w:eastAsia="Times New Roman" w:hAnsi="Times New Roman"/>
          <w:sz w:val="20"/>
          <w:szCs w:val="20"/>
          <w:b w:val="1"/>
          <w:bCs w:val="1"/>
          <w:i w:val="1"/>
          <w:iCs w:val="1"/>
          <w:color w:val="auto"/>
        </w:rPr>
        <w:t>. The Participant may have a number of rights under data privacy laws in the Participant’s country of residence (and country of employment, if different). For example, the Participant’s rights may include the right to (1) request access or copies of Personal Information the Company processes pursuant to the Agreement, (2) request rectification of incorrect Personal Information, (3) request deletion of Personal Information, (4) request restrictions on processing of Personal Information, (5) lodge complaints with competent authorities in the Participant’s country of residence (and country of employment, if different), and/or (6) request a list with the names and addresses of any potential recipients of the Participant’s Personal Information. To receive clarification regarding the Participant’s rights or to exercise the Participant’s rights, the Participant should contact the Participant’s local human resources department.</w:t>
      </w:r>
    </w:p>
    <w:p>
      <w:pPr>
        <w:spacing w:after="0" w:line="19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480060</wp:posOffset>
            </wp:positionV>
            <wp:extent cx="71589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0"/>
          </w:cols>
          <w:pgMar w:left="1080" w:top="1396" w:right="339" w:bottom="1440" w:gutter="0" w:footer="0" w:header="0"/>
        </w:sectPr>
      </w:pPr>
    </w:p>
    <w:bookmarkStart w:id="120" w:name="page121"/>
    <w:bookmarkEnd w:id="120"/>
    <w:p>
      <w:pPr>
        <w:ind w:left="7180"/>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OMNIBUS INCENTIVE COMPENSATION PLAN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AGREEMENT</w:t>
      </w:r>
    </w:p>
    <w:p>
      <w:pPr>
        <w:spacing w:after="0" w:line="2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This Restricted Stock Unit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as of the Date of Grant set forth below between Allegro MicroSystems,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Participant named below. This Agreement is made pursuant to the Allegro MicroSystems, Inc. 2020 Omnibus Incentive Compensation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is subject in its entirety to all applicable provisions of the Plan. Notwithstanding the foregoing, except as specifically provided herein, to the extent the Participant is party to a severance agreement with the Company and this Agreement includes terms that conflict with the terms included in such severance agreement, the terms included in such severance agreement shall govern to the extent that such terms are permitted under the Plan and have been properly authorized in accordance with the Plan and applicable law. Capitalized terms used herein and not otherwise defined will have the meanings set forth in the Plan. For purposes of this Agreement, “</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means, to the extent the Participant is not employed by the Company, the subsidiary of the Company that employs the Participant, and “</w:t>
      </w:r>
      <w:r>
        <w:rPr>
          <w:rFonts w:ascii="Times New Roman" w:cs="Times New Roman" w:eastAsia="Times New Roman" w:hAnsi="Times New Roman"/>
          <w:sz w:val="20"/>
          <w:szCs w:val="20"/>
          <w:u w:val="single" w:color="auto"/>
          <w:color w:val="auto"/>
        </w:rPr>
        <w:t>Stock Plan Service Provider</w:t>
      </w:r>
      <w:r>
        <w:rPr>
          <w:rFonts w:ascii="Times New Roman" w:cs="Times New Roman" w:eastAsia="Times New Roman" w:hAnsi="Times New Roman"/>
          <w:sz w:val="20"/>
          <w:szCs w:val="20"/>
          <w:color w:val="auto"/>
        </w:rPr>
        <w:t>” means Fidelity Stock Plan Services, LLC or any successor service provider engaged by the Company to provide brokerage and administrative services for the Plan.</w:t>
      </w:r>
    </w:p>
    <w:tbl>
      <w:tblPr>
        <w:tblLayout w:type="fixed"/>
        <w:tblInd w:w="1820" w:type="dxa"/>
        <w:tblCellMar>
          <w:top w:w="0" w:type="dxa"/>
          <w:left w:w="0" w:type="dxa"/>
          <w:bottom w:w="0" w:type="dxa"/>
          <w:right w:w="0" w:type="dxa"/>
        </w:tblCellMar>
      </w:tblPr>
      <w:tr>
        <w:trPr>
          <w:trHeight w:val="193"/>
        </w:trPr>
        <w:tc>
          <w:tcPr>
            <w:tcW w:w="31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2300" w:type="dxa"/>
            <w:vAlign w:val="bottom"/>
            <w:gridSpan w:val="2"/>
          </w:tcPr>
          <w:p>
            <w:pPr>
              <w:spacing w:after="0" w:line="193" w:lineRule="exact"/>
              <w:rPr>
                <w:sz w:val="20"/>
                <w:szCs w:val="20"/>
                <w:color w:val="auto"/>
              </w:rPr>
            </w:pPr>
            <w:r>
              <w:rPr>
                <w:rFonts w:ascii="Times New Roman" w:cs="Times New Roman" w:eastAsia="Times New Roman" w:hAnsi="Times New Roman"/>
                <w:sz w:val="20"/>
                <w:szCs w:val="20"/>
                <w:b w:val="1"/>
                <w:bCs w:val="1"/>
                <w:color w:val="auto"/>
              </w:rPr>
              <w:t>Notice of Award</w:t>
            </w:r>
          </w:p>
        </w:tc>
        <w:tc>
          <w:tcPr>
            <w:tcW w:w="0" w:type="dxa"/>
            <w:vAlign w:val="bottom"/>
          </w:tcPr>
          <w:p>
            <w:pPr>
              <w:spacing w:after="0"/>
              <w:rPr>
                <w:sz w:val="1"/>
                <w:szCs w:val="1"/>
                <w:color w:val="auto"/>
              </w:rPr>
            </w:pPr>
          </w:p>
        </w:tc>
      </w:tr>
      <w:tr>
        <w:trPr>
          <w:trHeight w:val="20"/>
        </w:trPr>
        <w:tc>
          <w:tcPr>
            <w:tcW w:w="3120" w:type="dxa"/>
            <w:vAlign w:val="bottom"/>
            <w:vMerge w:val="continue"/>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120" w:type="dxa"/>
            <w:vAlign w:val="bottom"/>
            <w:vMerge w:val="continue"/>
          </w:tcPr>
          <w:p>
            <w:pPr>
              <w:spacing w:after="0"/>
              <w:rPr>
                <w:sz w:val="19"/>
                <w:szCs w:val="19"/>
                <w:color w:val="auto"/>
              </w:rPr>
            </w:pPr>
          </w:p>
        </w:tc>
        <w:tc>
          <w:tcPr>
            <w:tcW w:w="2300" w:type="dxa"/>
            <w:vAlign w:val="bottom"/>
            <w:gridSpan w:val="2"/>
          </w:tcPr>
          <w:p>
            <w:pPr>
              <w:ind w:left="800"/>
              <w:spacing w:after="0" w:line="221" w:lineRule="exact"/>
              <w:rPr>
                <w:sz w:val="20"/>
                <w:szCs w:val="20"/>
                <w:color w:val="auto"/>
              </w:rPr>
            </w:pPr>
            <w:r>
              <w:rPr>
                <w:rFonts w:ascii="Times New Roman" w:cs="Times New Roman" w:eastAsia="Times New Roman" w:hAnsi="Times New Roman"/>
                <w:sz w:val="20"/>
                <w:szCs w:val="20"/>
                <w:color w:val="auto"/>
                <w:w w:val="96"/>
              </w:rPr>
              <w:t>[Participant Name]</w:t>
            </w:r>
          </w:p>
        </w:tc>
        <w:tc>
          <w:tcPr>
            <w:tcW w:w="0" w:type="dxa"/>
            <w:vAlign w:val="bottom"/>
          </w:tcPr>
          <w:p>
            <w:pPr>
              <w:spacing w:after="0"/>
              <w:rPr>
                <w:sz w:val="1"/>
                <w:szCs w:val="1"/>
                <w:color w:val="auto"/>
              </w:rPr>
            </w:pPr>
          </w:p>
        </w:tc>
      </w:tr>
      <w:tr>
        <w:trPr>
          <w:trHeight w:val="227"/>
        </w:trPr>
        <w:tc>
          <w:tcPr>
            <w:tcW w:w="3120" w:type="dxa"/>
            <w:vAlign w:val="bottom"/>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Date of Grant:</w:t>
            </w:r>
          </w:p>
        </w:tc>
        <w:tc>
          <w:tcPr>
            <w:tcW w:w="2300" w:type="dxa"/>
            <w:vAlign w:val="bottom"/>
            <w:gridSpan w:val="2"/>
          </w:tcPr>
          <w:p>
            <w:pPr>
              <w:ind w:left="800"/>
              <w:spacing w:after="0" w:line="228" w:lineRule="exact"/>
              <w:rPr>
                <w:sz w:val="20"/>
                <w:szCs w:val="20"/>
                <w:color w:val="auto"/>
              </w:rPr>
            </w:pPr>
            <w:r>
              <w:rPr>
                <w:rFonts w:ascii="Times New Roman" w:cs="Times New Roman" w:eastAsia="Times New Roman" w:hAnsi="Times New Roman"/>
                <w:sz w:val="20"/>
                <w:szCs w:val="20"/>
                <w:color w:val="auto"/>
              </w:rPr>
              <w:t>[Grant Date]</w:t>
            </w:r>
          </w:p>
        </w:tc>
        <w:tc>
          <w:tcPr>
            <w:tcW w:w="0" w:type="dxa"/>
            <w:vAlign w:val="bottom"/>
          </w:tcPr>
          <w:p>
            <w:pPr>
              <w:spacing w:after="0"/>
              <w:rPr>
                <w:sz w:val="1"/>
                <w:szCs w:val="1"/>
                <w:color w:val="auto"/>
              </w:rPr>
            </w:pPr>
          </w:p>
        </w:tc>
      </w:tr>
      <w:tr>
        <w:trPr>
          <w:trHeight w:val="253"/>
        </w:trPr>
        <w:tc>
          <w:tcPr>
            <w:tcW w:w="31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 of Restricted Stock Units:</w:t>
            </w:r>
          </w:p>
        </w:tc>
        <w:tc>
          <w:tcPr>
            <w:tcW w:w="230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auto"/>
                <w:w w:val="96"/>
              </w:rPr>
              <w:t>[Quantity Granted]</w:t>
            </w:r>
          </w:p>
        </w:tc>
        <w:tc>
          <w:tcPr>
            <w:tcW w:w="0" w:type="dxa"/>
            <w:vAlign w:val="bottom"/>
          </w:tcPr>
          <w:p>
            <w:pPr>
              <w:spacing w:after="0"/>
              <w:rPr>
                <w:sz w:val="1"/>
                <w:szCs w:val="1"/>
                <w:color w:val="auto"/>
              </w:rPr>
            </w:pPr>
          </w:p>
        </w:tc>
      </w:tr>
    </w:tbl>
    <w:p>
      <w:pPr>
        <w:spacing w:after="0" w:line="237" w:lineRule="auto"/>
        <w:rPr>
          <w:sz w:val="20"/>
          <w:szCs w:val="20"/>
          <w:color w:val="auto"/>
        </w:rPr>
      </w:pPr>
      <w:r>
        <w:rPr>
          <w:rFonts w:ascii="Times New Roman" w:cs="Times New Roman" w:eastAsia="Times New Roman" w:hAnsi="Times New Roman"/>
          <w:sz w:val="20"/>
          <w:szCs w:val="20"/>
          <w:color w:val="auto"/>
        </w:rPr>
        <w:t>Vesting Schedule:</w:t>
      </w:r>
    </w:p>
    <w:p>
      <w:pPr>
        <w:ind w:left="2180"/>
        <w:spacing w:after="0"/>
        <w:tabs>
          <w:tab w:leader="none" w:pos="3640" w:val="left"/>
        </w:tabs>
        <w:rPr>
          <w:sz w:val="20"/>
          <w:szCs w:val="20"/>
          <w:color w:val="auto"/>
        </w:rPr>
      </w:pPr>
      <w:r>
        <w:rPr>
          <w:rFonts w:ascii="Times New Roman" w:cs="Times New Roman" w:eastAsia="Times New Roman" w:hAnsi="Times New Roman"/>
          <w:sz w:val="20"/>
          <w:szCs w:val="20"/>
          <w:b w:val="1"/>
          <w:bCs w:val="1"/>
          <w:color w:val="auto"/>
        </w:rPr>
        <w:t>Vesting Date</w:t>
      </w:r>
      <w:r>
        <w:rPr>
          <w:sz w:val="20"/>
          <w:szCs w:val="20"/>
          <w:color w:val="auto"/>
        </w:rPr>
        <w:tab/>
      </w:r>
      <w:r>
        <w:rPr>
          <w:rFonts w:ascii="Times New Roman" w:cs="Times New Roman" w:eastAsia="Times New Roman" w:hAnsi="Times New Roman"/>
          <w:sz w:val="19"/>
          <w:szCs w:val="19"/>
          <w:b w:val="1"/>
          <w:bCs w:val="1"/>
          <w:color w:val="auto"/>
        </w:rPr>
        <w:t>Portion of Stock Units Vesting</w:t>
      </w:r>
    </w:p>
    <w:p>
      <w:pPr>
        <w:ind w:left="2180"/>
        <w:spacing w:after="0"/>
        <w:tabs>
          <w:tab w:leader="none" w:pos="3640" w:val="left"/>
        </w:tabs>
        <w:rPr>
          <w:sz w:val="20"/>
          <w:szCs w:val="20"/>
          <w:color w:val="auto"/>
        </w:rPr>
      </w:pPr>
      <w:r>
        <w:rPr>
          <w:rFonts w:ascii="Times New Roman" w:cs="Times New Roman" w:eastAsia="Times New Roman" w:hAnsi="Times New Roman"/>
          <w:sz w:val="20"/>
          <w:szCs w:val="20"/>
          <w:color w:val="auto"/>
        </w:rPr>
        <w:t>[VestDate 1]</w:t>
      </w:r>
      <w:r>
        <w:rPr>
          <w:sz w:val="20"/>
          <w:szCs w:val="20"/>
          <w:color w:val="auto"/>
        </w:rPr>
        <w:tab/>
      </w:r>
      <w:r>
        <w:rPr>
          <w:rFonts w:ascii="Times New Roman" w:cs="Times New Roman" w:eastAsia="Times New Roman" w:hAnsi="Times New Roman"/>
          <w:sz w:val="19"/>
          <w:szCs w:val="19"/>
          <w:color w:val="auto"/>
        </w:rPr>
        <w:t>[Percentage]</w:t>
      </w:r>
    </w:p>
    <w:p>
      <w:pPr>
        <w:ind w:left="2180"/>
        <w:spacing w:after="0"/>
        <w:tabs>
          <w:tab w:leader="none" w:pos="3640" w:val="left"/>
        </w:tabs>
        <w:rPr>
          <w:sz w:val="20"/>
          <w:szCs w:val="20"/>
          <w:color w:val="auto"/>
        </w:rPr>
      </w:pPr>
      <w:r>
        <w:rPr>
          <w:rFonts w:ascii="Times New Roman" w:cs="Times New Roman" w:eastAsia="Times New Roman" w:hAnsi="Times New Roman"/>
          <w:sz w:val="20"/>
          <w:szCs w:val="20"/>
          <w:color w:val="auto"/>
        </w:rPr>
        <w:t>[VestDate 2]</w:t>
      </w:r>
      <w:r>
        <w:rPr>
          <w:sz w:val="20"/>
          <w:szCs w:val="20"/>
          <w:color w:val="auto"/>
        </w:rPr>
        <w:tab/>
      </w:r>
      <w:r>
        <w:rPr>
          <w:rFonts w:ascii="Times New Roman" w:cs="Times New Roman" w:eastAsia="Times New Roman" w:hAnsi="Times New Roman"/>
          <w:sz w:val="19"/>
          <w:szCs w:val="19"/>
          <w:color w:val="auto"/>
        </w:rPr>
        <w:t>[Percentage]</w:t>
      </w:r>
    </w:p>
    <w:p>
      <w:pPr>
        <w:ind w:left="2180"/>
        <w:spacing w:after="0"/>
        <w:tabs>
          <w:tab w:leader="none" w:pos="3640" w:val="left"/>
        </w:tabs>
        <w:rPr>
          <w:sz w:val="20"/>
          <w:szCs w:val="20"/>
          <w:color w:val="auto"/>
        </w:rPr>
      </w:pPr>
      <w:r>
        <w:rPr>
          <w:rFonts w:ascii="Times New Roman" w:cs="Times New Roman" w:eastAsia="Times New Roman" w:hAnsi="Times New Roman"/>
          <w:sz w:val="20"/>
          <w:szCs w:val="20"/>
          <w:color w:val="auto"/>
        </w:rPr>
        <w:t>[VestDate 3]</w:t>
      </w:r>
      <w:r>
        <w:rPr>
          <w:sz w:val="20"/>
          <w:szCs w:val="20"/>
          <w:color w:val="auto"/>
        </w:rPr>
        <w:tab/>
      </w:r>
      <w:r>
        <w:rPr>
          <w:rFonts w:ascii="Times New Roman" w:cs="Times New Roman" w:eastAsia="Times New Roman" w:hAnsi="Times New Roman"/>
          <w:sz w:val="19"/>
          <w:szCs w:val="19"/>
          <w:color w:val="auto"/>
        </w:rPr>
        <w:t>[Percentage]</w:t>
      </w:r>
    </w:p>
    <w:p>
      <w:pPr>
        <w:spacing w:after="0" w:line="237" w:lineRule="auto"/>
        <w:rPr>
          <w:sz w:val="20"/>
          <w:szCs w:val="20"/>
          <w:color w:val="auto"/>
        </w:rPr>
      </w:pPr>
      <w:r>
        <w:rPr>
          <w:rFonts w:ascii="Times New Roman" w:cs="Times New Roman" w:eastAsia="Times New Roman" w:hAnsi="Times New Roman"/>
          <w:sz w:val="20"/>
          <w:szCs w:val="20"/>
          <w:i w:val="1"/>
          <w:iCs w:val="1"/>
          <w:color w:val="auto"/>
        </w:rPr>
        <w:t>Except as otherwise provided in this Agreement, vesting is dependent on the Participant remaining employed by, or providing service to, the Company or a subsidiary through the applicable Vesting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Agreement includes this Notice of Award and the following Exhibits, which are expressly incorporated by reference in their entirety herein:</w:t>
      </w:r>
    </w:p>
    <w:p>
      <w:pPr>
        <w:spacing w:after="0" w:line="13" w:lineRule="exact"/>
        <w:rPr>
          <w:sz w:val="20"/>
          <w:szCs w:val="20"/>
          <w:color w:val="auto"/>
        </w:rPr>
      </w:pPr>
    </w:p>
    <w:p>
      <w:pPr>
        <w:ind w:left="1040" w:hanging="374"/>
        <w:spacing w:after="0"/>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 General Terms and Conditions</w:t>
      </w:r>
    </w:p>
    <w:p>
      <w:pPr>
        <w:spacing w:after="0" w:line="37" w:lineRule="exact"/>
        <w:rPr>
          <w:rFonts w:ascii="Times New Roman" w:cs="Times New Roman" w:eastAsia="Times New Roman" w:hAnsi="Times New Roman"/>
          <w:sz w:val="18"/>
          <w:szCs w:val="18"/>
          <w:color w:val="auto"/>
        </w:rPr>
      </w:pPr>
    </w:p>
    <w:p>
      <w:pPr>
        <w:ind w:left="1040" w:hanging="374"/>
        <w:spacing w:after="0"/>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 Country-Specific Terms</w:t>
      </w:r>
    </w:p>
    <w:p>
      <w:pPr>
        <w:spacing w:after="0" w:line="51" w:lineRule="exact"/>
        <w:rPr>
          <w:sz w:val="20"/>
          <w:szCs w:val="20"/>
          <w:color w:val="auto"/>
        </w:rPr>
      </w:pPr>
    </w:p>
    <w:p>
      <w:pPr>
        <w:ind w:left="1500" w:hanging="370"/>
        <w:spacing w:after="0"/>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 I – Restrictive Covenants</w:t>
      </w:r>
    </w:p>
    <w:p>
      <w:pPr>
        <w:spacing w:after="0" w:line="37" w:lineRule="exact"/>
        <w:rPr>
          <w:rFonts w:ascii="Times New Roman" w:cs="Times New Roman" w:eastAsia="Times New Roman" w:hAnsi="Times New Roman"/>
          <w:sz w:val="18"/>
          <w:szCs w:val="18"/>
          <w:color w:val="auto"/>
        </w:rPr>
      </w:pPr>
    </w:p>
    <w:p>
      <w:pPr>
        <w:ind w:left="1500" w:hanging="370"/>
        <w:spacing w:after="0"/>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 II – Country-Specific Terms, Conditions and Notices for Participants Outside the U.S.</w:t>
      </w:r>
    </w:p>
    <w:p>
      <w:pPr>
        <w:spacing w:after="0" w:line="3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9"/>
          <w:szCs w:val="19"/>
          <w:color w:val="auto"/>
        </w:rPr>
        <w:t>This Agreement shall be accepted by the Participant in accordance with the electronic acceptance procedures set forth on the signature page.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969645</wp:posOffset>
            </wp:positionV>
            <wp:extent cx="71589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21" w:name="page122"/>
    <w:bookmarkEnd w:id="121"/>
    <w:p>
      <w:pPr>
        <w:spacing w:after="0" w:line="39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Company has caused its duly authorized officer to execute this Agreement, and the Participant has executed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effective as of the Date of Grant.</w:t>
      </w:r>
    </w:p>
    <w:p>
      <w:pPr>
        <w:spacing w:after="0" w:line="16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color w:val="auto"/>
        </w:rPr>
        <w:t>ALLEGRO MICROSYSTEMS, INC.</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color w:val="auto"/>
        </w:rPr>
        <w:t>Name</w:t>
      </w:r>
    </w:p>
    <w:p>
      <w:pPr>
        <w:spacing w:after="0" w:line="3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Erin Hagen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Senior Vice President and Chief Human Resources Officer</w:t>
      </w:r>
    </w:p>
    <w:p>
      <w:pPr>
        <w:spacing w:after="0" w:line="211" w:lineRule="exact"/>
        <w:rPr>
          <w:sz w:val="20"/>
          <w:szCs w:val="20"/>
          <w:color w:val="auto"/>
        </w:rPr>
      </w:pPr>
    </w:p>
    <w:p>
      <w:pPr>
        <w:sectPr>
          <w:pgSz w:w="11900" w:h="16838" w:orient="portrait"/>
          <w:cols w:equalWidth="0" w:num="2">
            <w:col w:w="3380" w:space="320"/>
            <w:col w:w="7540"/>
          </w:cols>
          <w:pgMar w:left="320" w:top="1440" w:right="339" w:bottom="1440" w:gutter="0" w:footer="0" w:header="0"/>
          <w:type w:val="continuous"/>
        </w:sectPr>
      </w:pPr>
    </w:p>
    <w:p>
      <w:pPr>
        <w:spacing w:after="0" w:line="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ELECTRONIC ACCEPTANCE: </w:t>
      </w:r>
      <w:r>
        <w:rPr>
          <w:rFonts w:ascii="Times New Roman" w:cs="Times New Roman" w:eastAsia="Times New Roman" w:hAnsi="Times New Roman"/>
          <w:sz w:val="20"/>
          <w:szCs w:val="20"/>
          <w:color w:val="auto"/>
        </w:rPr>
        <w:t>By electronically accepting this Agreement via the Stock Plan Service Provider’s web portal at</w:t>
      </w:r>
      <w:r>
        <w:rPr>
          <w:rFonts w:ascii="Times New Roman" w:cs="Times New Roman" w:eastAsia="Times New Roman" w:hAnsi="Times New Roman"/>
          <w:sz w:val="20"/>
          <w:szCs w:val="20"/>
          <w:b w:val="1"/>
          <w:bCs w:val="1"/>
          <w:color w:val="auto"/>
        </w:rPr>
        <w:t xml:space="preserve"> www.netbenefits.fidelity.com </w:t>
      </w:r>
      <w:r>
        <w:rPr>
          <w:rFonts w:ascii="Times New Roman" w:cs="Times New Roman" w:eastAsia="Times New Roman" w:hAnsi="Times New Roman"/>
          <w:sz w:val="20"/>
          <w:szCs w:val="20"/>
          <w:color w:val="auto"/>
        </w:rPr>
        <w:t>and completing the electronic acceptance procedures reflected therein, the Participant hereby accepts the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Stock Units described in this Agreement, and the Participant expressly agrees to be bound by the terms and conditions of the Plan and this Agreement. Further, the Participant hereby expressly acknowledges and agrees that all decisions and determinations of the Committee with respect to the Stock Units shall be final, conclusive and binding upon the Participant.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0"/>
          <w:szCs w:val="20"/>
          <w:color w:val="FF0000"/>
        </w:rPr>
        <w:t>#AcceptanceDate#</w:t>
      </w:r>
      <w:r>
        <w:rPr>
          <w:sz w:val="20"/>
          <w:szCs w:val="20"/>
          <w:color w:val="auto"/>
        </w:rPr>
        <w:tab/>
      </w:r>
      <w:r>
        <w:rPr>
          <w:rFonts w:ascii="Times New Roman" w:cs="Times New Roman" w:eastAsia="Times New Roman" w:hAnsi="Times New Roman"/>
          <w:sz w:val="20"/>
          <w:szCs w:val="20"/>
          <w:color w:val="FF0000"/>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2489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3">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131445</wp:posOffset>
            </wp:positionV>
            <wp:extent cx="2489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4">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20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GENERAL TERMS AND CONDITIONS</w:t>
      </w:r>
    </w:p>
    <w:p>
      <w:pPr>
        <w:spacing w:after="0" w:line="225" w:lineRule="exact"/>
        <w:rPr>
          <w:sz w:val="20"/>
          <w:szCs w:val="20"/>
          <w:color w:val="auto"/>
        </w:rPr>
      </w:pPr>
    </w:p>
    <w:p>
      <w:pPr>
        <w:jc w:val="both"/>
        <w:ind w:firstLine="7"/>
        <w:spacing w:after="0" w:line="241" w:lineRule="auto"/>
        <w:tabs>
          <w:tab w:leader="none" w:pos="509"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Grant of Stock Units</w:t>
      </w:r>
      <w:r>
        <w:rPr>
          <w:rFonts w:ascii="Times New Roman" w:cs="Times New Roman" w:eastAsia="Times New Roman" w:hAnsi="Times New Roman"/>
          <w:sz w:val="20"/>
          <w:szCs w:val="20"/>
          <w:color w:val="auto"/>
        </w:rPr>
        <w:t xml:space="preserve">. Subject to the terms and conditions set forth in this Agreement and in the Plan, the Company hereby grants the Participant the number of restricted stock units set forth in the </w:t>
      </w:r>
      <w:r>
        <w:rPr>
          <w:rFonts w:ascii="Times New Roman" w:cs="Times New Roman" w:eastAsia="Times New Roman" w:hAnsi="Times New Roman"/>
          <w:sz w:val="20"/>
          <w:szCs w:val="20"/>
          <w:u w:val="single" w:color="auto"/>
          <w:color w:val="auto"/>
        </w:rPr>
        <w:t>Notice of Award</w:t>
      </w:r>
      <w:r>
        <w:rPr>
          <w:rFonts w:ascii="Times New Roman" w:cs="Times New Roman" w:eastAsia="Times New Roman" w:hAnsi="Times New Roman"/>
          <w:sz w:val="20"/>
          <w:szCs w:val="20"/>
          <w:color w:val="auto"/>
        </w:rPr>
        <w:t>, subject to the restrictions set forth below and in the Plan (the “</w:t>
      </w:r>
      <w:r>
        <w:rPr>
          <w:rFonts w:ascii="Times New Roman" w:cs="Times New Roman" w:eastAsia="Times New Roman" w:hAnsi="Times New Roman"/>
          <w:sz w:val="20"/>
          <w:szCs w:val="20"/>
          <w:u w:val="single" w:color="auto"/>
          <w:color w:val="auto"/>
        </w:rPr>
        <w:t>Stock Units</w:t>
      </w:r>
      <w:r>
        <w:rPr>
          <w:rFonts w:ascii="Times New Roman" w:cs="Times New Roman" w:eastAsia="Times New Roman" w:hAnsi="Times New Roman"/>
          <w:sz w:val="20"/>
          <w:szCs w:val="20"/>
          <w:color w:val="auto"/>
        </w:rPr>
        <w:t>”). Each Stock Unit represents the right of the Participant to receive a share of common stock of the Company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if and when the specified conditions are met in Section 4 below, and on the applicable payment date set forth in Section 7 below.</w:t>
      </w:r>
    </w:p>
    <w:p>
      <w:pPr>
        <w:spacing w:after="0" w:line="201" w:lineRule="exact"/>
        <w:rPr>
          <w:rFonts w:ascii="Times New Roman" w:cs="Times New Roman" w:eastAsia="Times New Roman" w:hAnsi="Times New Roman"/>
          <w:sz w:val="21"/>
          <w:szCs w:val="21"/>
          <w:color w:val="auto"/>
        </w:rPr>
      </w:pPr>
    </w:p>
    <w:p>
      <w:pPr>
        <w:jc w:val="both"/>
        <w:ind w:firstLine="7"/>
        <w:spacing w:after="0"/>
        <w:tabs>
          <w:tab w:leader="none" w:pos="509"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Stock Unit Account</w:t>
      </w:r>
      <w:r>
        <w:rPr>
          <w:rFonts w:ascii="Times New Roman" w:cs="Times New Roman" w:eastAsia="Times New Roman" w:hAnsi="Times New Roman"/>
          <w:sz w:val="20"/>
          <w:szCs w:val="20"/>
          <w:color w:val="auto"/>
        </w:rPr>
        <w:t>. Stock Units represent hypothetical shares of Company Stock, and not actual shares of stock. The Company shall establish and maintain a Stock Unit account, as a bookkeeping account on its records, for the Participant and shall record in such account the number of Stock Units granted to the Participant. No shares of Company Stock shall be issued to the Participant at the time the grant is made, and the Participant shall not be, and shall not have any of the rights or privileges of, a stockholder of the Company with respect to any Stock Units recorded in the Stock Unit account. The Participant shall not have any interest in any fund or specific assets of the Company by reason of this award or the Stock Unit account established for the Participant.</w:t>
      </w:r>
    </w:p>
    <w:p>
      <w:pPr>
        <w:spacing w:after="0" w:line="200" w:lineRule="exact"/>
        <w:rPr>
          <w:rFonts w:ascii="Times New Roman" w:cs="Times New Roman" w:eastAsia="Times New Roman" w:hAnsi="Times New Roman"/>
          <w:sz w:val="21"/>
          <w:szCs w:val="21"/>
          <w:color w:val="auto"/>
        </w:rPr>
      </w:pPr>
    </w:p>
    <w:p>
      <w:pPr>
        <w:ind w:left="520" w:hanging="513"/>
        <w:spacing w:after="0"/>
        <w:tabs>
          <w:tab w:leader="none" w:pos="52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Agreement, the following terms have the meaning set forth below:</w:t>
      </w:r>
    </w:p>
    <w:p>
      <w:pPr>
        <w:spacing w:after="0" w:line="213" w:lineRule="exact"/>
        <w:rPr>
          <w:rFonts w:ascii="Times New Roman" w:cs="Times New Roman" w:eastAsia="Times New Roman" w:hAnsi="Times New Roman"/>
          <w:sz w:val="21"/>
          <w:szCs w:val="21"/>
          <w:color w:val="auto"/>
        </w:rPr>
      </w:pPr>
    </w:p>
    <w:p>
      <w:pPr>
        <w:ind w:left="1020" w:hanging="264"/>
        <w:spacing w:after="0"/>
        <w:tabs>
          <w:tab w:leader="none" w:pos="1020"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shall have the meaning set forth in the Plan.</w:t>
      </w:r>
    </w:p>
    <w:p>
      <w:pPr>
        <w:spacing w:after="0" w:line="213" w:lineRule="exact"/>
        <w:rPr>
          <w:rFonts w:ascii="Times New Roman" w:cs="Times New Roman" w:eastAsia="Times New Roman" w:hAnsi="Times New Roman"/>
          <w:sz w:val="21"/>
          <w:szCs w:val="21"/>
          <w:color w:val="auto"/>
        </w:rPr>
      </w:pPr>
    </w:p>
    <w:p>
      <w:pPr>
        <w:jc w:val="both"/>
        <w:ind w:firstLine="756"/>
        <w:spacing w:after="0" w:line="238" w:lineRule="auto"/>
        <w:tabs>
          <w:tab w:leader="none" w:pos="1018"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means the occurrence of any of the following without the Participant’s prior written consent: (a) a material reduction in the Participant’s base salary paid or payable by the Company, the successor entity following a Change of Control event (the “</w:t>
      </w:r>
      <w:r>
        <w:rPr>
          <w:rFonts w:ascii="Times New Roman" w:cs="Times New Roman" w:eastAsia="Times New Roman" w:hAnsi="Times New Roman"/>
          <w:sz w:val="20"/>
          <w:szCs w:val="20"/>
          <w:u w:val="single" w:color="auto"/>
          <w:color w:val="auto"/>
        </w:rPr>
        <w:t>Acquiror</w:t>
      </w:r>
      <w:r>
        <w:rPr>
          <w:rFonts w:ascii="Times New Roman" w:cs="Times New Roman" w:eastAsia="Times New Roman" w:hAnsi="Times New Roman"/>
          <w:sz w:val="20"/>
          <w:szCs w:val="20"/>
          <w:color w:val="auto"/>
        </w:rPr>
        <w:t>”), and/or any of its subsidiaries (“</w:t>
      </w:r>
      <w:r>
        <w:rPr>
          <w:rFonts w:ascii="Times New Roman" w:cs="Times New Roman" w:eastAsia="Times New Roman" w:hAnsi="Times New Roman"/>
          <w:sz w:val="20"/>
          <w:szCs w:val="20"/>
          <w:u w:val="single" w:color="auto"/>
          <w:color w:val="auto"/>
        </w:rPr>
        <w:t>Good Reason Entity</w:t>
      </w:r>
      <w:r>
        <w:rPr>
          <w:rFonts w:ascii="Times New Roman" w:cs="Times New Roman" w:eastAsia="Times New Roman" w:hAnsi="Times New Roman"/>
          <w:sz w:val="20"/>
          <w:szCs w:val="20"/>
          <w:color w:val="auto"/>
        </w:rPr>
        <w:t>”); (b) a material diminution in the Participant’s authority, duties, responsibilities, or reporting relationship in connection with the Participant’s employment with a Good Reason Entity; or (c) the relocation of the Participant’s principal work location in connection with the Participant's employment by a Good Reason Entity to a facility or location more than seventy-five (75) miles from the Participant’s work location on the date of the Change of Control. Termination of employment for Good Reason shall not be deemed to occur unless the Participant provides written notice to the Good Reason Entity within sixty (60) days following the first occurrence of the event of Good Reason and the Good Reason Entity does not cure the event of Good Reason within thirty (30) days following receipt of the Participant’s written notice. Notwithstanding the foregoing, to the extent the Participant is party to a severance agreement with the Company and such severance agreement includes a definition of “Good Reason” that is different from the foregoing, in addition to the definition of “Good Reason” included in such severance agreement governing (pursuant to the Recitals herein), the associated “notice and cure” provision included in such severance agreement shall also apply to this Agreement; provided, however, that by executing this Agreement, the Participant hereby agrees that this Agreement hereby amends, supersedes and replaces the portion of the Good Reason provision of any severance agreement to which the Participant is a party that references relocation as a Good Reason trigger such that the respective severance agreement provision shall be amended to replace the existing relocation provision to provide that a relocation of more than seventy-five (75) miles shall constitute Good Reason, and the other provisions of such severance agreement as it relates to Good Reason shall continue to apply.</w:t>
      </w:r>
    </w:p>
    <w:p>
      <w:pPr>
        <w:spacing w:after="0" w:line="203" w:lineRule="exact"/>
        <w:rPr>
          <w:rFonts w:ascii="Times New Roman" w:cs="Times New Roman" w:eastAsia="Times New Roman" w:hAnsi="Times New Roman"/>
          <w:sz w:val="21"/>
          <w:szCs w:val="21"/>
          <w:color w:val="auto"/>
        </w:rPr>
      </w:pPr>
    </w:p>
    <w:p>
      <w:pPr>
        <w:ind w:firstLine="756"/>
        <w:spacing w:after="0" w:line="251" w:lineRule="auto"/>
        <w:tabs>
          <w:tab w:leader="none" w:pos="1018"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shall have the meaning set forth in the Plan; provided, however, that the Committee may adjust the age and/or years of service that constitutes a qualifying retirement for purposes of this Agreement.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123" w:name="page124"/>
    <w:bookmarkEnd w:id="123"/>
    <w:p>
      <w:pPr>
        <w:ind w:firstLine="756"/>
        <w:spacing w:after="0" w:line="251" w:lineRule="auto"/>
        <w:tabs>
          <w:tab w:leader="none" w:pos="1018"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Negotiated Deferred Voluntary Termination</w:t>
      </w:r>
      <w:r>
        <w:rPr>
          <w:rFonts w:ascii="Times New Roman" w:cs="Times New Roman" w:eastAsia="Times New Roman" w:hAnsi="Times New Roman"/>
          <w:sz w:val="20"/>
          <w:szCs w:val="20"/>
          <w:color w:val="auto"/>
        </w:rPr>
        <w:t>” shall mean a termination by the Participant in which the Participant agrees to continue the Participant's service with the Company beyond a reasonable notice period, at the request of the Company.</w:t>
      </w:r>
    </w:p>
    <w:p>
      <w:pPr>
        <w:spacing w:after="0" w:line="188" w:lineRule="exact"/>
        <w:rPr>
          <w:rFonts w:ascii="Times New Roman" w:cs="Times New Roman" w:eastAsia="Times New Roman" w:hAnsi="Times New Roman"/>
          <w:sz w:val="21"/>
          <w:szCs w:val="21"/>
          <w:color w:val="auto"/>
        </w:rPr>
      </w:pPr>
    </w:p>
    <w:p>
      <w:pPr>
        <w:ind w:left="520" w:hanging="513"/>
        <w:spacing w:after="0"/>
        <w:tabs>
          <w:tab w:leader="none" w:pos="52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w:t>
      </w:r>
    </w:p>
    <w:p>
      <w:pPr>
        <w:spacing w:after="0" w:line="213" w:lineRule="exact"/>
        <w:rPr>
          <w:rFonts w:ascii="Times New Roman" w:cs="Times New Roman" w:eastAsia="Times New Roman" w:hAnsi="Times New Roman"/>
          <w:sz w:val="21"/>
          <w:szCs w:val="21"/>
          <w:color w:val="auto"/>
        </w:rPr>
      </w:pPr>
    </w:p>
    <w:p>
      <w:pPr>
        <w:jc w:val="both"/>
        <w:ind w:firstLine="756"/>
        <w:spacing w:after="0" w:line="244" w:lineRule="auto"/>
        <w:tabs>
          <w:tab w:leader="none" w:pos="1018"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Except as provided in this Section 4 and Section 5, the Stock Units shall become vested according to the vesting schedule set forth in the Notice of Award (each,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provided that the Participant continues to be employed by, or provide service to, the Company or a subsidiary from the Date of Grant until the applicable Vesting Date.</w:t>
      </w:r>
    </w:p>
    <w:p>
      <w:pPr>
        <w:spacing w:after="0" w:line="196" w:lineRule="exact"/>
        <w:rPr>
          <w:rFonts w:ascii="Times New Roman" w:cs="Times New Roman" w:eastAsia="Times New Roman" w:hAnsi="Times New Roman"/>
          <w:sz w:val="21"/>
          <w:szCs w:val="21"/>
          <w:color w:val="auto"/>
        </w:rPr>
      </w:pPr>
    </w:p>
    <w:p>
      <w:pPr>
        <w:jc w:val="both"/>
        <w:ind w:firstLine="756"/>
        <w:spacing w:after="0" w:line="241" w:lineRule="auto"/>
        <w:tabs>
          <w:tab w:leader="none" w:pos="1081"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vesting of the Stock Units shall be cumulative, but shall not exceed 100% of the Stock Units. If the foregoing schedule would produce fractional Stock Units, the number of Stock Units that vest shall be rounded down to the nearest whole Stock Unit and the fractional Stock Units will be accumulated so that the resulting whole Stock Units will be included in the number of Stock Units that become vested on the last Vesting Date.</w:t>
      </w:r>
    </w:p>
    <w:p>
      <w:pPr>
        <w:spacing w:after="0" w:line="188" w:lineRule="exact"/>
        <w:rPr>
          <w:sz w:val="20"/>
          <w:szCs w:val="20"/>
          <w:color w:val="auto"/>
        </w:rPr>
      </w:pPr>
    </w:p>
    <w:p>
      <w:pPr>
        <w:jc w:val="both"/>
        <w:ind w:firstLine="1498"/>
        <w:spacing w:after="0"/>
        <w:rPr>
          <w:sz w:val="20"/>
          <w:szCs w:val="20"/>
          <w:color w:val="auto"/>
        </w:rPr>
      </w:pPr>
      <w:r>
        <w:rPr>
          <w:rFonts w:ascii="Times New Roman" w:cs="Times New Roman" w:eastAsia="Times New Roman" w:hAnsi="Times New Roman"/>
          <w:sz w:val="20"/>
          <w:szCs w:val="20"/>
          <w:color w:val="auto"/>
        </w:rPr>
        <w:t xml:space="preserve">Notwithstanding Section 4(a) above, contingent upon the Participant’s compliance with the covenants provided in the applicable restrictive covenants set forth in </w:t>
      </w:r>
      <w:r>
        <w:rPr>
          <w:rFonts w:ascii="Times New Roman" w:cs="Times New Roman" w:eastAsia="Times New Roman" w:hAnsi="Times New Roman"/>
          <w:sz w:val="20"/>
          <w:szCs w:val="20"/>
          <w:u w:val="single" w:color="auto"/>
          <w:color w:val="auto"/>
        </w:rPr>
        <w:t>Part 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upon the Participant’s termination of employment or service on account of the Participant’s (i) Disability, (ii) Retirement, (iii) death, (iv) involuntary termination by the Employer without Cause, or (v) Negotiated Deferred Voluntary Termination, the Participant shall be treated for vesting purposes as though the Participant remained employed or providing service to the Company or a subsidiary through the next subsequent Vesting Date following the Participant’s termination, meaning, upon termination detailed in (i) through (v) of this Section 4(b), the Participant shall vest in the Stock Units that would have otherwise become vested as of such next subsequent Vesting Date provided, however, the Company has the right to reduce or change the amount depending on the facts and circumstances. Notwithstanding the foregoing, any additional vesting upon termination on account of Retirement pursuant to this Section 4(b) shall be provided only to the extent such vesting does not result in a violation of any age discrimination or other applicable law. Thereafter, any remaining unvested Stock Units shall be forfeited immediately.</w:t>
      </w:r>
    </w:p>
    <w:p>
      <w:pPr>
        <w:spacing w:after="0" w:line="188" w:lineRule="exact"/>
        <w:rPr>
          <w:sz w:val="20"/>
          <w:szCs w:val="20"/>
          <w:color w:val="auto"/>
        </w:rPr>
      </w:pPr>
    </w:p>
    <w:p>
      <w:pPr>
        <w:jc w:val="both"/>
        <w:ind w:firstLine="1498"/>
        <w:spacing w:after="0" w:line="250" w:lineRule="auto"/>
        <w:rPr>
          <w:sz w:val="20"/>
          <w:szCs w:val="20"/>
          <w:color w:val="auto"/>
        </w:rPr>
      </w:pPr>
      <w:r>
        <w:rPr>
          <w:rFonts w:ascii="Times New Roman" w:cs="Times New Roman" w:eastAsia="Times New Roman" w:hAnsi="Times New Roman"/>
          <w:sz w:val="20"/>
          <w:szCs w:val="20"/>
          <w:color w:val="auto"/>
        </w:rPr>
        <w:t>For avoidance of doubt, if the Participant's termination of employment or service is on account of Retirement, the Participant must remain employed through the three (3) month notice period in order to receive the pro-rata acceleration detailed above. If the Participant does not remain employed during the three (3) month notice period, all unvested Stock Units shall immediately be forfeited.</w:t>
      </w:r>
    </w:p>
    <w:p>
      <w:pPr>
        <w:spacing w:after="0" w:line="191" w:lineRule="exact"/>
        <w:rPr>
          <w:sz w:val="20"/>
          <w:szCs w:val="20"/>
          <w:color w:val="auto"/>
        </w:rPr>
      </w:pPr>
    </w:p>
    <w:p>
      <w:pPr>
        <w:jc w:val="both"/>
        <w:ind w:firstLine="756"/>
        <w:spacing w:after="0" w:line="241" w:lineRule="auto"/>
        <w:tabs>
          <w:tab w:leader="none" w:pos="1018"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Except as otherwise provided in a written employment agreement or severance agreement which the Participant has entered into, in the event of a Change of Control before all of the Stock Units vest in accordance with Section 4(a) above, the Stock Units shall be treated as set forth in Section 5 below; provided, the Committee may take such actions with respect to the vesting of the Stock Units as it deems appropriate pursuant to the Plan.</w:t>
      </w:r>
    </w:p>
    <w:p>
      <w:pPr>
        <w:spacing w:after="0" w:line="18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For purposes of this Agreement, if the Participant is a local national of and employed in a country that is a member of the European Union, the grant of the Stock Units and the terms and conditions governing the Stock Units are intended to comply with the age discrimination provisions of the EU Equal Treatment Framework Directive, as implemented into local law (the “</w:t>
      </w:r>
      <w:r>
        <w:rPr>
          <w:rFonts w:ascii="Times New Roman" w:cs="Times New Roman" w:eastAsia="Times New Roman" w:hAnsi="Times New Roman"/>
          <w:sz w:val="20"/>
          <w:szCs w:val="20"/>
          <w:u w:val="single" w:color="auto"/>
          <w:color w:val="auto"/>
        </w:rPr>
        <w:t>Age Discrimination Rules</w:t>
      </w:r>
      <w:r>
        <w:rPr>
          <w:rFonts w:ascii="Times New Roman" w:cs="Times New Roman" w:eastAsia="Times New Roman" w:hAnsi="Times New Roman"/>
          <w:sz w:val="20"/>
          <w:szCs w:val="20"/>
          <w:color w:val="auto"/>
        </w:rPr>
        <w:t>”). To the extent a court or tribunal of competent jurisdiction determines that any provision of the Stock Units is invalid or unenforceable, in whole or in part, under the Age Discrimination Rules, the Company shall have the power and authority to revise or strike such provision to the minimum extent necessary to make it valid and enforceable to the full extent permitted under local law.</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24" w:name="page125"/>
    <w:bookmarkEnd w:id="124"/>
    <w:p>
      <w:pPr>
        <w:ind w:left="520" w:hanging="513"/>
        <w:spacing w:after="0"/>
        <w:tabs>
          <w:tab w:leader="none" w:pos="52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Vesting on a Change of Control</w:t>
      </w:r>
      <w:r>
        <w:rPr>
          <w:rFonts w:ascii="Times New Roman" w:cs="Times New Roman" w:eastAsia="Times New Roman" w:hAnsi="Times New Roman"/>
          <w:sz w:val="20"/>
          <w:szCs w:val="20"/>
          <w:color w:val="auto"/>
        </w:rPr>
        <w:t>.</w:t>
      </w:r>
    </w:p>
    <w:p>
      <w:pPr>
        <w:spacing w:after="0" w:line="213" w:lineRule="exact"/>
        <w:rPr>
          <w:rFonts w:ascii="Times New Roman" w:cs="Times New Roman" w:eastAsia="Times New Roman" w:hAnsi="Times New Roman"/>
          <w:sz w:val="21"/>
          <w:szCs w:val="21"/>
          <w:color w:val="auto"/>
        </w:rPr>
      </w:pPr>
    </w:p>
    <w:p>
      <w:pPr>
        <w:jc w:val="both"/>
        <w:ind w:firstLine="756"/>
        <w:spacing w:after="0" w:line="239" w:lineRule="auto"/>
        <w:tabs>
          <w:tab w:leader="none" w:pos="1018"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If, in the case of a merger, consolidation or acquisition of the Company that constitutes a Change of Control, the Participant continues to be employed by, or provide services to the Company, a subsidiary or Acquiror, upon closing of the Change of Control (the “</w:t>
      </w:r>
      <w:r>
        <w:rPr>
          <w:rFonts w:ascii="Times New Roman" w:cs="Times New Roman" w:eastAsia="Times New Roman" w:hAnsi="Times New Roman"/>
          <w:sz w:val="20"/>
          <w:szCs w:val="20"/>
          <w:u w:val="single" w:color="auto"/>
          <w:color w:val="auto"/>
        </w:rPr>
        <w:t>CoC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(i) if the Acquiror is a publicly traded entity, the Stock Units shall be converted to that number of Stock Units of the Acquiror that is reasonably determined by the Committee to be required to preclude an increase or decrease in the value of the Stock Units as of the CoC Closing Date, and (ii) if the Acquiror is not a publicly traded entity, the Stock Units shall be converted to that amount of cash equal to the value of the Stock Units; and the Stock Units or cash, as applicable, shall vest in accordance with the vesting schedule set forth in this Agreement and solely based on the passage of time, with the total number of Stock Units, or amount of cash, as applicable, vesting in accordance with Section 4(a) on each of the Vesting Dates or remaining Vesting Dates.</w:t>
      </w:r>
    </w:p>
    <w:p>
      <w:pPr>
        <w:spacing w:after="0" w:line="202" w:lineRule="exact"/>
        <w:rPr>
          <w:rFonts w:ascii="Times New Roman" w:cs="Times New Roman" w:eastAsia="Times New Roman" w:hAnsi="Times New Roman"/>
          <w:sz w:val="21"/>
          <w:szCs w:val="21"/>
          <w:color w:val="auto"/>
        </w:rPr>
      </w:pPr>
    </w:p>
    <w:p>
      <w:pPr>
        <w:jc w:val="both"/>
        <w:ind w:firstLine="756"/>
        <w:spacing w:after="0" w:line="241" w:lineRule="auto"/>
        <w:tabs>
          <w:tab w:leader="none" w:pos="1018"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If, within twenty-four (24) months following the CoC Closing Date, the Participant: (x) is terminated by the Company, a subsidiary or an Acquiror without Cause, or (y) terminates the Participant's employment for Good Reason, the converted Stock Units, or cash, as applicable shall vest as to 100% of the number of such Stock Units, or the total amount of cash, as applicable, on the date of such termination and shall be paid following termination of employment at the time set forth in Section 7.</w:t>
      </w:r>
    </w:p>
    <w:p>
      <w:pPr>
        <w:spacing w:after="0" w:line="201" w:lineRule="exact"/>
        <w:rPr>
          <w:rFonts w:ascii="Times New Roman" w:cs="Times New Roman" w:eastAsia="Times New Roman" w:hAnsi="Times New Roman"/>
          <w:sz w:val="21"/>
          <w:szCs w:val="21"/>
          <w:color w:val="auto"/>
        </w:rPr>
      </w:pPr>
    </w:p>
    <w:p>
      <w:pPr>
        <w:ind w:left="520" w:hanging="513"/>
        <w:spacing w:after="0"/>
        <w:tabs>
          <w:tab w:leader="none" w:pos="52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Termination of Stock Units</w:t>
      </w:r>
      <w:r>
        <w:rPr>
          <w:rFonts w:ascii="Times New Roman" w:cs="Times New Roman" w:eastAsia="Times New Roman" w:hAnsi="Times New Roman"/>
          <w:sz w:val="20"/>
          <w:szCs w:val="20"/>
          <w:color w:val="auto"/>
        </w:rPr>
        <w:t>.</w:t>
      </w:r>
    </w:p>
    <w:p>
      <w:pPr>
        <w:spacing w:after="0" w:line="213" w:lineRule="exact"/>
        <w:rPr>
          <w:rFonts w:ascii="Times New Roman" w:cs="Times New Roman" w:eastAsia="Times New Roman" w:hAnsi="Times New Roman"/>
          <w:sz w:val="21"/>
          <w:szCs w:val="21"/>
          <w:color w:val="auto"/>
        </w:rPr>
      </w:pPr>
    </w:p>
    <w:p>
      <w:pPr>
        <w:jc w:val="both"/>
        <w:ind w:firstLine="756"/>
        <w:spacing w:after="0" w:line="241" w:lineRule="auto"/>
        <w:tabs>
          <w:tab w:leader="none" w:pos="1018"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Except as set forth in this Agreement, if the Participant ceases to be employed by, or provide service to, the Company or a subsidiary for any reason before all of the Stock Units vest, any unvested Stock Units shall automatically terminate and shall be forfeited as of the date of the Participant’s termination of employment or service. No payment shall be made with respect to any unvested Stock Units that terminate as described in this Section 6.</w:t>
      </w:r>
    </w:p>
    <w:p>
      <w:pPr>
        <w:spacing w:after="0" w:line="201" w:lineRule="exact"/>
        <w:rPr>
          <w:rFonts w:ascii="Times New Roman" w:cs="Times New Roman" w:eastAsia="Times New Roman" w:hAnsi="Times New Roman"/>
          <w:sz w:val="21"/>
          <w:szCs w:val="21"/>
          <w:color w:val="auto"/>
        </w:rPr>
      </w:pPr>
    </w:p>
    <w:p>
      <w:pPr>
        <w:jc w:val="both"/>
        <w:ind w:firstLine="756"/>
        <w:spacing w:after="0" w:line="239" w:lineRule="auto"/>
        <w:tabs>
          <w:tab w:leader="none" w:pos="1018"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For purposes of this Agreement and notwithstanding anything to the contrary in the Plan, the Participant’s employment or service may, at the discretion of the Committee, be deemed to terminate on the date that the Participant ceases to actively be employed or provide services to the Company or a subsidiary and shall not be extended by any notice period mandated or implied under local law during which the Participant is not actually employed or providing services (e.g., garden leave or similar leave) or during or for which the Participant receives pay in lieu of notice or severance pay. The Company shall have the sole discretion to determine whether the Participant’s employment will be deemed to terminate when the Participant’s ceases to be actively employed as well as when the Participant is no longer in active employment or service for purposes of this Agreement, without reference to any other agreement, written or oral, including the Participant’s contract of employment.</w:t>
      </w:r>
    </w:p>
    <w:p>
      <w:pPr>
        <w:spacing w:after="0" w:line="202" w:lineRule="exact"/>
        <w:rPr>
          <w:rFonts w:ascii="Times New Roman" w:cs="Times New Roman" w:eastAsia="Times New Roman" w:hAnsi="Times New Roman"/>
          <w:sz w:val="21"/>
          <w:szCs w:val="21"/>
          <w:color w:val="auto"/>
        </w:rPr>
      </w:pPr>
    </w:p>
    <w:p>
      <w:pPr>
        <w:ind w:left="520" w:hanging="513"/>
        <w:spacing w:after="0"/>
        <w:tabs>
          <w:tab w:leader="none" w:pos="52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Payment of Stock Units and Tax/Purchase Price Withholding</w:t>
      </w:r>
      <w:r>
        <w:rPr>
          <w:rFonts w:ascii="Times New Roman" w:cs="Times New Roman" w:eastAsia="Times New Roman" w:hAnsi="Times New Roman"/>
          <w:sz w:val="20"/>
          <w:szCs w:val="20"/>
          <w:color w:val="auto"/>
        </w:rPr>
        <w:t>.</w:t>
      </w:r>
    </w:p>
    <w:p>
      <w:pPr>
        <w:spacing w:after="0" w:line="213" w:lineRule="exact"/>
        <w:rPr>
          <w:rFonts w:ascii="Times New Roman" w:cs="Times New Roman" w:eastAsia="Times New Roman" w:hAnsi="Times New Roman"/>
          <w:sz w:val="21"/>
          <w:szCs w:val="21"/>
          <w:color w:val="auto"/>
        </w:rPr>
      </w:pPr>
    </w:p>
    <w:p>
      <w:pPr>
        <w:jc w:val="both"/>
        <w:ind w:firstLine="756"/>
        <w:spacing w:after="0"/>
        <w:tabs>
          <w:tab w:leader="none" w:pos="1018"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Subject to Sections 7(b) through (g) and the country specific terms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and which is incorporated herein by reference, the issuance of Company Stock upon vesting of the Stock Units shall be made within thirty (30) days after the first to occur of (i) the Participant’s termination of employment or service on account of the Participant’s Disability, Retirement, death, involuntary termination by the Employer without Cause, or Negotiated Deferred Voluntary Termination (to the extent the Stock Units vest on one of the foregoing events); and (ii) the applicable Vesting Date.</w:t>
      </w:r>
    </w:p>
    <w:p>
      <w:pPr>
        <w:spacing w:after="0" w:line="202" w:lineRule="exact"/>
        <w:rPr>
          <w:rFonts w:ascii="Times New Roman" w:cs="Times New Roman" w:eastAsia="Times New Roman" w:hAnsi="Times New Roman"/>
          <w:sz w:val="21"/>
          <w:szCs w:val="21"/>
          <w:color w:val="auto"/>
        </w:rPr>
      </w:pPr>
    </w:p>
    <w:p>
      <w:pPr>
        <w:jc w:val="both"/>
        <w:ind w:firstLine="756"/>
        <w:spacing w:after="0" w:line="244" w:lineRule="auto"/>
        <w:tabs>
          <w:tab w:leader="none" w:pos="1018"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Participant acknowledges that, regardless of any action taken by the Company or, if different, the Employer, the ultimate liability for all income tax, social insurance, payroll tax, fringe benefits tax, payment on account or other tax-related items related to the Participant’s participation in the Plan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25" w:name="page126"/>
    <w:bookmarkEnd w:id="125"/>
    <w:p>
      <w:pPr>
        <w:jc w:val="both"/>
        <w:spacing w:after="0"/>
        <w:rPr>
          <w:sz w:val="20"/>
          <w:szCs w:val="20"/>
          <w:color w:val="auto"/>
        </w:rPr>
      </w:pPr>
      <w:r>
        <w:rPr>
          <w:rFonts w:ascii="Times New Roman" w:cs="Times New Roman" w:eastAsia="Times New Roman" w:hAnsi="Times New Roman"/>
          <w:sz w:val="20"/>
          <w:szCs w:val="20"/>
          <w:color w:val="auto"/>
        </w:rPr>
        <w:t>legally applicable or deemed applicable to the Participant (“</w:t>
      </w:r>
      <w:r>
        <w:rPr>
          <w:rFonts w:ascii="Times New Roman" w:cs="Times New Roman" w:eastAsia="Times New Roman" w:hAnsi="Times New Roman"/>
          <w:sz w:val="20"/>
          <w:szCs w:val="20"/>
          <w:u w:val="single" w:color="auto"/>
          <w:color w:val="auto"/>
        </w:rPr>
        <w:t>Tax-Related Items</w:t>
      </w:r>
      <w:r>
        <w:rPr>
          <w:rFonts w:ascii="Times New Roman" w:cs="Times New Roman" w:eastAsia="Times New Roman" w:hAnsi="Times New Roman"/>
          <w:sz w:val="20"/>
          <w:szCs w:val="20"/>
          <w:color w:val="auto"/>
        </w:rPr>
        <w:t>”) is and remains the Participant’s responsibility and may exceed the amount, if any, actually withheld by the Company or the Employer. The Participant further acknowledges that the Company and/or the Employer (i) make no representations or undertakings regarding the treatment of any Tax-Related Items in connection with any aspect of the Stock Units or the underlying shares of Company Stock, including, but not limited to, the grant, vesting or settlement of the Stock Units, the subsequent sale of shares of Company Stock acquired pursuant to such settlement and the receipt of any dividends; and (ii) do not commit to and are under no obligation to structure the terms of the grant or any aspect of the Stock Units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204" w:lineRule="exact"/>
        <w:rPr>
          <w:sz w:val="20"/>
          <w:szCs w:val="20"/>
          <w:color w:val="auto"/>
        </w:rPr>
      </w:pPr>
    </w:p>
    <w:p>
      <w:pPr>
        <w:jc w:val="both"/>
        <w:ind w:firstLine="756"/>
        <w:spacing w:after="0" w:line="251" w:lineRule="auto"/>
        <w:tabs>
          <w:tab w:leader="none" w:pos="101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Prior to any relevant taxable or tax withholding event, as applicable, the Participant agrees to make adequate arrangements satisfactory to the Company and/or the Employer to satisfy all Tax-Related Items. In this regard, the Participant authorizes the Company or its agent to satisfy the obligations with regard to all Tax-Related Items by withholding shares of Company Stock otherwise issuable upon vesting that have an aggregate Fair Market Value sufficient to pay the minimum Tax-Related Items required to be withheld (or an equivalent cash amount, where the Stock Units are settled in cash in the Company’s sole discretion) or such additional Tax-Related Items elected by the Participant. For purposes of the foregoing, no fractional shares of Company Stock will be withheld or issued pursuant to the grant of the Stock Units. In the event that such withholding in shares of Company Stock is problematic under applicable tax or securities law or has materially adverse accounting consequences, by accepting this Agreement, the Participant authorizes the Company or its respective agents to satisfy any applicable withholding obligations or rights with regard to all Tax-Related Items by (i) selling on the Participant’s behalf a whole number of shares from those shares of Company Stock issued to the Participant as the Company determines to be appropriate to generate cash proceeds sufficient to satisfy any applicable withholding obligations or rights for Tax-Related Items, (ii) withholding from the Participant’s wages or other cash compensation paid to the Participant by the Company and/or the Employer (iii) requiring the Participant to make cash payment in an amount equal to the withholding obligations or rights for Tax-Related Items or (iv) any other method of withholding determined by the Company and to the extent required by applicable law or the Plan, approved by the Committee.</w:t>
      </w:r>
    </w:p>
    <w:p>
      <w:pPr>
        <w:spacing w:after="0" w:line="199" w:lineRule="exact"/>
        <w:rPr>
          <w:rFonts w:ascii="Times New Roman" w:cs="Times New Roman" w:eastAsia="Times New Roman" w:hAnsi="Times New Roman"/>
          <w:sz w:val="20"/>
          <w:szCs w:val="20"/>
          <w:color w:val="auto"/>
        </w:rPr>
      </w:pPr>
    </w:p>
    <w:p>
      <w:pPr>
        <w:jc w:val="both"/>
        <w:ind w:firstLine="756"/>
        <w:spacing w:after="0" w:line="239" w:lineRule="auto"/>
        <w:tabs>
          <w:tab w:leader="none" w:pos="1018"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Company may withhold or account for Tax-Related Items by considering applicable minimum statutory withholding rates or other applicable withholding rates, including maximum withholding rates applicable in the Participant’s jurisdiction(s) or withholding rates greater than the applicable minimum statutory withholding rates as elected by the Participant. In the event of over-withholding, the Participant may receive a refund of any over-withheld amount in cash and (with no entitlement to the equivalent in shares of Company Stock) or if not refunded, the Participant may be able to seek a refund from the local tax authorities. In the event of under-withholding, the Participant may be required to pay any additional Tax-Related Items directly to the applicable tax authority or to the Company and/or the Employer. If any obligation for Tax-Related Items is satisfied by withholding in shares of Company Stock, for tax purposes, the Participant is deemed to have been issued the full number of shares of Company Stock subject to the vested Stock Units, notwithstanding that a number of the shares of Company Stock is held back solely for the purpose of paying certain of the Tax-Related Items.</w:t>
      </w:r>
    </w:p>
    <w:p>
      <w:pPr>
        <w:spacing w:after="0" w:line="200" w:lineRule="exact"/>
        <w:rPr>
          <w:rFonts w:ascii="Times New Roman" w:cs="Times New Roman" w:eastAsia="Times New Roman" w:hAnsi="Times New Roman"/>
          <w:sz w:val="21"/>
          <w:szCs w:val="21"/>
          <w:color w:val="auto"/>
        </w:rPr>
      </w:pPr>
    </w:p>
    <w:p>
      <w:pPr>
        <w:jc w:val="both"/>
        <w:ind w:firstLine="756"/>
        <w:spacing w:after="0" w:line="241" w:lineRule="auto"/>
        <w:tabs>
          <w:tab w:leader="none" w:pos="1018"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Participant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or cash in settlement of the Stock Units if the Participant fails to comply with the Participant’s obligations in connection with the Tax-Related Items.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26" w:name="page127"/>
    <w:bookmarkEnd w:id="126"/>
    <w:p>
      <w:pPr>
        <w:jc w:val="both"/>
        <w:ind w:firstLine="756"/>
        <w:spacing w:after="0" w:line="239" w:lineRule="auto"/>
        <w:tabs>
          <w:tab w:leader="none" w:pos="1018"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obligation of the Company to deliver Company Stock shall also be subject to the condition that if at any time the Board shall determine in its discretion that the listing, registration or qualification of the shares upon any securities exchange or under any state or federal or local law, or the consent or approval of any governmental regulatory body is necessary or desirable as a condition of, or in connection with, the issuance of shares, the shares may not be issued in whole or in part unless such listing, registration, qualification, consent or approval shall have been effected or obtained free of any conditions not acceptable to the Board. The issuance of shares, if any, to the Participant pursuant to this Agreement is subject to any applicable taxes and other laws or regulations of the United States or of any state, municipality or other country having jurisdiction thereof.</w:t>
      </w:r>
    </w:p>
    <w:p>
      <w:pPr>
        <w:spacing w:after="0" w:line="204" w:lineRule="exact"/>
        <w:rPr>
          <w:rFonts w:ascii="Times New Roman" w:cs="Times New Roman" w:eastAsia="Times New Roman" w:hAnsi="Times New Roman"/>
          <w:sz w:val="21"/>
          <w:szCs w:val="21"/>
          <w:color w:val="auto"/>
        </w:rPr>
      </w:pPr>
    </w:p>
    <w:p>
      <w:pPr>
        <w:jc w:val="both"/>
        <w:ind w:firstLine="756"/>
        <w:spacing w:after="0" w:line="239" w:lineRule="auto"/>
        <w:tabs>
          <w:tab w:leader="none" w:pos="1018"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Notwithstanding anything in the Agreement to the contrary, the Company may, in its sole discretion, settle all or a portion of any vested Stock Units in the form of a cash payment to the extent settlement in shares of Company Stock is prohibited under local laws, rules or regulations, would require the Participant, the Company or the Employer to obtain the approval of any governmental and/or regulatory body in the Participant’s country of residence (or country of employment, if different), or is administratively burdensome. Alternatively, the Company, in its sole discretion, may settle all or a portion of the vested Stock Units in the form of shares of Company Stock but require an immediate sale of such shares of Company Stock (in which case, the Participant expressly and explicitly authorizes the Company to issue sales instructions, on the Participant’s behalf, to any brokerage firm and/or third party administrator engaged by the Company to hold the Participant’s shares of Company Stock).</w:t>
      </w:r>
    </w:p>
    <w:p>
      <w:pPr>
        <w:spacing w:after="0" w:line="202" w:lineRule="exact"/>
        <w:rPr>
          <w:rFonts w:ascii="Times New Roman" w:cs="Times New Roman" w:eastAsia="Times New Roman" w:hAnsi="Times New Roman"/>
          <w:sz w:val="21"/>
          <w:szCs w:val="21"/>
          <w:color w:val="auto"/>
        </w:rPr>
      </w:pPr>
    </w:p>
    <w:p>
      <w:pPr>
        <w:jc w:val="both"/>
        <w:ind w:firstLine="7"/>
        <w:spacing w:after="0" w:line="239" w:lineRule="auto"/>
        <w:tabs>
          <w:tab w:leader="none" w:pos="509"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No Stockholder Rights; Dividend Equivalents</w:t>
      </w:r>
      <w:r>
        <w:rPr>
          <w:rFonts w:ascii="Times New Roman" w:cs="Times New Roman" w:eastAsia="Times New Roman" w:hAnsi="Times New Roman"/>
          <w:sz w:val="20"/>
          <w:szCs w:val="20"/>
          <w:color w:val="auto"/>
        </w:rPr>
        <w:t>. Neither the Participant, nor any person entitled to receive payment in the event of the Participant’s death, shall have any of the rights and privileges of a stockholder with respect to shares of Company Stock, including voting or dividend rights, until certificates for shares have been issued, or applicable book entry has been made, upon payment of Stock Units. The Participant acknowledges that no election under Section 83(b) of the Code is available with respect to Stock Units. Notwithstanding the foregoing, the Committee may grant to the Participant Dividend Equivalents on the shares underlying the Stock Units on the Date of Grant, or at any time prior to the Vesting Date, which shall be credited to the Stock Unit account for the Participant, will vest on the same schedule as the related Stock Units, and will be paid or distributed in accordance with this Agreement and the Plan.</w:t>
      </w:r>
    </w:p>
    <w:p>
      <w:pPr>
        <w:spacing w:after="0" w:line="204" w:lineRule="exact"/>
        <w:rPr>
          <w:rFonts w:ascii="Times New Roman" w:cs="Times New Roman" w:eastAsia="Times New Roman" w:hAnsi="Times New Roman"/>
          <w:sz w:val="21"/>
          <w:szCs w:val="21"/>
          <w:color w:val="auto"/>
        </w:rPr>
      </w:pPr>
    </w:p>
    <w:p>
      <w:pPr>
        <w:jc w:val="both"/>
        <w:ind w:firstLine="7"/>
        <w:spacing w:after="0" w:line="239" w:lineRule="auto"/>
        <w:tabs>
          <w:tab w:leader="none" w:pos="509"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Grant Subject to Plan Provisions</w:t>
      </w:r>
      <w:r>
        <w:rPr>
          <w:rFonts w:ascii="Times New Roman" w:cs="Times New Roman" w:eastAsia="Times New Roman" w:hAnsi="Times New Roman"/>
          <w:sz w:val="20"/>
          <w:szCs w:val="20"/>
          <w:color w:val="auto"/>
        </w:rPr>
        <w:t>. This grant is made pursuant to the Plan, the terms of which are incorporated herein by reference, and in all respects shall be interpreted in accordance with the Plan. The grant and payment of the Stock Units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Tax-Related Items, (b) the registration, qualification or listing of the shares of Company Stock, (c) changes in capitalization of the Company and (d) other requirements of applicable law. The Committee shall have the authority to interpret and construe the Stock Units pursuant to the terms of the Plan, and its decisions shall be conclusive as to any questions arising hereunder.</w:t>
      </w:r>
    </w:p>
    <w:p>
      <w:pPr>
        <w:spacing w:after="0" w:line="204" w:lineRule="exact"/>
        <w:rPr>
          <w:rFonts w:ascii="Times New Roman" w:cs="Times New Roman" w:eastAsia="Times New Roman" w:hAnsi="Times New Roman"/>
          <w:sz w:val="21"/>
          <w:szCs w:val="21"/>
          <w:color w:val="auto"/>
        </w:rPr>
      </w:pPr>
    </w:p>
    <w:p>
      <w:pPr>
        <w:jc w:val="both"/>
        <w:ind w:firstLine="7"/>
        <w:spacing w:after="0" w:line="241" w:lineRule="auto"/>
        <w:tabs>
          <w:tab w:leader="none" w:pos="509"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No Employment or Other Rights</w:t>
      </w:r>
      <w:r>
        <w:rPr>
          <w:rFonts w:ascii="Times New Roman" w:cs="Times New Roman" w:eastAsia="Times New Roman" w:hAnsi="Times New Roman"/>
          <w:sz w:val="20"/>
          <w:szCs w:val="20"/>
          <w:color w:val="auto"/>
        </w:rPr>
        <w:t>. The grant of the Stock Units shall not confer upon the Participant any right to be retained by or in the employ or service of any Employer and shall not interfere in any way with the right of any Employer to terminate the Participant’s employment or service at any time, subject to compliance with local law and the terms of any applicable employment agreement. The right of any Employer to terminate at will the Participant’s employment or service at any time for any reason is specifically reserved.</w:t>
      </w:r>
    </w:p>
    <w:p>
      <w:pPr>
        <w:spacing w:after="0" w:line="201" w:lineRule="exact"/>
        <w:rPr>
          <w:rFonts w:ascii="Times New Roman" w:cs="Times New Roman" w:eastAsia="Times New Roman" w:hAnsi="Times New Roman"/>
          <w:sz w:val="21"/>
          <w:szCs w:val="21"/>
          <w:color w:val="auto"/>
        </w:rPr>
      </w:pPr>
    </w:p>
    <w:p>
      <w:pPr>
        <w:ind w:firstLine="7"/>
        <w:spacing w:after="0" w:line="251" w:lineRule="auto"/>
        <w:tabs>
          <w:tab w:leader="none" w:pos="509"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No Entitlement or Claims for Compensation</w:t>
      </w:r>
      <w:r>
        <w:rPr>
          <w:rFonts w:ascii="Times New Roman" w:cs="Times New Roman" w:eastAsia="Times New Roman" w:hAnsi="Times New Roman"/>
          <w:sz w:val="20"/>
          <w:szCs w:val="20"/>
          <w:color w:val="auto"/>
        </w:rPr>
        <w:t>. In connection with the acceptance of the grant of Stock Units under this Agreement, the Participant acknowledges the following:</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27" w:name="page128"/>
    <w:bookmarkEnd w:id="127"/>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19"/>
          <w:szCs w:val="19"/>
          <w:color w:val="auto"/>
        </w:rPr>
        <w:t>The Plan is established voluntarily by the Company, it is discretionary in nature and it may be modified, amended, suspended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terminated by the Company at any time, to the extent permitted by the Plan.</w:t>
      </w:r>
    </w:p>
    <w:p>
      <w:pPr>
        <w:spacing w:after="0" w:line="167" w:lineRule="exact"/>
        <w:rPr>
          <w:sz w:val="20"/>
          <w:szCs w:val="20"/>
          <w:color w:val="auto"/>
        </w:rPr>
      </w:pPr>
    </w:p>
    <w:p>
      <w:pPr>
        <w:jc w:val="both"/>
        <w:ind w:firstLine="749"/>
        <w:spacing w:after="0" w:line="284" w:lineRule="auto"/>
        <w:rPr>
          <w:sz w:val="20"/>
          <w:szCs w:val="20"/>
          <w:color w:val="auto"/>
        </w:rPr>
      </w:pPr>
      <w:r>
        <w:rPr>
          <w:rFonts w:ascii="Times New Roman" w:cs="Times New Roman" w:eastAsia="Times New Roman" w:hAnsi="Times New Roman"/>
          <w:sz w:val="21"/>
          <w:szCs w:val="21"/>
          <w:color w:val="auto"/>
        </w:rPr>
        <w:t>(b)</w:t>
      </w:r>
      <w:r>
        <w:rPr>
          <w:rFonts w:ascii="Times New Roman" w:cs="Times New Roman" w:eastAsia="Times New Roman" w:hAnsi="Times New Roman"/>
          <w:sz w:val="19"/>
          <w:szCs w:val="19"/>
          <w:color w:val="auto"/>
        </w:rPr>
        <w:t>The grant of Stock Units is exceptional, voluntary and occasional and does not create any contractual or other right to receive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future grants of Stock Units, or benefits in lieu of Stock Units, even if Stock Units have been granted repeatedly in the past.</w:t>
      </w:r>
    </w:p>
    <w:p>
      <w:pPr>
        <w:spacing w:after="0" w:line="13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(c)</w:t>
      </w:r>
      <w:r>
        <w:rPr>
          <w:rFonts w:ascii="Times New Roman" w:cs="Times New Roman" w:eastAsia="Times New Roman" w:hAnsi="Times New Roman"/>
          <w:sz w:val="19"/>
          <w:szCs w:val="19"/>
          <w:color w:val="auto"/>
        </w:rPr>
        <w:t>The Plan is operated and the Stock Units are granted exclusively by the Company, and only the Company is a party to this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Agreement; accordingly, any rights the Participant may have under this Agreement may be raised only against the Company but not any subsidiary or affiliate of the Company (including, but not limited to, the Employer).</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(d)</w:t>
      </w:r>
      <w:r>
        <w:rPr>
          <w:rFonts w:ascii="Times New Roman" w:cs="Times New Roman" w:eastAsia="Times New Roman" w:hAnsi="Times New Roman"/>
          <w:sz w:val="19"/>
          <w:szCs w:val="19"/>
          <w:color w:val="auto"/>
        </w:rPr>
        <w:t>All decisions with respect to future grants of Stock Units, if any, will be at the sole discretion of the Committee.</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(e)</w:t>
      </w:r>
      <w:r>
        <w:rPr>
          <w:rFonts w:ascii="Times New Roman" w:cs="Times New Roman" w:eastAsia="Times New Roman" w:hAnsi="Times New Roman"/>
          <w:sz w:val="19"/>
          <w:szCs w:val="19"/>
          <w:color w:val="auto"/>
        </w:rPr>
        <w:t>The Participant is voluntarily participating in the Plan.</w:t>
      </w:r>
    </w:p>
    <w:p>
      <w:pPr>
        <w:spacing w:after="0" w:line="197"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1"/>
          <w:szCs w:val="21"/>
          <w:color w:val="auto"/>
        </w:rPr>
        <w:t>(f)</w:t>
      </w:r>
      <w:r>
        <w:rPr>
          <w:rFonts w:ascii="Times New Roman" w:cs="Times New Roman" w:eastAsia="Times New Roman" w:hAnsi="Times New Roman"/>
          <w:sz w:val="19"/>
          <w:szCs w:val="19"/>
          <w:color w:val="auto"/>
        </w:rPr>
        <w:t>This grant of Stock Units and any Company Stock acquired under the Plan in connection with the Stock Units are extraordinary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items that do not constitute compensation of any kind for services of any kind rendered to the Company, Employer or any affiliate and which are outside the scope of the Participant’s employment contract, if any.</w:t>
      </w:r>
    </w:p>
    <w:p>
      <w:pPr>
        <w:spacing w:after="0" w:line="16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(g)</w:t>
      </w:r>
      <w:r>
        <w:rPr>
          <w:rFonts w:ascii="Times New Roman" w:cs="Times New Roman" w:eastAsia="Times New Roman" w:hAnsi="Times New Roman"/>
          <w:sz w:val="19"/>
          <w:szCs w:val="19"/>
          <w:color w:val="auto"/>
        </w:rPr>
        <w:t>This grant of Stock Units and any Company Stock acquired under the Plan and their value are not to be considered part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Participant’s normal or expected compensation or salary for any purpose, including, but not limited to, calculating any severance, resignation, termination, redundancy, dismissal, end-of-service payments, bonuses, holiday pay, long-service awards, pension or retirement or welfare benefits or similar payments.</w:t>
      </w:r>
    </w:p>
    <w:p>
      <w:pPr>
        <w:spacing w:after="0" w:line="17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(h)</w:t>
      </w:r>
      <w:r>
        <w:rPr>
          <w:rFonts w:ascii="Times New Roman" w:cs="Times New Roman" w:eastAsia="Times New Roman" w:hAnsi="Times New Roman"/>
          <w:sz w:val="19"/>
          <w:szCs w:val="19"/>
          <w:color w:val="auto"/>
        </w:rPr>
        <w:t>This grant of Stock Units and any Company Stock acquired under the Plan in connection with the Stock Units are not intended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replace any pension rights or compensation.</w:t>
      </w:r>
    </w:p>
    <w:p>
      <w:pPr>
        <w:spacing w:after="0" w:line="167"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1"/>
          <w:szCs w:val="21"/>
          <w:color w:val="auto"/>
        </w:rPr>
        <w:t>(i)</w:t>
      </w:r>
      <w:r>
        <w:rPr>
          <w:rFonts w:ascii="Times New Roman" w:cs="Times New Roman" w:eastAsia="Times New Roman" w:hAnsi="Times New Roman"/>
          <w:sz w:val="19"/>
          <w:szCs w:val="19"/>
          <w:color w:val="auto"/>
        </w:rPr>
        <w:t>Unless otherwise agreed with the Company in writing, the Stock Units and the shares of Company Stock subject to the Stock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Units, and the income from and value of same, are not granted as consideration for, or in connection with, the service the Participant may provide as a director of a subsidiary of the Company.</w:t>
      </w:r>
    </w:p>
    <w:p>
      <w:pPr>
        <w:spacing w:after="0" w:line="160"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(j)</w:t>
      </w:r>
      <w:r>
        <w:rPr>
          <w:rFonts w:ascii="Times New Roman" w:cs="Times New Roman" w:eastAsia="Times New Roman" w:hAnsi="Times New Roman"/>
          <w:sz w:val="19"/>
          <w:szCs w:val="19"/>
          <w:color w:val="auto"/>
        </w:rPr>
        <w:t>The future value of shares of Company Stock is unknown and cannot be predicted with certainty. If the Participant vests in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Stock Units and receives shares of Company Stock, the value of the acquired shares may increase or decrease. The Participant acknowledges and agrees that neither the Employer nor any affiliate shall be liable for any foreign exchange rate fluctuation between the Participant’s local currency and the United States Dollar that may affect the value of the Stock Units or of any amounts received by the Participant pursuant to the Stock Units or the subsequent sale of any Company Stock acquired in connection with the Stock Units.</w:t>
      </w:r>
    </w:p>
    <w:p>
      <w:pPr>
        <w:spacing w:after="0" w:line="170"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(k)</w:t>
      </w:r>
      <w:r>
        <w:rPr>
          <w:rFonts w:ascii="Times New Roman" w:cs="Times New Roman" w:eastAsia="Times New Roman" w:hAnsi="Times New Roman"/>
          <w:sz w:val="19"/>
          <w:szCs w:val="19"/>
          <w:color w:val="auto"/>
        </w:rPr>
        <w:t>The Participant shall have no claim or entitlement to compensation or damages that shall arise from (i) forfeiture of the Stock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Units resulting from the termination of the Participant’s employment (for any reason whatsoever, whether or not later found to be invalid or in breach of employment laws in the jurisdiction where the Participant is employed or the terms of the Participant’s employment agreement, if any) and/or (ii) forfeiture of the Stock Units or recoupment of any shares of Company Stock, cash or other benefits acquired pursuant to the Stock Units resulting from the application of any Policy (as defined</w:t>
      </w:r>
    </w:p>
    <w:p>
      <w:pPr>
        <w:spacing w:after="0" w:line="200" w:lineRule="exact"/>
        <w:rPr>
          <w:sz w:val="20"/>
          <w:szCs w:val="20"/>
          <w:color w:val="auto"/>
        </w:rPr>
      </w:pPr>
    </w:p>
    <w:p>
      <w:pPr>
        <w:spacing w:after="0" w:line="29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480060</wp:posOffset>
            </wp:positionV>
            <wp:extent cx="71589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420" w:top="1396" w:right="339" w:bottom="1440" w:gutter="0" w:footer="0" w:header="0"/>
        </w:sectPr>
      </w:pPr>
    </w:p>
    <w:bookmarkStart w:id="128" w:name="page129"/>
    <w:bookmarkEnd w:id="128"/>
    <w:p>
      <w:pPr>
        <w:jc w:val="both"/>
        <w:ind w:left="100" w:right="20"/>
        <w:spacing w:after="0" w:line="263" w:lineRule="auto"/>
        <w:rPr>
          <w:sz w:val="20"/>
          <w:szCs w:val="20"/>
          <w:color w:val="auto"/>
        </w:rPr>
      </w:pPr>
      <w:r>
        <w:rPr>
          <w:rFonts w:ascii="Times New Roman" w:cs="Times New Roman" w:eastAsia="Times New Roman" w:hAnsi="Times New Roman"/>
          <w:sz w:val="20"/>
          <w:szCs w:val="20"/>
          <w:color w:val="auto"/>
        </w:rPr>
        <w:t>below) of the Company, as it may be amended from time to time (whether such policy is adopted on or after the date of this Agreement) or any recoupment otherwise required by applicable laws, regulations or stock exchange listing standards.</w:t>
      </w:r>
    </w:p>
    <w:p>
      <w:pPr>
        <w:spacing w:after="0" w:line="160" w:lineRule="exact"/>
        <w:rPr>
          <w:sz w:val="20"/>
          <w:szCs w:val="20"/>
          <w:color w:val="auto"/>
        </w:rPr>
      </w:pPr>
    </w:p>
    <w:p>
      <w:pPr>
        <w:jc w:val="both"/>
        <w:ind w:left="100" w:firstLine="749"/>
        <w:spacing w:after="0" w:line="265" w:lineRule="auto"/>
        <w:rPr>
          <w:sz w:val="20"/>
          <w:szCs w:val="20"/>
          <w:color w:val="auto"/>
        </w:rPr>
      </w:pPr>
      <w:r>
        <w:rPr>
          <w:rFonts w:ascii="Times New Roman" w:cs="Times New Roman" w:eastAsia="Times New Roman" w:hAnsi="Times New Roman"/>
          <w:sz w:val="21"/>
          <w:szCs w:val="21"/>
          <w:color w:val="auto"/>
        </w:rPr>
        <w:t>(l)</w:t>
      </w:r>
      <w:r>
        <w:rPr>
          <w:rFonts w:ascii="Times New Roman" w:cs="Times New Roman" w:eastAsia="Times New Roman" w:hAnsi="Times New Roman"/>
          <w:sz w:val="19"/>
          <w:szCs w:val="19"/>
          <w:color w:val="auto"/>
        </w:rPr>
        <w:t>The award is separate from and does not form part of the Participant’s contract of employment or service. Upon termination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Participant’s employment or service for any reason, including wrongful or unfair dismissal, the Participant shall have no right to claim compensation or damages for the termination and forfeiture of Stock Units or the loss of any prospective benefit under the award.</w:t>
      </w:r>
    </w:p>
    <w:p>
      <w:pPr>
        <w:spacing w:after="0" w:line="178" w:lineRule="exact"/>
        <w:rPr>
          <w:sz w:val="20"/>
          <w:szCs w:val="20"/>
          <w:color w:val="auto"/>
        </w:rPr>
      </w:pPr>
    </w:p>
    <w:p>
      <w:pPr>
        <w:jc w:val="both"/>
        <w:ind w:firstLine="7"/>
        <w:spacing w:after="0" w:line="239" w:lineRule="auto"/>
        <w:tabs>
          <w:tab w:leader="none" w:pos="509"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Assignment and Transfers</w:t>
      </w:r>
      <w:r>
        <w:rPr>
          <w:rFonts w:ascii="Times New Roman" w:cs="Times New Roman" w:eastAsia="Times New Roman" w:hAnsi="Times New Roman"/>
          <w:sz w:val="20"/>
          <w:szCs w:val="20"/>
          <w:color w:val="auto"/>
        </w:rPr>
        <w:t>. Except as permitted under the Plan or as the Committee may otherwise permit pursuant to the Plan, the rights and interests of the Participant under this Agreement may not be sold, assigned, encumbered or otherwise transferred except, (i) in the event of the death of the Participant, by will or by the laws of descent and distribution, or (ii) pursuant to a domestic relations order. In the event of any attempt by the Participant to alienate, assign, pledge, hypothecate, or otherwise dispose of the Stock Units or any right hereunder, except as provided for in this Agreement, or in the event of the levy or any attachment, execution or similar process upon the rights or interests hereby conferred, the Company may terminate the Stock Units by notice to the Participant, and the Stock Units and all rights hereunder shall thereupon become null and void. The rights and protections of the Company hereunder shall extend to any successors or assigns of the Company and to the Company’s parents, subsidiaries, and affiliates.</w:t>
      </w:r>
    </w:p>
    <w:p>
      <w:pPr>
        <w:spacing w:after="0" w:line="202" w:lineRule="exact"/>
        <w:rPr>
          <w:rFonts w:ascii="Times New Roman" w:cs="Times New Roman" w:eastAsia="Times New Roman" w:hAnsi="Times New Roman"/>
          <w:sz w:val="21"/>
          <w:szCs w:val="21"/>
          <w:color w:val="auto"/>
        </w:rPr>
      </w:pPr>
    </w:p>
    <w:p>
      <w:pPr>
        <w:jc w:val="both"/>
        <w:ind w:firstLine="7"/>
        <w:spacing w:after="0" w:line="239" w:lineRule="auto"/>
        <w:tabs>
          <w:tab w:leader="none" w:pos="509"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Applicable Law; Jurisdiction</w:t>
      </w:r>
      <w:r>
        <w:rPr>
          <w:rFonts w:ascii="Times New Roman" w:cs="Times New Roman" w:eastAsia="Times New Roman" w:hAnsi="Times New Roman"/>
          <w:sz w:val="20"/>
          <w:szCs w:val="20"/>
          <w:color w:val="auto"/>
        </w:rPr>
        <w:t>. The validity, construction, interpretation and effect of this Agreement shall be governed by and construed in accordance with the laws of the State of Delaware, without giving effect to the conflicts of laws provisions thereof. Any action arising out of, or relating to, any of the provisions of this Agreement shall be brought only in the United States District Court for the District of New Hampshire, or if such court does not have jurisdiction or will not accept jurisdiction, in any court of general jurisdiction in Manchester, New Hampshire, and the jurisdiction of such court in any such proceeding shall be exclusive. Notwithstanding the foregoing sentence, on and after the date the Participant receives shares of Company Stock hereunder, the Participant will be subject to the jurisdiction provision set forth in the Company’s bylaws.</w:t>
      </w:r>
    </w:p>
    <w:p>
      <w:pPr>
        <w:spacing w:after="0" w:line="204" w:lineRule="exact"/>
        <w:rPr>
          <w:rFonts w:ascii="Times New Roman" w:cs="Times New Roman" w:eastAsia="Times New Roman" w:hAnsi="Times New Roman"/>
          <w:sz w:val="21"/>
          <w:szCs w:val="21"/>
          <w:color w:val="auto"/>
        </w:rPr>
      </w:pPr>
    </w:p>
    <w:p>
      <w:pPr>
        <w:jc w:val="both"/>
        <w:ind w:firstLine="7"/>
        <w:spacing w:after="0"/>
        <w:tabs>
          <w:tab w:leader="none" w:pos="509"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Any notice to the Company provided for in this instrument shall be addressed to the Company in care of the General Counsel at the corporate headquarters of the Company, and any notice to the Participant shall be addressed to such Participant at the current address shown on the payroll records of the Employer.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w:t>
      </w:r>
    </w:p>
    <w:p>
      <w:pPr>
        <w:spacing w:after="0" w:line="202" w:lineRule="exact"/>
        <w:rPr>
          <w:rFonts w:ascii="Times New Roman" w:cs="Times New Roman" w:eastAsia="Times New Roman" w:hAnsi="Times New Roman"/>
          <w:sz w:val="21"/>
          <w:szCs w:val="21"/>
          <w:color w:val="auto"/>
        </w:rPr>
      </w:pPr>
    </w:p>
    <w:p>
      <w:pPr>
        <w:jc w:val="both"/>
        <w:ind w:firstLine="7"/>
        <w:spacing w:after="0" w:line="253" w:lineRule="auto"/>
        <w:tabs>
          <w:tab w:leader="none" w:pos="50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u w:val="single" w:color="auto"/>
          <w:color w:val="auto"/>
        </w:rPr>
        <w:t>Recoupment Policy</w:t>
      </w:r>
      <w:r>
        <w:rPr>
          <w:rFonts w:ascii="Times New Roman" w:cs="Times New Roman" w:eastAsia="Times New Roman" w:hAnsi="Times New Roman"/>
          <w:sz w:val="19"/>
          <w:szCs w:val="19"/>
          <w:color w:val="auto"/>
        </w:rPr>
        <w:t>. In addition to this Agreement and subject to Section 19(h) of the Plan, the Stock Units and any shares of Company Stock issued to the Participant pursuant to the Stock Units shall be subject to and remain subject to any incentive compensation clawback or recoupment policy of the Company currently in effect (including, without limitation, the Allegro MicroSystems, Inc. Policy for Recovery of Erroneously Awarded Compensation) or as may be amended from time to time (the “</w:t>
      </w:r>
      <w:r>
        <w:rPr>
          <w:rFonts w:ascii="Times New Roman" w:cs="Times New Roman" w:eastAsia="Times New Roman" w:hAnsi="Times New Roman"/>
          <w:sz w:val="19"/>
          <w:szCs w:val="19"/>
          <w:u w:val="single" w:color="auto"/>
          <w:color w:val="auto"/>
        </w:rPr>
        <w:t>Policy</w:t>
      </w:r>
      <w:r>
        <w:rPr>
          <w:rFonts w:ascii="Times New Roman" w:cs="Times New Roman" w:eastAsia="Times New Roman" w:hAnsi="Times New Roman"/>
          <w:sz w:val="19"/>
          <w:szCs w:val="19"/>
          <w:color w:val="auto"/>
        </w:rPr>
        <w:t>”), to the extent the Policy is applicable to the Participant based upon the Participant’s position and responsibilities or as required under applicable laws, regulations or stock exchange listing standard. For purposes of the foregoing, the Participant expressly and explicitly authorizes the Company to issue instructions, on the Participant’s behalf, to any brokerage firm and/or third party administrator engaged by the Company to hold shares of Company Stock and other amounts acquired pursuant to the Stock Units to re-convey, transfer or otherwise return such shares of Company Stock and/or other amounts to the Company upon the Company’s enforcement of the Policy. To the extent that this Agreement, the Plan and/or the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29" w:name="page130"/>
    <w:bookmarkEnd w:id="129"/>
    <w:p>
      <w:pPr>
        <w:jc w:val="both"/>
        <w:ind w:firstLine="509"/>
        <w:spacing w:after="0" w:line="250" w:lineRule="auto"/>
        <w:rPr>
          <w:sz w:val="20"/>
          <w:szCs w:val="20"/>
          <w:color w:val="auto"/>
        </w:rPr>
      </w:pPr>
      <w:r>
        <w:rPr>
          <w:rFonts w:ascii="Times New Roman" w:cs="Times New Roman" w:eastAsia="Times New Roman" w:hAnsi="Times New Roman"/>
          <w:sz w:val="20"/>
          <w:szCs w:val="20"/>
          <w:color w:val="auto"/>
        </w:rPr>
        <w:t>Policy conflict, the terms of the Policy shall prevail. No recovery of compensation as described in this Section 15 will be an event giving rise to the Participant’s right to resign for Good Reason or “constructive termination” (or similar term) under any plan of, or agreement with, the Company, any subsidiary, affiliate and/or the Employer.</w:t>
      </w:r>
    </w:p>
    <w:p>
      <w:pPr>
        <w:spacing w:after="0" w:line="191" w:lineRule="exact"/>
        <w:rPr>
          <w:sz w:val="20"/>
          <w:szCs w:val="20"/>
          <w:color w:val="auto"/>
        </w:rPr>
      </w:pPr>
    </w:p>
    <w:p>
      <w:pPr>
        <w:jc w:val="both"/>
        <w:ind w:firstLine="7"/>
        <w:spacing w:after="0" w:line="251" w:lineRule="auto"/>
        <w:tabs>
          <w:tab w:leader="none" w:pos="50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u w:val="single" w:color="auto"/>
          <w:color w:val="auto"/>
        </w:rPr>
        <w:t>Application of Section 409A of the Code</w:t>
      </w:r>
      <w:r>
        <w:rPr>
          <w:rFonts w:ascii="Times New Roman" w:cs="Times New Roman" w:eastAsia="Times New Roman" w:hAnsi="Times New Roman"/>
          <w:sz w:val="19"/>
          <w:szCs w:val="19"/>
          <w:color w:val="auto"/>
        </w:rPr>
        <w:t>. This Agreement is intended to be exempt from or otherwise comply with the provisions of Section 409A of the Code. Notwithstanding the foregoing, if the Stock Units constitute “deferred compensation” under Section 409A of the Code and the Stock Units become vested and settled upon the Participant’s termination of employment, payment with respect to the Stock Units shall be delayed for a period of six months after the Participant’s termination of employment if the Participant is a “specified employee” as defined under Section 409A of the Code and if required pursuant to Section 409A of the Code. If payment is delayed, the Stock Units shall be settled and paid within thirty (30) days after the date that is six (6) months following the Participant’s termination of employment. Payments with respect to the Stock Units may only be paid in a manner and upon an event permitted by Section 409A of the Code, and each payment under the Stock Units shall be treated as a separate payment, and the right to a series of installment payments under the Stock Units shall be treated as a right to a series of separate payments. In no event shall the Participant, directly or indirectly, designate the calendar year of payment. The Company may change or modify the terms of this Agreement without the Participant’s consent or signature if the Company determines, in its sole discretion, that such change or modification is necessary for purposes of compliance with or exemption from the requirements of Section 409A of the Code or any regulations or other guidance issued thereunder. Notwithstanding the previous sentence, the Company may also amend the Plan or this Agreement or revoke the Stock Units to the extent permitted by the Plan.</w:t>
      </w:r>
    </w:p>
    <w:p>
      <w:pPr>
        <w:spacing w:after="0" w:line="200" w:lineRule="exact"/>
        <w:rPr>
          <w:rFonts w:ascii="Times New Roman" w:cs="Times New Roman" w:eastAsia="Times New Roman" w:hAnsi="Times New Roman"/>
          <w:sz w:val="20"/>
          <w:szCs w:val="20"/>
          <w:color w:val="auto"/>
        </w:rPr>
      </w:pPr>
    </w:p>
    <w:p>
      <w:pPr>
        <w:jc w:val="both"/>
        <w:ind w:firstLine="7"/>
        <w:spacing w:after="0"/>
        <w:tabs>
          <w:tab w:leader="none" w:pos="509"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Country-Specific Terms</w:t>
      </w:r>
      <w:r>
        <w:rPr>
          <w:rFonts w:ascii="Times New Roman" w:cs="Times New Roman" w:eastAsia="Times New Roman" w:hAnsi="Times New Roman"/>
          <w:sz w:val="20"/>
          <w:szCs w:val="20"/>
          <w:color w:val="auto"/>
        </w:rPr>
        <w:t xml:space="preserve">. Notwithstanding anything to the contrary herein, the Stock Units shall be subject to the Country-Specific Terms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this Agreement. In addition, if the Participant relocates to, or becomes a resident of, one of the countries included in the Country-Specific Terms, the additional terms and conditions for such country will apply to the Participant to the extent the Company determines that the application of such terms and conditions is necessary or advisable in order to comply with local law or facilitate the administration of the Plan. The Country-Specific Terms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constitute part of this Agreement and are incorporated herein by reference.</w:t>
      </w:r>
    </w:p>
    <w:p>
      <w:pPr>
        <w:spacing w:after="0" w:line="200" w:lineRule="exact"/>
        <w:rPr>
          <w:rFonts w:ascii="Times New Roman" w:cs="Times New Roman" w:eastAsia="Times New Roman" w:hAnsi="Times New Roman"/>
          <w:sz w:val="21"/>
          <w:szCs w:val="21"/>
          <w:color w:val="auto"/>
        </w:rPr>
      </w:pPr>
    </w:p>
    <w:p>
      <w:pPr>
        <w:jc w:val="both"/>
        <w:ind w:firstLine="7"/>
        <w:spacing w:after="0" w:line="241" w:lineRule="auto"/>
        <w:tabs>
          <w:tab w:leader="none" w:pos="509"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the Participant’s participation in the Plan, or the Participant’s acquisition or sale of the underlying shares of Company Stock. The Participant should consult with the Participant’s own personal tax, legal and financial advisors regarding the Participant’s participation in the Plan before taking any action related to the Plan.</w:t>
      </w:r>
    </w:p>
    <w:p>
      <w:pPr>
        <w:spacing w:after="0" w:line="201" w:lineRule="exact"/>
        <w:rPr>
          <w:rFonts w:ascii="Times New Roman" w:cs="Times New Roman" w:eastAsia="Times New Roman" w:hAnsi="Times New Roman"/>
          <w:sz w:val="21"/>
          <w:szCs w:val="21"/>
          <w:color w:val="auto"/>
        </w:rPr>
      </w:pPr>
    </w:p>
    <w:p>
      <w:pPr>
        <w:jc w:val="both"/>
        <w:ind w:firstLine="7"/>
        <w:spacing w:after="0"/>
        <w:tabs>
          <w:tab w:leader="none" w:pos="509"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The Participant acknowledges that the Participant is proficient in the English language, or has consulted with an advisor who is proficient in the English language, so as to enable the Participant to understand the provisions of this Agreement and the Plan. If the Participant has received this Agreement or any other document related to the Plan translated into a language other than English and if the meaning of the translated version is different than the English version, the English version will control, unless otherwise required by applicable law.</w:t>
      </w:r>
    </w:p>
    <w:p>
      <w:pPr>
        <w:spacing w:after="0" w:line="202" w:lineRule="exact"/>
        <w:rPr>
          <w:rFonts w:ascii="Times New Roman" w:cs="Times New Roman" w:eastAsia="Times New Roman" w:hAnsi="Times New Roman"/>
          <w:sz w:val="21"/>
          <w:szCs w:val="21"/>
          <w:color w:val="auto"/>
        </w:rPr>
      </w:pPr>
    </w:p>
    <w:p>
      <w:pPr>
        <w:jc w:val="both"/>
        <w:ind w:firstLine="7"/>
        <w:spacing w:after="0" w:line="241" w:lineRule="auto"/>
        <w:tabs>
          <w:tab w:leader="none" w:pos="509"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Electronic Delivery and Participation</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30" w:name="page131"/>
    <w:bookmarkEnd w:id="130"/>
    <w:p>
      <w:pPr>
        <w:ind w:firstLine="7"/>
        <w:spacing w:after="0" w:line="251" w:lineRule="auto"/>
        <w:tabs>
          <w:tab w:leader="none" w:pos="509"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88" w:lineRule="exact"/>
        <w:rPr>
          <w:rFonts w:ascii="Times New Roman" w:cs="Times New Roman" w:eastAsia="Times New Roman" w:hAnsi="Times New Roman"/>
          <w:sz w:val="21"/>
          <w:szCs w:val="21"/>
          <w:color w:val="auto"/>
        </w:rPr>
      </w:pPr>
    </w:p>
    <w:p>
      <w:pPr>
        <w:jc w:val="both"/>
        <w:ind w:firstLine="7"/>
        <w:spacing w:after="0" w:line="241" w:lineRule="auto"/>
        <w:tabs>
          <w:tab w:leader="none" w:pos="509"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Participant’s participation in the Plan, on the Stock Units and on any shares of Company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201" w:lineRule="exact"/>
        <w:rPr>
          <w:rFonts w:ascii="Times New Roman" w:cs="Times New Roman" w:eastAsia="Times New Roman" w:hAnsi="Times New Roman"/>
          <w:sz w:val="21"/>
          <w:szCs w:val="21"/>
          <w:color w:val="auto"/>
        </w:rPr>
      </w:pPr>
    </w:p>
    <w:p>
      <w:pPr>
        <w:jc w:val="both"/>
        <w:ind w:firstLine="7"/>
        <w:spacing w:after="0" w:line="238" w:lineRule="auto"/>
        <w:tabs>
          <w:tab w:leader="none" w:pos="509"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Insider Trading/Market Abuse</w:t>
      </w:r>
      <w:r>
        <w:rPr>
          <w:rFonts w:ascii="Times New Roman" w:cs="Times New Roman" w:eastAsia="Times New Roman" w:hAnsi="Times New Roman"/>
          <w:sz w:val="20"/>
          <w:szCs w:val="20"/>
          <w:color w:val="auto"/>
        </w:rPr>
        <w:t>. The Participant acknowledges that, depending on the Participant’s or the broker’s country or where the Company shares are listed, the Participant may be subject to insider trading restrictions and/or market abuse laws which may affect the Participant’s ability to accept, acquire or sell or otherwise dispose of shares of Company Stock or rights to shares of Company Stock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Stock Units) during such times the Participant is considered to have “inside information” regarding the Company as defined in the laws or regulations in the applicable jurisdictions.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and (ii) “tipping” third parties or causing them to otherwise buy or sell securities. Keep in mind third parties include fellow employees. Any restrictions under these laws or regulations are separate from and in addition to any restrictions that may be imposed under any applicable insider trading policy of the Company. The Participant is responsible for complying with any restrictions and should speak to the Participant’s personal advisor on this matter.</w:t>
      </w:r>
    </w:p>
    <w:p>
      <w:pPr>
        <w:spacing w:after="0" w:line="208" w:lineRule="exact"/>
        <w:rPr>
          <w:rFonts w:ascii="Times New Roman" w:cs="Times New Roman" w:eastAsia="Times New Roman" w:hAnsi="Times New Roman"/>
          <w:sz w:val="21"/>
          <w:szCs w:val="21"/>
          <w:color w:val="auto"/>
        </w:rPr>
      </w:pPr>
    </w:p>
    <w:p>
      <w:pPr>
        <w:jc w:val="both"/>
        <w:ind w:firstLine="7"/>
        <w:spacing w:after="0" w:line="239" w:lineRule="auto"/>
        <w:tabs>
          <w:tab w:leader="none" w:pos="509"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Exchange Control, Foreign Asset/Account and/or Tax Reporting</w:t>
      </w:r>
      <w:r>
        <w:rPr>
          <w:rFonts w:ascii="Times New Roman" w:cs="Times New Roman" w:eastAsia="Times New Roman" w:hAnsi="Times New Roman"/>
          <w:sz w:val="20"/>
          <w:szCs w:val="20"/>
          <w:color w:val="auto"/>
        </w:rPr>
        <w:t>. Depending upon the country to which laws the Participant is subject, the Participant may have certain foreign asset/account and/or tax reporting requirements that may affect the Participant’s ability to acquire or hold shares of Company Stock under the Plan or cash received from participating in the Plan (including from any sale proceeds arising from the sale of shares of Company Stock) in a brokerage or bank account outside the Participant’s country of residence. The Participant’s country of residence may require that the Participant report such accounts, assets or transactions to the applicable authorities in the Participant’s country of residence. The Participant also may be required to repatriate cash received from participating in the Plan to the Participant’s country of residence within a certain period of time after receipt. The Participant is responsible for knowledge of and compliance with any such regulations and should speak with the Participant’s personal tax, legal and financial advisors regarding same.</w:t>
      </w:r>
    </w:p>
    <w:p>
      <w:pPr>
        <w:spacing w:after="0" w:line="202" w:lineRule="exact"/>
        <w:rPr>
          <w:rFonts w:ascii="Times New Roman" w:cs="Times New Roman" w:eastAsia="Times New Roman" w:hAnsi="Times New Roman"/>
          <w:sz w:val="21"/>
          <w:szCs w:val="21"/>
          <w:color w:val="auto"/>
        </w:rPr>
      </w:pPr>
    </w:p>
    <w:p>
      <w:pPr>
        <w:jc w:val="both"/>
        <w:ind w:firstLine="7"/>
        <w:spacing w:after="0"/>
        <w:tabs>
          <w:tab w:leader="none" w:pos="509"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The Participant shall comply with all provisions of the restrictive covenants set forth in the Participant’s contract of employment or amendment or addenda thereto, namely non-competition, non-solicitation and confidentiality obligations, for the respective time periods set forth therein. If the Participant fails to comply with any of these restrictive covenants, the Company shall be entitled to all remedies or damages available under applicable law, including, but not limited to, injunctive relief, equitable relief, and/or attorneys’ fees. In addition, the Participant shall forfeit any unvested Stock Units and/or underlying shares of Company Stock.</w:t>
      </w:r>
    </w:p>
    <w:p>
      <w:pPr>
        <w:spacing w:after="0" w:line="202" w:lineRule="exact"/>
        <w:rPr>
          <w:rFonts w:ascii="Times New Roman" w:cs="Times New Roman" w:eastAsia="Times New Roman" w:hAnsi="Times New Roman"/>
          <w:sz w:val="21"/>
          <w:szCs w:val="21"/>
          <w:color w:val="auto"/>
        </w:rPr>
      </w:pPr>
    </w:p>
    <w:p>
      <w:pPr>
        <w:jc w:val="both"/>
        <w:ind w:firstLine="7"/>
        <w:spacing w:after="0"/>
        <w:tabs>
          <w:tab w:leader="none" w:pos="509"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Legal and Tax Compliance; Cooperation</w:t>
      </w:r>
      <w:r>
        <w:rPr>
          <w:rFonts w:ascii="Times New Roman" w:cs="Times New Roman" w:eastAsia="Times New Roman" w:hAnsi="Times New Roman"/>
          <w:sz w:val="20"/>
          <w:szCs w:val="20"/>
          <w:color w:val="auto"/>
        </w:rPr>
        <w:t>. If the Participant resides or is employed outside of the United States, the Participant agrees, as a condition of the grant of the Stock Units, to repatriate all payments attributable to the shares of Company Stock and/or cash acquired under the Plan (including, but not limited to, dividends and any proceeds derived from the sale of shares of Company Stock acquired pursuant to the Stock Units) if required by and in accordance with local foreign exchange rules and regulations in the Participant’s country of residence (and country of employment, if different). In addition, the Participant also agrees to take any and all actions, and consents to any and all actions taken by the Company and its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31" w:name="page132"/>
    <w:bookmarkEnd w:id="131"/>
    <w:p>
      <w:pPr>
        <w:jc w:val="both"/>
        <w:ind w:firstLine="509"/>
        <w:spacing w:after="0" w:line="245" w:lineRule="auto"/>
        <w:rPr>
          <w:sz w:val="20"/>
          <w:szCs w:val="20"/>
          <w:color w:val="auto"/>
        </w:rPr>
      </w:pPr>
      <w:r>
        <w:rPr>
          <w:rFonts w:ascii="Times New Roman" w:cs="Times New Roman" w:eastAsia="Times New Roman" w:hAnsi="Times New Roman"/>
          <w:sz w:val="20"/>
          <w:szCs w:val="20"/>
          <w:color w:val="auto"/>
        </w:rPr>
        <w:t>subsidiaries and affiliates, as may be required to allow the Company and its subsidiaries and affiliates to comply with local laws, rules and regulations in the Participant’s country of residence (and country of employment, if different). Finally, the Participant agrees to take any and all actions as may be required to comply with the Participant’s personal legal and tax obligations under local laws, rules and regulations in the Participant’s country of residence (and country of employment, if different).</w:t>
      </w:r>
    </w:p>
    <w:p>
      <w:pPr>
        <w:spacing w:after="0" w:line="198" w:lineRule="exact"/>
        <w:rPr>
          <w:sz w:val="20"/>
          <w:szCs w:val="20"/>
          <w:color w:val="auto"/>
        </w:rPr>
      </w:pPr>
    </w:p>
    <w:p>
      <w:pPr>
        <w:ind w:left="520" w:hanging="513"/>
        <w:spacing w:after="0"/>
        <w:tabs>
          <w:tab w:leader="none" w:pos="52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w:t>
      </w:r>
    </w:p>
    <w:p>
      <w:pPr>
        <w:spacing w:after="0" w:line="213" w:lineRule="exact"/>
        <w:rPr>
          <w:rFonts w:ascii="Times New Roman" w:cs="Times New Roman" w:eastAsia="Times New Roman" w:hAnsi="Times New Roman"/>
          <w:sz w:val="21"/>
          <w:szCs w:val="21"/>
          <w:color w:val="auto"/>
        </w:rPr>
      </w:pPr>
    </w:p>
    <w:p>
      <w:pPr>
        <w:ind w:right="60" w:firstLine="756"/>
        <w:spacing w:after="0" w:line="251" w:lineRule="auto"/>
        <w:tabs>
          <w:tab w:leader="none" w:pos="1018"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If the Participant resides or is employed in the United States or a jurisdiction other than the European Union, European Economic Area, or the United Kingdom, the following provisions shall apply:</w:t>
      </w:r>
    </w:p>
    <w:p>
      <w:pPr>
        <w:spacing w:after="0" w:line="172" w:lineRule="exact"/>
        <w:rPr>
          <w:sz w:val="20"/>
          <w:szCs w:val="20"/>
          <w:color w:val="auto"/>
        </w:rPr>
      </w:pPr>
    </w:p>
    <w:p>
      <w:pPr>
        <w:jc w:val="both"/>
        <w:ind w:left="760"/>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The Company is located at 955 Perimeter Road, Manchester, New Hampshire 03103, United States of America and grants Stock Units under the Plan to employees of the Company and its subsidiaries in its sole discretion. In conjunction with the Company’s grant of the Stock Units under the Plan and its ongoing administration of such awards, the Company is providing the following information about its data collection, processing and transfer practices (“Personal Information Activities”). In accepting the grant of the Stock Units, the Participant expressly and explicitly consents to the Personal Data Activities as described herein.</w:t>
      </w:r>
    </w:p>
    <w:p>
      <w:pPr>
        <w:spacing w:after="0" w:line="181" w:lineRule="exact"/>
        <w:rPr>
          <w:sz w:val="20"/>
          <w:szCs w:val="20"/>
          <w:color w:val="auto"/>
        </w:rPr>
      </w:pPr>
    </w:p>
    <w:p>
      <w:pPr>
        <w:jc w:val="both"/>
        <w:ind w:left="760" w:firstLine="745"/>
        <w:spacing w:after="0" w:line="239" w:lineRule="auto"/>
        <w:tabs>
          <w:tab w:leader="none" w:pos="2048" w:val="left"/>
        </w:tabs>
        <w:numPr>
          <w:ilvl w:val="0"/>
          <w:numId w:val="77"/>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Data Collection, Processing and Usage</w:t>
      </w:r>
      <w:r>
        <w:rPr>
          <w:rFonts w:ascii="Times New Roman" w:cs="Times New Roman" w:eastAsia="Times New Roman" w:hAnsi="Times New Roman"/>
          <w:sz w:val="20"/>
          <w:szCs w:val="20"/>
          <w:b w:val="1"/>
          <w:bCs w:val="1"/>
          <w:i w:val="1"/>
          <w:iCs w:val="1"/>
          <w:color w:val="auto"/>
        </w:rPr>
        <w:t>. The Company collects, processes and uses the Participant’s personal data, including the Participant’s name, home address, email address, and telephone number, date of birth, social insurance/passport number or other identification number (e.g., resident registration number), salary, citizenship, job title, any shares of Company Stock or directorships held in the Company, and details of all Stock Units or any other equity compensation awards granted, canceled, exercised, vested, or outstanding in the Participant’s favor, which the Company receives from the Participant or the Employer (“Personal Information”). In granting the Stock Units under the Plan, the Company will collect the Participant’s Personal Information for purposes of allocating shares of Company Stock and implementing, administering and managing the Plan. The Company’s legal basis for the collection, processing and usage of the Participant’s Personal Information is the Participant’s consent.</w:t>
      </w:r>
    </w:p>
    <w:p>
      <w:pPr>
        <w:spacing w:after="0" w:line="200" w:lineRule="exact"/>
        <w:rPr>
          <w:rFonts w:ascii="Times New Roman" w:cs="Times New Roman" w:eastAsia="Times New Roman" w:hAnsi="Times New Roman"/>
          <w:sz w:val="21"/>
          <w:szCs w:val="21"/>
          <w:i w:val="1"/>
          <w:iCs w:val="1"/>
          <w:color w:val="auto"/>
        </w:rPr>
      </w:pPr>
    </w:p>
    <w:p>
      <w:pPr>
        <w:jc w:val="both"/>
        <w:ind w:left="760" w:firstLine="745"/>
        <w:spacing w:after="0"/>
        <w:tabs>
          <w:tab w:leader="none" w:pos="2048" w:val="left"/>
        </w:tabs>
        <w:numPr>
          <w:ilvl w:val="0"/>
          <w:numId w:val="77"/>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Stock Plan Service Provider</w:t>
      </w:r>
      <w:r>
        <w:rPr>
          <w:rFonts w:ascii="Times New Roman" w:cs="Times New Roman" w:eastAsia="Times New Roman" w:hAnsi="Times New Roman"/>
          <w:sz w:val="20"/>
          <w:szCs w:val="20"/>
          <w:b w:val="1"/>
          <w:bCs w:val="1"/>
          <w:i w:val="1"/>
          <w:iCs w:val="1"/>
          <w:color w:val="auto"/>
        </w:rPr>
        <w:t>. The Company transfers the Participant’s Personal Information to the Stock Plan Service Provider, an independent service provider based in the United States, which assists the Company with the implementation, administration and management of the Plan. In the future, the Company may select a different Stock Plan Service Provider and share the Participant’s Personal Information with another company that serves in a similar manner. The Stock Plan Service Provider will open an account for the Participant to receive and trade shares of Company Stock acquired under the Plan. The Participant will be asked to agree on separate terms and data processing practices with the Stock Plan Service Provider, which is a condition to the Participant’s ability to participate in the Plan.</w:t>
      </w:r>
    </w:p>
    <w:p>
      <w:pPr>
        <w:spacing w:after="0" w:line="197" w:lineRule="exact"/>
        <w:rPr>
          <w:rFonts w:ascii="Times New Roman" w:cs="Times New Roman" w:eastAsia="Times New Roman" w:hAnsi="Times New Roman"/>
          <w:sz w:val="21"/>
          <w:szCs w:val="21"/>
          <w:i w:val="1"/>
          <w:iCs w:val="1"/>
          <w:color w:val="auto"/>
        </w:rPr>
      </w:pPr>
    </w:p>
    <w:p>
      <w:pPr>
        <w:jc w:val="both"/>
        <w:ind w:left="760" w:firstLine="745"/>
        <w:spacing w:after="0" w:line="241" w:lineRule="auto"/>
        <w:tabs>
          <w:tab w:leader="none" w:pos="2048" w:val="left"/>
        </w:tabs>
        <w:numPr>
          <w:ilvl w:val="0"/>
          <w:numId w:val="77"/>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International Data Transfers</w:t>
      </w:r>
      <w:r>
        <w:rPr>
          <w:rFonts w:ascii="Times New Roman" w:cs="Times New Roman" w:eastAsia="Times New Roman" w:hAnsi="Times New Roman"/>
          <w:sz w:val="20"/>
          <w:szCs w:val="20"/>
          <w:b w:val="1"/>
          <w:bCs w:val="1"/>
          <w:i w:val="1"/>
          <w:iCs w:val="1"/>
          <w:color w:val="auto"/>
        </w:rPr>
        <w:t>. The Company and the Stock Plan Service Provider are based in the United States. If the Participant is outside the United States, the Participant should note that the Participant’s country has enacted data privacy laws that are different from the United States. By participating in the Plan, the Participant gives their consent to the transfer of the Participant’s Personal Information to the United States, or to such other jurisdiction as may be necessary for the delivery of the Plan and administration thereof.</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32" w:name="page133"/>
    <w:bookmarkEnd w:id="132"/>
    <w:p>
      <w:pPr>
        <w:jc w:val="both"/>
        <w:ind w:left="760" w:firstLine="745"/>
        <w:spacing w:after="0" w:line="239" w:lineRule="auto"/>
        <w:tabs>
          <w:tab w:leader="none" w:pos="2048" w:val="left"/>
        </w:tabs>
        <w:numPr>
          <w:ilvl w:val="0"/>
          <w:numId w:val="78"/>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Voluntariness and Consequences of Consent Denial or Withdrawal</w:t>
      </w:r>
      <w:r>
        <w:rPr>
          <w:rFonts w:ascii="Times New Roman" w:cs="Times New Roman" w:eastAsia="Times New Roman" w:hAnsi="Times New Roman"/>
          <w:sz w:val="20"/>
          <w:szCs w:val="20"/>
          <w:b w:val="1"/>
          <w:bCs w:val="1"/>
          <w:i w:val="1"/>
          <w:iCs w:val="1"/>
          <w:color w:val="auto"/>
        </w:rPr>
        <w:t>. The Participant’s participation in the Plan and the Participant’s grant of consent to Personal Data Activities pertaining to the grant and administration of the Stock Units and other awards that the Company may grant to the Participant pursuant to the Plan is purely voluntary. The Participant may deny or withdraw the Participant’s consent at any time. If the Participant does not consent, or if the Participant later withdraws the Participant’s consent, the Participant may be unable to participate in the Plan. This would not affect the Participant’s existing employment or salary; instead, the Participant merely may forfeit the opportunities associated with the Plan. To withdraw the Participant’s consent to Personal Data Activities, the Participant should contact the Participant’s local human resources department.</w:t>
      </w:r>
    </w:p>
    <w:p>
      <w:pPr>
        <w:spacing w:after="0" w:line="202" w:lineRule="exact"/>
        <w:rPr>
          <w:rFonts w:ascii="Times New Roman" w:cs="Times New Roman" w:eastAsia="Times New Roman" w:hAnsi="Times New Roman"/>
          <w:sz w:val="21"/>
          <w:szCs w:val="21"/>
          <w:i w:val="1"/>
          <w:iCs w:val="1"/>
          <w:color w:val="auto"/>
        </w:rPr>
      </w:pPr>
    </w:p>
    <w:p>
      <w:pPr>
        <w:jc w:val="both"/>
        <w:ind w:left="760" w:firstLine="745"/>
        <w:spacing w:after="0" w:line="239" w:lineRule="auto"/>
        <w:tabs>
          <w:tab w:leader="none" w:pos="2048" w:val="left"/>
        </w:tabs>
        <w:numPr>
          <w:ilvl w:val="0"/>
          <w:numId w:val="78"/>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Data Subjects Rights</w:t>
      </w:r>
      <w:r>
        <w:rPr>
          <w:rFonts w:ascii="Times New Roman" w:cs="Times New Roman" w:eastAsia="Times New Roman" w:hAnsi="Times New Roman"/>
          <w:sz w:val="20"/>
          <w:szCs w:val="20"/>
          <w:b w:val="1"/>
          <w:bCs w:val="1"/>
          <w:i w:val="1"/>
          <w:iCs w:val="1"/>
          <w:color w:val="auto"/>
        </w:rPr>
        <w:t>. The Participant may have a number of rights under data privacy laws in the Participant’s country of residence (and country of employment, if different). For example, the Participant’s rights may include the right to (1) request access or copies of Personal Information the Company processes pursuant to the Agreement, (2) request rectification of incorrect Personal Information, (3) request deletion of Personal Information, (4) request restrictions on processing of Personal Information, (5) lodge complaints with competent authorities in the Participant’s country of residence (and country of employment, if different), and/or (6) request a list with the names and addresses of any potential recipients of the Participant’s Personal Information. To receive clarification regarding the Participant’s rights or to exercise the Participant’s rights, the Participant should contact the Participant’s local human resources department.</w:t>
      </w:r>
    </w:p>
    <w:p>
      <w:pPr>
        <w:spacing w:after="0" w:line="207" w:lineRule="exact"/>
        <w:rPr>
          <w:sz w:val="20"/>
          <w:szCs w:val="20"/>
          <w:color w:val="auto"/>
        </w:rPr>
      </w:pPr>
    </w:p>
    <w:p>
      <w:pPr>
        <w:ind w:right="60" w:firstLine="756"/>
        <w:spacing w:after="0" w:line="251" w:lineRule="auto"/>
        <w:tabs>
          <w:tab w:leader="none" w:pos="1018"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If the Participant resides or is employed in the European Union, European Economic Area, or the United Kingdom, the following provisions shall apply:</w:t>
      </w:r>
    </w:p>
    <w:p>
      <w:pPr>
        <w:spacing w:after="0" w:line="172"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The Company is located at 955 Perimeter Road, Manchester, New Hampshire 03103, United States of America and grants Stock Units under the Plan to employees of the Company and its subsidiaries in its sole discretion. In conjunction with the Company’s grant of the Stock Units under the Plan and its ongoing administration of such awards, the Company is providing the following information about its data collection, processing and transfer practices (“Personal Information Activities”). The Participant should review the following information about the Company’s Personal Information Activities.</w:t>
      </w:r>
    </w:p>
    <w:p>
      <w:pPr>
        <w:spacing w:after="0" w:line="195" w:lineRule="exact"/>
        <w:rPr>
          <w:sz w:val="20"/>
          <w:szCs w:val="20"/>
          <w:color w:val="auto"/>
        </w:rPr>
      </w:pPr>
    </w:p>
    <w:p>
      <w:pPr>
        <w:jc w:val="both"/>
        <w:ind w:left="760" w:firstLine="835"/>
        <w:spacing w:after="0" w:line="252" w:lineRule="auto"/>
        <w:tabs>
          <w:tab w:leader="none" w:pos="2048" w:val="left"/>
        </w:tabs>
        <w:numPr>
          <w:ilvl w:val="0"/>
          <w:numId w:val="8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19"/>
          <w:szCs w:val="19"/>
          <w:b w:val="1"/>
          <w:bCs w:val="1"/>
          <w:i w:val="1"/>
          <w:iCs w:val="1"/>
          <w:u w:val="single" w:color="auto"/>
          <w:color w:val="auto"/>
        </w:rPr>
        <w:t>Data Collection, Processing and Usage</w:t>
      </w:r>
      <w:r>
        <w:rPr>
          <w:rFonts w:ascii="Times New Roman" w:cs="Times New Roman" w:eastAsia="Times New Roman" w:hAnsi="Times New Roman"/>
          <w:sz w:val="19"/>
          <w:szCs w:val="19"/>
          <w:b w:val="1"/>
          <w:bCs w:val="1"/>
          <w:i w:val="1"/>
          <w:iCs w:val="1"/>
          <w:color w:val="auto"/>
        </w:rPr>
        <w:t>. Pursuant to applicable data protection laws, the Participant is hereby notified that the Company collects, processes, and uses certain personally identifiable information about the Participant; specifically, including the Participant’s name, home address, email address and telephone number, date of birth, social insurance/passport or other identification number (e.g., resident registration number), salary, citizenship, job title, any shares or directorships held in the Company, and details of all Stock Units or any other equity compensation awards granted, cancelled, exercised, vested, or outstanding in the Participant’s favor, which the Company receives from the Participant or the Employer (“Personal Information”). In granting the Stock Units under the Plan, the Company will collect the Participant’s Personal Information for purposes of allocating shares and implementing, administering and managing the Plan. The Company’s legal basis for collecting, processing and using the Participant’s Personal Information will be the Company’s legitimate interest of managing the Plan and generally administering employee equity awards, the Company’s necessity to execute its contractual obligations under the Agreement and to comply with its legal obligations. The Participant’s refusal to provide Personal Information may affect the Participant’s ability to participate in the Plan. As such, by participating in the Plan, the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480060</wp:posOffset>
            </wp:positionV>
            <wp:extent cx="71589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133" w:name="page134"/>
    <w:bookmarkEnd w:id="133"/>
    <w:p>
      <w:pPr>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Participant voluntarily acknowledges the collection, processing and use, of the Participant’s Personal Information as described herein.</w:t>
      </w:r>
    </w:p>
    <w:p>
      <w:pPr>
        <w:spacing w:after="0" w:line="170" w:lineRule="exact"/>
        <w:rPr>
          <w:sz w:val="20"/>
          <w:szCs w:val="20"/>
          <w:color w:val="auto"/>
        </w:rPr>
      </w:pPr>
    </w:p>
    <w:p>
      <w:pPr>
        <w:jc w:val="both"/>
        <w:ind w:firstLine="835"/>
        <w:spacing w:after="0"/>
        <w:tabs>
          <w:tab w:leader="none" w:pos="1288" w:val="left"/>
        </w:tabs>
        <w:numPr>
          <w:ilvl w:val="0"/>
          <w:numId w:val="81"/>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Stock Plan Service Provider</w:t>
      </w:r>
      <w:r>
        <w:rPr>
          <w:rFonts w:ascii="Times New Roman" w:cs="Times New Roman" w:eastAsia="Times New Roman" w:hAnsi="Times New Roman"/>
          <w:sz w:val="20"/>
          <w:szCs w:val="20"/>
          <w:b w:val="1"/>
          <w:bCs w:val="1"/>
          <w:i w:val="1"/>
          <w:iCs w:val="1"/>
          <w:color w:val="auto"/>
        </w:rPr>
        <w:t>. The Company transfers the Participant’s Personal Information to the Stock Plan Service Provider, an independent service provider based in the United States, which assists the Company with the implementation, administration and management of the Plan. In the future, the Company may select a different Stock Plan Service Provider and share the Participant’s Personal Information with another company that serves in a similar manner. The Stock Plan Service Provider will open an account for the Participant to receive and trade shares of Company Stock acquired under the Plan. The Participant will be asked to agree on separate terms and data processing practices with the Stock Plan Service Provider, which is a condition to the Participant’s ability to participate in the Plan.</w:t>
      </w:r>
    </w:p>
    <w:p>
      <w:pPr>
        <w:spacing w:after="0" w:line="197" w:lineRule="exact"/>
        <w:rPr>
          <w:rFonts w:ascii="Times New Roman" w:cs="Times New Roman" w:eastAsia="Times New Roman" w:hAnsi="Times New Roman"/>
          <w:sz w:val="21"/>
          <w:szCs w:val="21"/>
          <w:i w:val="1"/>
          <w:iCs w:val="1"/>
          <w:color w:val="auto"/>
        </w:rPr>
      </w:pPr>
    </w:p>
    <w:p>
      <w:pPr>
        <w:jc w:val="both"/>
        <w:ind w:firstLine="835"/>
        <w:spacing w:after="0" w:line="241" w:lineRule="auto"/>
        <w:tabs>
          <w:tab w:leader="none" w:pos="1288" w:val="left"/>
        </w:tabs>
        <w:numPr>
          <w:ilvl w:val="0"/>
          <w:numId w:val="81"/>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International Data Transfers</w:t>
      </w:r>
      <w:r>
        <w:rPr>
          <w:rFonts w:ascii="Times New Roman" w:cs="Times New Roman" w:eastAsia="Times New Roman" w:hAnsi="Times New Roman"/>
          <w:sz w:val="20"/>
          <w:szCs w:val="20"/>
          <w:b w:val="1"/>
          <w:bCs w:val="1"/>
          <w:i w:val="1"/>
          <w:iCs w:val="1"/>
          <w:color w:val="auto"/>
        </w:rPr>
        <w:t>. The Company and the Stock Plan Service Provider are based in the United States. The Company can only meet its contractual obligations to the Participant if the Participant’s Personal Information is transferred to the United States. The Company’s legal basis for the transfer of the Participant’s Personal Information to the United States is to satisfy its contractual obligations under the terms of the Agreement and/or its use of the standard data protection clauses adopted by the European Commission.</w:t>
      </w:r>
    </w:p>
    <w:p>
      <w:pPr>
        <w:spacing w:after="0" w:line="197" w:lineRule="exact"/>
        <w:rPr>
          <w:rFonts w:ascii="Times New Roman" w:cs="Times New Roman" w:eastAsia="Times New Roman" w:hAnsi="Times New Roman"/>
          <w:sz w:val="21"/>
          <w:szCs w:val="21"/>
          <w:i w:val="1"/>
          <w:iCs w:val="1"/>
          <w:color w:val="auto"/>
        </w:rPr>
      </w:pPr>
    </w:p>
    <w:p>
      <w:pPr>
        <w:jc w:val="both"/>
        <w:ind w:firstLine="835"/>
        <w:spacing w:after="0" w:line="257" w:lineRule="auto"/>
        <w:tabs>
          <w:tab w:leader="none" w:pos="1288" w:val="left"/>
        </w:tabs>
        <w:numPr>
          <w:ilvl w:val="0"/>
          <w:numId w:val="8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19"/>
          <w:szCs w:val="19"/>
          <w:b w:val="1"/>
          <w:bCs w:val="1"/>
          <w:i w:val="1"/>
          <w:iCs w:val="1"/>
          <w:u w:val="single" w:color="auto"/>
          <w:color w:val="auto"/>
        </w:rPr>
        <w:t>Data Retention</w:t>
      </w:r>
      <w:r>
        <w:rPr>
          <w:rFonts w:ascii="Times New Roman" w:cs="Times New Roman" w:eastAsia="Times New Roman" w:hAnsi="Times New Roman"/>
          <w:sz w:val="19"/>
          <w:szCs w:val="19"/>
          <w:b w:val="1"/>
          <w:bCs w:val="1"/>
          <w:i w:val="1"/>
          <w:iCs w:val="1"/>
          <w:color w:val="auto"/>
        </w:rPr>
        <w:t>. The Company will use the Participant’s Personal Information only as long as is necessary to implement, administer and manage the Participant’s participation in the Plan or as required to comply with legal or regulatory obligations, including under tax and securities laws. When the Company no longer needs the Participant’s Personal Information, the Company will remove it from its systems. If the Company keeps the Participant’s Personal Information longer, it would be to satisfy legal or regulatory obligations and the Company’s legal basis would be for compliance with relevant laws or regulations.</w:t>
      </w:r>
    </w:p>
    <w:p>
      <w:pPr>
        <w:spacing w:after="0" w:line="182" w:lineRule="exact"/>
        <w:rPr>
          <w:rFonts w:ascii="Times New Roman" w:cs="Times New Roman" w:eastAsia="Times New Roman" w:hAnsi="Times New Roman"/>
          <w:sz w:val="20"/>
          <w:szCs w:val="20"/>
          <w:i w:val="1"/>
          <w:iCs w:val="1"/>
          <w:color w:val="auto"/>
        </w:rPr>
      </w:pPr>
    </w:p>
    <w:p>
      <w:pPr>
        <w:jc w:val="both"/>
        <w:ind w:firstLine="835"/>
        <w:spacing w:after="0" w:line="239" w:lineRule="auto"/>
        <w:tabs>
          <w:tab w:leader="none" w:pos="1288" w:val="left"/>
        </w:tabs>
        <w:numPr>
          <w:ilvl w:val="0"/>
          <w:numId w:val="81"/>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Data Subjects Rights</w:t>
      </w:r>
      <w:r>
        <w:rPr>
          <w:rFonts w:ascii="Times New Roman" w:cs="Times New Roman" w:eastAsia="Times New Roman" w:hAnsi="Times New Roman"/>
          <w:sz w:val="20"/>
          <w:szCs w:val="20"/>
          <w:b w:val="1"/>
          <w:bCs w:val="1"/>
          <w:i w:val="1"/>
          <w:iCs w:val="1"/>
          <w:color w:val="auto"/>
        </w:rPr>
        <w:t>. The Participant may have a number of rights under data privacy laws in the Participant’s country of residence (and country of employment, if different). For example, the Participant’s rights may include the right to (1) request access or copies of Personal Information the Company processes pursuant to the Agreement, (2) request rectification of incorrect Personal Information, (3) request deletion of Personal Information, (4) request restrictions on processing of Personal Information, (5) lodge complaints with competent authorities in the Participant’s country of residence (and country of employment, if different), and/or (6) request a list with the names and addresses of any potential recipients of the Participant’s Personal Information. To receive clarification regarding the Participant’s rights or to exercise the Participant’s rights, the Participant should contact the Participant’s local human resources department.</w:t>
      </w:r>
    </w:p>
    <w:p>
      <w:pPr>
        <w:spacing w:after="0" w:line="19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480060</wp:posOffset>
            </wp:positionV>
            <wp:extent cx="715899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0"/>
          </w:cols>
          <w:pgMar w:left="1080" w:top="1397" w:right="339" w:bottom="1440" w:gutter="0" w:footer="0" w:header="0"/>
        </w:sectPr>
      </w:pPr>
    </w:p>
    <w:bookmarkStart w:id="134" w:name="page135"/>
    <w:bookmarkEnd w:id="134"/>
    <w:p>
      <w:pPr>
        <w:spacing w:after="0" w:line="191" w:lineRule="auto"/>
        <w:framePr w:w="1080" w:h="175" w:wrap="auto" w:vAnchor="page" w:hAnchor="page" w:x="4520" w:y="6492"/>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[Grant Date]</w:t>
      </w:r>
    </w:p>
    <w:p>
      <w:pPr>
        <w:spacing w:after="0" w:line="191" w:lineRule="auto"/>
        <w:framePr w:w="1000" w:h="175" w:wrap="auto" w:vAnchor="page" w:hAnchor="page" w:x="4520" w:y="593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w:t>
      </w:r>
    </w:p>
    <w:p>
      <w:pPr>
        <w:spacing w:after="0" w:line="191" w:lineRule="auto"/>
        <w:framePr w:w="620" w:h="175" w:wrap="auto" w:vAnchor="page" w:hAnchor="page" w:x="4520" w:y="6157"/>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Name]</w:t>
      </w:r>
    </w:p>
    <w:p>
      <w:pPr>
        <w:ind w:left="6600"/>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51" w:lineRule="exact"/>
        <w:rPr>
          <w:rFonts w:ascii="Times New Roman" w:cs="Times New Roman" w:eastAsia="Times New Roman" w:hAnsi="Times New Roman"/>
          <w:sz w:val="19"/>
          <w:szCs w:val="19"/>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23" w:lineRule="exact"/>
        <w:rPr>
          <w:rFonts w:ascii="Times New Roman" w:cs="Times New Roman" w:eastAsia="Times New Roman" w:hAnsi="Times New Roman"/>
          <w:sz w:val="19"/>
          <w:szCs w:val="19"/>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OMNIBUS INCENTIVE COMPENSATION PLAN</w:t>
      </w:r>
    </w:p>
    <w:p>
      <w:pPr>
        <w:spacing w:after="0" w:line="185" w:lineRule="exact"/>
        <w:rPr>
          <w:rFonts w:ascii="Times New Roman" w:cs="Times New Roman" w:eastAsia="Times New Roman" w:hAnsi="Times New Roman"/>
          <w:sz w:val="19"/>
          <w:szCs w:val="19"/>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STOCK UNIT AGREEMENT</w:t>
      </w:r>
    </w:p>
    <w:p>
      <w:pPr>
        <w:spacing w:after="0" w:line="108" w:lineRule="exact"/>
        <w:rPr>
          <w:rFonts w:ascii="Times New Roman" w:cs="Times New Roman" w:eastAsia="Times New Roman" w:hAnsi="Times New Roman"/>
          <w:sz w:val="19"/>
          <w:szCs w:val="19"/>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This PERFORMANCE STOCK UNIT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as of the Date of Grant set forth below between Allegro MicroSystems,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Participant named below. This Agreement is made pursuant to the Allegro MicroSystems, Inc. 2020 Omnibus Incentive Compensation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xml:space="preserve">”) and is subject in its entirety to all applicable provisions of the Plan. The Committee has decided to make this grant of restricted stock units with specific performance criteria as an inducement for the Participant to perform against specific Performance Goals (as defined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established by the Company. Notwithstanding the foregoing, except as specifically provided herein, to the extent the Participant is party to a severance agreement with the Company and this Agreement includes terms that conflict with the terms included in such severance agreement, the terms included in such severance agreement shall govern to the extent that such terms are permitted under the Plan and have been properly authorized in accordance with the Plan and applicable law. Capitalized terms used herein and not otherwise defined will have the meanings set forth in the Plan. For purposes of this Agreement, “Employer” means, to the extent the Participant is not employed by the Company, the subsidiary of the Company that employs the Participant, and “Stock Plan Service Provider” means Fidelity Stock Plan Services, LLC or any successor service provider engaged by the Company to provide brokerage and administrative services for the Plan.</w:t>
      </w:r>
    </w:p>
    <w:p>
      <w:pPr>
        <w:spacing w:after="0" w:line="2" w:lineRule="exact"/>
        <w:rPr>
          <w:rFonts w:ascii="Times New Roman" w:cs="Times New Roman" w:eastAsia="Times New Roman" w:hAnsi="Times New Roman"/>
          <w:sz w:val="19"/>
          <w:szCs w:val="19"/>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Notice of Award</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column">
              <wp:posOffset>1134110</wp:posOffset>
            </wp:positionH>
            <wp:positionV relativeFrom="paragraph">
              <wp:posOffset>-635</wp:posOffset>
            </wp:positionV>
            <wp:extent cx="2420620" cy="144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8">
                      <a:extLst>
                        <a:ext uri="{28A0092B-C50C-407E-A947-70E740481C1C}"/>
                      </a:extLst>
                    </a:blip>
                    <a:srcRect/>
                    <a:stretch>
                      <a:fillRect/>
                    </a:stretch>
                  </pic:blipFill>
                  <pic:spPr bwMode="auto">
                    <a:xfrm>
                      <a:off x="0" y="0"/>
                      <a:ext cx="2420620" cy="144145"/>
                    </a:xfrm>
                    <a:prstGeom prst="rect">
                      <a:avLst/>
                    </a:prstGeom>
                    <a:noFill/>
                  </pic:spPr>
                </pic:pic>
              </a:graphicData>
            </a:graphic>
          </wp:anchor>
        </w:drawing>
      </w:r>
    </w:p>
    <w:p>
      <w:pPr>
        <w:spacing w:after="0" w:line="179" w:lineRule="exact"/>
        <w:rPr>
          <w:rFonts w:ascii="Times New Roman" w:cs="Times New Roman" w:eastAsia="Times New Roman" w:hAnsi="Times New Roman"/>
          <w:sz w:val="19"/>
          <w:szCs w:val="19"/>
          <w:color w:val="auto"/>
        </w:rPr>
      </w:pPr>
    </w:p>
    <w:p>
      <w:pPr>
        <w:ind w:left="1800" w:right="7380"/>
        <w:spacing w:after="0" w:line="250" w:lineRule="auto"/>
        <w:rPr>
          <w:sz w:val="20"/>
          <w:szCs w:val="20"/>
          <w:color w:val="auto"/>
        </w:rPr>
      </w:pPr>
      <w:r>
        <w:rPr>
          <w:rFonts w:ascii="Times New Roman" w:cs="Times New Roman" w:eastAsia="Times New Roman" w:hAnsi="Times New Roman"/>
          <w:sz w:val="20"/>
          <w:szCs w:val="20"/>
          <w:b w:val="1"/>
          <w:bCs w:val="1"/>
          <w:color w:val="auto"/>
        </w:rPr>
        <w:t>Name of participant (the “Participant”):</w:t>
      </w:r>
    </w:p>
    <w:p>
      <w:pPr>
        <w:spacing w:after="0" w:line="2" w:lineRule="exact"/>
        <w:rPr>
          <w:rFonts w:ascii="Times New Roman" w:cs="Times New Roman" w:eastAsia="Times New Roman" w:hAnsi="Times New Roman"/>
          <w:sz w:val="19"/>
          <w:szCs w:val="19"/>
          <w:color w:val="auto"/>
        </w:rPr>
      </w:pPr>
    </w:p>
    <w:p>
      <w:pPr>
        <w:ind w:left="1800" w:right="7520"/>
        <w:spacing w:after="0" w:line="237" w:lineRule="auto"/>
        <w:rPr>
          <w:sz w:val="20"/>
          <w:szCs w:val="20"/>
          <w:color w:val="auto"/>
        </w:rPr>
      </w:pPr>
      <w:r>
        <w:rPr>
          <w:rFonts w:ascii="Times New Roman" w:cs="Times New Roman" w:eastAsia="Times New Roman" w:hAnsi="Times New Roman"/>
          <w:sz w:val="20"/>
          <w:szCs w:val="20"/>
          <w:b w:val="1"/>
          <w:bCs w:val="1"/>
          <w:color w:val="auto"/>
        </w:rPr>
        <w:t>Date of grant (“Date of Grant”):</w:t>
      </w:r>
    </w:p>
    <w:p>
      <w:pPr>
        <w:ind w:left="1800"/>
        <w:spacing w:after="0" w:line="182" w:lineRule="auto"/>
        <w:tabs>
          <w:tab w:leader="none" w:pos="4220" w:val="left"/>
        </w:tabs>
        <w:rPr>
          <w:sz w:val="20"/>
          <w:szCs w:val="20"/>
          <w:color w:val="auto"/>
        </w:rPr>
      </w:pPr>
      <w:r>
        <w:rPr>
          <w:rFonts w:ascii="Times New Roman" w:cs="Times New Roman" w:eastAsia="Times New Roman" w:hAnsi="Times New Roman"/>
          <w:sz w:val="20"/>
          <w:szCs w:val="20"/>
          <w:b w:val="1"/>
          <w:bCs w:val="1"/>
          <w:color w:val="auto"/>
        </w:rPr>
        <w:t>Target award of</w:t>
      </w:r>
      <w:r>
        <w:rPr>
          <w:sz w:val="20"/>
          <w:szCs w:val="20"/>
          <w:color w:val="auto"/>
        </w:rPr>
        <w:tab/>
      </w:r>
      <w:r>
        <w:rPr>
          <w:rFonts w:ascii="Times New Roman" w:cs="Times New Roman" w:eastAsia="Times New Roman" w:hAnsi="Times New Roman"/>
          <w:sz w:val="26"/>
          <w:szCs w:val="26"/>
          <w:color w:val="auto"/>
          <w:vertAlign w:val="subscript"/>
        </w:rPr>
        <w:t>[Quantity</w:t>
      </w:r>
    </w:p>
    <w:p>
      <w:pPr>
        <w:ind w:left="1800"/>
        <w:spacing w:after="0" w:line="183" w:lineRule="auto"/>
        <w:rPr>
          <w:sz w:val="20"/>
          <w:szCs w:val="20"/>
          <w:color w:val="auto"/>
        </w:rPr>
      </w:pPr>
      <w:r>
        <w:rPr>
          <w:rFonts w:ascii="Times New Roman" w:cs="Times New Roman" w:eastAsia="Times New Roman" w:hAnsi="Times New Roman"/>
          <w:sz w:val="15"/>
          <w:szCs w:val="15"/>
          <w:b w:val="1"/>
          <w:bCs w:val="1"/>
          <w:color w:val="auto"/>
        </w:rPr>
        <w:t xml:space="preserve">performance restricted stock </w:t>
      </w:r>
      <w:r>
        <w:rPr>
          <w:rFonts w:ascii="Times New Roman" w:cs="Times New Roman" w:eastAsia="Times New Roman" w:hAnsi="Times New Roman"/>
          <w:sz w:val="26"/>
          <w:szCs w:val="26"/>
          <w:color w:val="auto"/>
          <w:vertAlign w:val="subscript"/>
        </w:rPr>
        <w:t>Granted]</w:t>
      </w:r>
    </w:p>
    <w:p>
      <w:pPr>
        <w:ind w:left="1800"/>
        <w:spacing w:after="0" w:line="237" w:lineRule="auto"/>
        <w:rPr>
          <w:sz w:val="20"/>
          <w:szCs w:val="20"/>
          <w:color w:val="auto"/>
        </w:rPr>
      </w:pPr>
      <w:r>
        <w:rPr>
          <w:rFonts w:ascii="Times New Roman" w:cs="Times New Roman" w:eastAsia="Times New Roman" w:hAnsi="Times New Roman"/>
          <w:sz w:val="20"/>
          <w:szCs w:val="20"/>
          <w:b w:val="1"/>
          <w:bCs w:val="1"/>
          <w:color w:val="auto"/>
        </w:rPr>
        <w:t>units (“Target Award”):</w:t>
      </w:r>
    </w:p>
    <w:p>
      <w:pPr>
        <w:spacing w:after="0" w:line="237" w:lineRule="auto"/>
        <w:rPr>
          <w:sz w:val="20"/>
          <w:szCs w:val="20"/>
          <w:color w:val="auto"/>
        </w:rPr>
      </w:pPr>
      <w:r>
        <w:rPr>
          <w:rFonts w:ascii="Times New Roman" w:cs="Times New Roman" w:eastAsia="Times New Roman" w:hAnsi="Times New Roman"/>
          <w:sz w:val="20"/>
          <w:szCs w:val="20"/>
          <w:color w:val="auto"/>
        </w:rPr>
        <w:t>Vesting Schedule:</w:t>
      </w:r>
    </w:p>
    <w:p>
      <w:pPr>
        <w:ind w:left="1800"/>
        <w:spacing w:after="0"/>
        <w:tabs>
          <w:tab w:leader="none" w:pos="6160" w:val="left"/>
        </w:tabs>
        <w:rPr>
          <w:sz w:val="20"/>
          <w:szCs w:val="20"/>
          <w:color w:val="auto"/>
        </w:rPr>
      </w:pPr>
      <w:r>
        <w:rPr>
          <w:rFonts w:ascii="Times New Roman" w:cs="Times New Roman" w:eastAsia="Times New Roman" w:hAnsi="Times New Roman"/>
          <w:sz w:val="20"/>
          <w:szCs w:val="20"/>
          <w:b w:val="1"/>
          <w:bCs w:val="1"/>
          <w:color w:val="auto"/>
        </w:rPr>
        <w:t>Vesting date (“Vesting Date”):</w:t>
      </w:r>
      <w:r>
        <w:rPr>
          <w:sz w:val="20"/>
          <w:szCs w:val="20"/>
          <w:color w:val="auto"/>
        </w:rPr>
        <w:tab/>
      </w:r>
      <w:r>
        <w:rPr>
          <w:rFonts w:ascii="Times New Roman" w:cs="Times New Roman" w:eastAsia="Times New Roman" w:hAnsi="Times New Roman"/>
          <w:sz w:val="19"/>
          <w:szCs w:val="19"/>
          <w:color w:val="auto"/>
        </w:rPr>
        <w:t>[Vesting date]</w:t>
      </w:r>
    </w:p>
    <w:p>
      <w:pPr>
        <w:spacing w:after="0" w:line="1" w:lineRule="exact"/>
        <w:rPr>
          <w:rFonts w:ascii="Times New Roman" w:cs="Times New Roman" w:eastAsia="Times New Roman" w:hAnsi="Times New Roman"/>
          <w:sz w:val="19"/>
          <w:szCs w:val="19"/>
          <w:color w:val="auto"/>
        </w:rPr>
      </w:pPr>
    </w:p>
    <w:p>
      <w:pPr>
        <w:spacing w:after="0" w:line="237" w:lineRule="auto"/>
        <w:rPr>
          <w:sz w:val="20"/>
          <w:szCs w:val="20"/>
          <w:color w:val="auto"/>
        </w:rPr>
      </w:pPr>
      <w:r>
        <w:rPr>
          <w:rFonts w:ascii="Times New Roman" w:cs="Times New Roman" w:eastAsia="Times New Roman" w:hAnsi="Times New Roman"/>
          <w:sz w:val="20"/>
          <w:szCs w:val="20"/>
          <w:i w:val="1"/>
          <w:iCs w:val="1"/>
          <w:color w:val="auto"/>
        </w:rPr>
        <w:t>Except as otherwise provided in this Agreement, all vesting is dependent on the Participant remaining employed by, or providing service to, the Company or a subsidiary through the applicable Vesting Date.</w:t>
      </w:r>
    </w:p>
    <w:p>
      <w:pPr>
        <w:spacing w:after="0" w:line="1" w:lineRule="exact"/>
        <w:rPr>
          <w:rFonts w:ascii="Times New Roman" w:cs="Times New Roman" w:eastAsia="Times New Roman" w:hAnsi="Times New Roman"/>
          <w:sz w:val="19"/>
          <w:szCs w:val="19"/>
          <w:color w:val="auto"/>
        </w:rPr>
      </w:pPr>
    </w:p>
    <w:p>
      <w:pPr>
        <w:spacing w:after="0"/>
        <w:rPr>
          <w:sz w:val="20"/>
          <w:szCs w:val="20"/>
          <w:color w:val="auto"/>
        </w:rPr>
      </w:pPr>
      <w:r>
        <w:rPr>
          <w:rFonts w:ascii="Times New Roman" w:cs="Times New Roman" w:eastAsia="Times New Roman" w:hAnsi="Times New Roman"/>
          <w:sz w:val="20"/>
          <w:szCs w:val="20"/>
          <w:color w:val="auto"/>
        </w:rPr>
        <w:t>This Agreement includes this Notice of Award and the following Exhibits, which are expressly incorporated by reference in their entirety herein:</w:t>
      </w:r>
    </w:p>
    <w:p>
      <w:pPr>
        <w:spacing w:after="0" w:line="13" w:lineRule="exact"/>
        <w:rPr>
          <w:rFonts w:ascii="Times New Roman" w:cs="Times New Roman" w:eastAsia="Times New Roman" w:hAnsi="Times New Roman"/>
          <w:sz w:val="19"/>
          <w:szCs w:val="19"/>
          <w:color w:val="auto"/>
        </w:rPr>
      </w:pPr>
    </w:p>
    <w:p>
      <w:pPr>
        <w:ind w:left="1040" w:hanging="374"/>
        <w:spacing w:after="0"/>
        <w:tabs>
          <w:tab w:leader="none" w:pos="1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 General Terms and Conditions</w:t>
      </w:r>
    </w:p>
    <w:p>
      <w:pPr>
        <w:spacing w:after="0" w:line="35" w:lineRule="exact"/>
        <w:rPr>
          <w:rFonts w:ascii="Times New Roman" w:cs="Times New Roman" w:eastAsia="Times New Roman" w:hAnsi="Times New Roman"/>
          <w:sz w:val="19"/>
          <w:szCs w:val="19"/>
          <w:color w:val="auto"/>
        </w:rPr>
      </w:pPr>
    </w:p>
    <w:p>
      <w:pPr>
        <w:ind w:left="1500" w:hanging="370"/>
        <w:spacing w:after="0"/>
        <w:tabs>
          <w:tab w:leader="none" w:pos="15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u w:val="single" w:color="auto"/>
          <w:color w:val="auto"/>
        </w:rPr>
        <w:t>Schedule A: Terms of Performance Restricted Stock Units</w:t>
      </w:r>
    </w:p>
    <w:p>
      <w:pPr>
        <w:spacing w:after="0" w:line="52" w:lineRule="exact"/>
        <w:rPr>
          <w:rFonts w:ascii="Times New Roman" w:cs="Times New Roman" w:eastAsia="Times New Roman" w:hAnsi="Times New Roman"/>
          <w:sz w:val="18"/>
          <w:szCs w:val="18"/>
          <w:color w:val="auto"/>
        </w:rPr>
      </w:pPr>
    </w:p>
    <w:p>
      <w:pPr>
        <w:ind w:left="1040" w:hanging="374"/>
        <w:spacing w:after="0"/>
        <w:tabs>
          <w:tab w:leader="none" w:pos="10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 Country-Specific Terms</w:t>
      </w:r>
    </w:p>
    <w:p>
      <w:pPr>
        <w:spacing w:after="0" w:line="37" w:lineRule="exact"/>
        <w:rPr>
          <w:rFonts w:ascii="Times New Roman" w:cs="Times New Roman" w:eastAsia="Times New Roman" w:hAnsi="Times New Roman"/>
          <w:sz w:val="18"/>
          <w:szCs w:val="18"/>
          <w:color w:val="auto"/>
        </w:rPr>
      </w:pPr>
    </w:p>
    <w:p>
      <w:pPr>
        <w:ind w:left="1500" w:hanging="370"/>
        <w:spacing w:after="0"/>
        <w:tabs>
          <w:tab w:leader="none" w:pos="15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 I – Restrictive Covenants</w:t>
      </w:r>
    </w:p>
    <w:p>
      <w:pPr>
        <w:spacing w:after="0" w:line="37" w:lineRule="exact"/>
        <w:rPr>
          <w:rFonts w:ascii="Times New Roman" w:cs="Times New Roman" w:eastAsia="Times New Roman" w:hAnsi="Times New Roman"/>
          <w:sz w:val="18"/>
          <w:szCs w:val="18"/>
          <w:color w:val="auto"/>
        </w:rPr>
      </w:pPr>
    </w:p>
    <w:p>
      <w:pPr>
        <w:ind w:left="1500" w:hanging="370"/>
        <w:spacing w:after="0"/>
        <w:tabs>
          <w:tab w:leader="none" w:pos="15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Part II – Country-Specific Terms, Conditions and Notices for Participants Outside the U.S.</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column">
              <wp:posOffset>-7620</wp:posOffset>
            </wp:positionH>
            <wp:positionV relativeFrom="paragraph">
              <wp:posOffset>1019175</wp:posOffset>
            </wp:positionV>
            <wp:extent cx="71589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35" w:name="page136"/>
    <w:bookmarkEnd w:id="135"/>
    <w:p>
      <w:pPr>
        <w:spacing w:after="0" w:line="28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9"/>
          <w:szCs w:val="19"/>
          <w:color w:val="auto"/>
        </w:rPr>
        <w:t>This Agreement shall be accepted by the Participant in accordance with the electronic acceptance procedures set forth on the signature page.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Company has caused its duly authorized officer to execute this Agreement, and the Participant has executed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effective as of the Date of Grant.</w:t>
      </w:r>
    </w:p>
    <w:p>
      <w:pPr>
        <w:spacing w:after="0" w:line="16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color w:val="auto"/>
        </w:rPr>
        <w:t>ALLEGRO MICROSYSTEMS, INC.</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color w:val="auto"/>
        </w:rPr>
        <w:t>Name</w:t>
      </w:r>
    </w:p>
    <w:p>
      <w:pPr>
        <w:spacing w:after="0" w:line="3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Erin Hagen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Senior Vice President and Chief Human Resources Officer</w:t>
      </w:r>
    </w:p>
    <w:p>
      <w:pPr>
        <w:spacing w:after="0" w:line="211" w:lineRule="exact"/>
        <w:rPr>
          <w:sz w:val="20"/>
          <w:szCs w:val="20"/>
          <w:color w:val="auto"/>
        </w:rPr>
      </w:pPr>
    </w:p>
    <w:p>
      <w:pPr>
        <w:sectPr>
          <w:pgSz w:w="11900" w:h="16838" w:orient="portrait"/>
          <w:cols w:equalWidth="0" w:num="2">
            <w:col w:w="3380" w:space="320"/>
            <w:col w:w="7540"/>
          </w:cols>
          <w:pgMar w:left="320" w:top="1440" w:right="339" w:bottom="1440" w:gutter="0" w:footer="0" w:header="0"/>
          <w:type w:val="continuous"/>
        </w:sectPr>
      </w:pPr>
    </w:p>
    <w:p>
      <w:pPr>
        <w:spacing w:after="0" w:line="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ELECTRONIC ACCEPTANCE: </w:t>
      </w:r>
      <w:r>
        <w:rPr>
          <w:rFonts w:ascii="Times New Roman" w:cs="Times New Roman" w:eastAsia="Times New Roman" w:hAnsi="Times New Roman"/>
          <w:sz w:val="20"/>
          <w:szCs w:val="20"/>
          <w:color w:val="auto"/>
        </w:rPr>
        <w:t>By electronically accepting this Agreement via the Stock Plan Service Provider’s web portal at</w:t>
      </w:r>
      <w:r>
        <w:rPr>
          <w:rFonts w:ascii="Times New Roman" w:cs="Times New Roman" w:eastAsia="Times New Roman" w:hAnsi="Times New Roman"/>
          <w:sz w:val="20"/>
          <w:szCs w:val="20"/>
          <w:b w:val="1"/>
          <w:bCs w:val="1"/>
          <w:color w:val="auto"/>
        </w:rPr>
        <w:t xml:space="preserve"> www.netbenefits.fidelity.com </w:t>
      </w:r>
      <w:r>
        <w:rPr>
          <w:rFonts w:ascii="Times New Roman" w:cs="Times New Roman" w:eastAsia="Times New Roman" w:hAnsi="Times New Roman"/>
          <w:sz w:val="20"/>
          <w:szCs w:val="20"/>
          <w:color w:val="auto"/>
        </w:rPr>
        <w:t>and completing the electronic acceptance procedures reflected therein, the Participant hereby accepts the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Stock Units described in this Agreement, and the Participant expressly agrees to be bound by the terms and conditions of the Plan and this Agreement. Further, the Participant hereby expressly acknowledges and agrees that all decisions and determinations of the Committee with respect to the Stock Units shall be final, conclusive and binding upon the Participant.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0"/>
          <w:szCs w:val="20"/>
          <w:color w:val="FF0000"/>
        </w:rPr>
        <w:t>#AcceptanceDate#</w:t>
      </w:r>
      <w:r>
        <w:rPr>
          <w:sz w:val="20"/>
          <w:szCs w:val="20"/>
          <w:color w:val="auto"/>
        </w:rPr>
        <w:tab/>
      </w:r>
      <w:r>
        <w:rPr>
          <w:rFonts w:ascii="Times New Roman" w:cs="Times New Roman" w:eastAsia="Times New Roman" w:hAnsi="Times New Roman"/>
          <w:sz w:val="20"/>
          <w:szCs w:val="20"/>
          <w:color w:val="FF0000"/>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2489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0">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131445</wp:posOffset>
            </wp:positionV>
            <wp:extent cx="2489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1">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20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1121410</wp:posOffset>
            </wp:positionV>
            <wp:extent cx="71589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6" w:name="page137"/>
    <w:bookmarkEnd w:id="136"/>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GENERAL TERMS AND CONDITIONS</w:t>
      </w:r>
    </w:p>
    <w:p>
      <w:pPr>
        <w:spacing w:after="0" w:line="225" w:lineRule="exact"/>
        <w:rPr>
          <w:sz w:val="20"/>
          <w:szCs w:val="20"/>
          <w:color w:val="auto"/>
        </w:rPr>
      </w:pPr>
    </w:p>
    <w:p>
      <w:pPr>
        <w:jc w:val="both"/>
        <w:ind w:firstLine="7"/>
        <w:spacing w:after="0"/>
        <w:tabs>
          <w:tab w:leader="none" w:pos="509"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Grant of PSUs</w:t>
      </w:r>
      <w:r>
        <w:rPr>
          <w:rFonts w:ascii="Times New Roman" w:cs="Times New Roman" w:eastAsia="Times New Roman" w:hAnsi="Times New Roman"/>
          <w:sz w:val="20"/>
          <w:szCs w:val="20"/>
          <w:color w:val="auto"/>
        </w:rPr>
        <w:t>. Subject to the terms and conditions set forth in this Agreement and in the Plan, the Company hereby makes a grant of performance restricted stock units to the Participant consisting of the target number set forth in the Notice of Award, subject to the restrictions set forth below and in the Plan (the “</w:t>
      </w:r>
      <w:r>
        <w:rPr>
          <w:rFonts w:ascii="Times New Roman" w:cs="Times New Roman" w:eastAsia="Times New Roman" w:hAnsi="Times New Roman"/>
          <w:sz w:val="20"/>
          <w:szCs w:val="20"/>
          <w:u w:val="single" w:color="auto"/>
          <w:color w:val="auto"/>
        </w:rPr>
        <w:t>PSUs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Stock Units</w:t>
      </w:r>
      <w:r>
        <w:rPr>
          <w:rFonts w:ascii="Times New Roman" w:cs="Times New Roman" w:eastAsia="Times New Roman" w:hAnsi="Times New Roman"/>
          <w:sz w:val="20"/>
          <w:szCs w:val="20"/>
          <w:color w:val="auto"/>
        </w:rPr>
        <w:t>”). Each PSU represents the right of the Participant to receive a share of common stock of the Company (“</w:t>
      </w:r>
      <w:r>
        <w:rPr>
          <w:rFonts w:ascii="Times New Roman" w:cs="Times New Roman" w:eastAsia="Times New Roman" w:hAnsi="Times New Roman"/>
          <w:sz w:val="20"/>
          <w:szCs w:val="20"/>
          <w:u w:val="single" w:color="auto"/>
          <w:color w:val="auto"/>
        </w:rPr>
        <w:t>Company Stock</w:t>
      </w:r>
      <w:r>
        <w:rPr>
          <w:rFonts w:ascii="Times New Roman" w:cs="Times New Roman" w:eastAsia="Times New Roman" w:hAnsi="Times New Roman"/>
          <w:sz w:val="20"/>
          <w:szCs w:val="20"/>
          <w:color w:val="auto"/>
        </w:rPr>
        <w:t xml:space="preserve">”) if and when the specified conditions set forth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are met, and on the applicable settlement date set forth in Section 4 below.</w:t>
      </w:r>
    </w:p>
    <w:p>
      <w:pPr>
        <w:spacing w:after="0" w:line="202" w:lineRule="exact"/>
        <w:rPr>
          <w:rFonts w:ascii="Times New Roman" w:cs="Times New Roman" w:eastAsia="Times New Roman" w:hAnsi="Times New Roman"/>
          <w:sz w:val="21"/>
          <w:szCs w:val="21"/>
          <w:color w:val="auto"/>
        </w:rPr>
      </w:pPr>
    </w:p>
    <w:p>
      <w:pPr>
        <w:jc w:val="both"/>
        <w:ind w:firstLine="7"/>
        <w:spacing w:after="0"/>
        <w:tabs>
          <w:tab w:leader="none" w:pos="509"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Stock Unit Account</w:t>
      </w:r>
      <w:r>
        <w:rPr>
          <w:rFonts w:ascii="Times New Roman" w:cs="Times New Roman" w:eastAsia="Times New Roman" w:hAnsi="Times New Roman"/>
          <w:sz w:val="20"/>
          <w:szCs w:val="20"/>
          <w:color w:val="auto"/>
        </w:rPr>
        <w:t>. PSUs represent hypothetical shares of Company Stock, and not actual shares of stock. The Company shall establish and maintain a Stock Unit account, as a bookkeeping account on its records, for the Participant and shall record in such account the number of PSUs granted to the Participant. No shares of Company Stock shall be issued to the Participant at the time the grant is made, and the Participant shall not be, and shall not have any of the rights or privileges of, a stockholder of the Company with respect to any PSUs recorded in the Stock Unit account. The Participant shall not have any interest in any fund or specific assets of the Company by reason of this award or the Stock Unit account established for the Participant.</w:t>
      </w:r>
    </w:p>
    <w:p>
      <w:pPr>
        <w:spacing w:after="0" w:line="200" w:lineRule="exact"/>
        <w:rPr>
          <w:rFonts w:ascii="Times New Roman" w:cs="Times New Roman" w:eastAsia="Times New Roman" w:hAnsi="Times New Roman"/>
          <w:sz w:val="21"/>
          <w:szCs w:val="21"/>
          <w:color w:val="auto"/>
        </w:rPr>
      </w:pPr>
    </w:p>
    <w:p>
      <w:pPr>
        <w:ind w:left="520" w:hanging="513"/>
        <w:spacing w:after="0"/>
        <w:tabs>
          <w:tab w:leader="none" w:pos="52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Vesting; Forfeiture</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1"/>
          <w:szCs w:val="21"/>
          <w:color w:val="auto"/>
        </w:rPr>
      </w:pPr>
    </w:p>
    <w:p>
      <w:pPr>
        <w:jc w:val="both"/>
        <w:ind w:firstLine="756"/>
        <w:spacing w:after="0" w:line="245" w:lineRule="auto"/>
        <w:tabs>
          <w:tab w:leader="none" w:pos="1018"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i w:val="1"/>
          <w:iCs w:val="1"/>
          <w:u w:val="single" w:color="auto"/>
          <w:color w:val="auto"/>
        </w:rPr>
        <w:t>Vesting</w:t>
      </w:r>
      <w:r>
        <w:rPr>
          <w:rFonts w:ascii="Times New Roman" w:cs="Times New Roman" w:eastAsia="Times New Roman" w:hAnsi="Times New Roman"/>
          <w:sz w:val="20"/>
          <w:szCs w:val="20"/>
          <w:color w:val="auto"/>
        </w:rPr>
        <w:t>. The PSUs shall become vested in accordance with the terms and conditions set forth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incorporated herein by reference, subject to Participant’s continued employment or service with the Company or a subsidiary, as applicable, through the Vesting Date (as set forth in the Notice of Award).</w:t>
      </w:r>
    </w:p>
    <w:p>
      <w:pPr>
        <w:spacing w:after="0" w:line="193" w:lineRule="exact"/>
        <w:rPr>
          <w:rFonts w:ascii="Times New Roman" w:cs="Times New Roman" w:eastAsia="Times New Roman" w:hAnsi="Times New Roman"/>
          <w:sz w:val="21"/>
          <w:szCs w:val="21"/>
          <w:color w:val="auto"/>
        </w:rPr>
      </w:pPr>
    </w:p>
    <w:p>
      <w:pPr>
        <w:ind w:left="1020" w:hanging="264"/>
        <w:spacing w:after="0"/>
        <w:tabs>
          <w:tab w:leader="none" w:pos="102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i w:val="1"/>
          <w:iCs w:val="1"/>
          <w:u w:val="single" w:color="auto"/>
          <w:color w:val="auto"/>
        </w:rPr>
        <w:t>Termination of Employment or Service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1"/>
          <w:szCs w:val="21"/>
          <w:color w:val="auto"/>
        </w:rPr>
      </w:pPr>
    </w:p>
    <w:p>
      <w:pPr>
        <w:jc w:val="both"/>
        <w:ind w:firstLine="1505"/>
        <w:spacing w:after="0" w:line="241" w:lineRule="auto"/>
        <w:tabs>
          <w:tab w:leader="none" w:pos="2037" w:val="left"/>
        </w:tabs>
        <w:numPr>
          <w:ilvl w:val="2"/>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If the Participant experiences a termination of employment or service for any reason prior to the applicable Vesting Date, any PSUs that are not vested PSUs (“</w:t>
      </w:r>
      <w:r>
        <w:rPr>
          <w:rFonts w:ascii="Times New Roman" w:cs="Times New Roman" w:eastAsia="Times New Roman" w:hAnsi="Times New Roman"/>
          <w:sz w:val="20"/>
          <w:szCs w:val="20"/>
          <w:u w:val="single" w:color="auto"/>
          <w:color w:val="auto"/>
        </w:rPr>
        <w:t>Unvested PSUs</w:t>
      </w:r>
      <w:r>
        <w:rPr>
          <w:rFonts w:ascii="Times New Roman" w:cs="Times New Roman" w:eastAsia="Times New Roman" w:hAnsi="Times New Roman"/>
          <w:sz w:val="20"/>
          <w:szCs w:val="20"/>
          <w:color w:val="auto"/>
        </w:rPr>
        <w:t xml:space="preserve">”) as of the date of such termination shall automatically be terminated and forfeited as of the date of the Participant’s termination of employment or service, except as otherwise set forth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No payment shall be made with respect to any Unvested PSUs that terminate as described in this Section 3.</w:t>
      </w:r>
    </w:p>
    <w:p>
      <w:pPr>
        <w:spacing w:after="0" w:line="201" w:lineRule="exact"/>
        <w:rPr>
          <w:rFonts w:ascii="Times New Roman" w:cs="Times New Roman" w:eastAsia="Times New Roman" w:hAnsi="Times New Roman"/>
          <w:sz w:val="21"/>
          <w:szCs w:val="21"/>
          <w:color w:val="auto"/>
        </w:rPr>
      </w:pPr>
    </w:p>
    <w:p>
      <w:pPr>
        <w:jc w:val="both"/>
        <w:ind w:firstLine="1505"/>
        <w:spacing w:after="0" w:line="239" w:lineRule="auto"/>
        <w:tabs>
          <w:tab w:leader="none" w:pos="2037" w:val="left"/>
        </w:tabs>
        <w:numPr>
          <w:ilvl w:val="2"/>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For purposes of this Agreement and notwithstanding anything to the contrary in the Plan, the Participant’s employment or service may, at the discretion of the Committee, be deemed to terminate on the date that the Participant ceases to actively be employed or provide services to the Company or a subsidiary and shall not be extended by any notice period mandated or implied under local law during which the Participant is not actually employed or providing services (e.g., garden leave or similar leave) or during or for which the Participant receives pay in lieu of notice or severance pay. The Company shall have the sole discretion to determine whether the Participant’s employment will be deemed to terminate when the Participant’s ceases to be actively employed as well as when the Participant is no longer in active employment or service for purposes of this Agreement, without reference to any other agreement, written or oral, including the Participant’s contract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1106805</wp:posOffset>
            </wp:positionV>
            <wp:extent cx="715899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93" w:lineRule="exact"/>
        <w:rPr>
          <w:sz w:val="20"/>
          <w:szCs w:val="20"/>
          <w:color w:val="auto"/>
        </w:rPr>
      </w:pPr>
    </w:p>
    <w:p>
      <w:pPr>
        <w:jc w:val="both"/>
        <w:ind w:left="-7" w:firstLine="756"/>
        <w:spacing w:after="0" w:line="245" w:lineRule="auto"/>
        <w:tabs>
          <w:tab w:leader="none" w:pos="1011"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i w:val="1"/>
          <w:iCs w:val="1"/>
          <w:u w:val="single" w:color="auto"/>
          <w:color w:val="auto"/>
        </w:rPr>
        <w:t>Forfeiture</w:t>
      </w:r>
      <w:r>
        <w:rPr>
          <w:rFonts w:ascii="Times New Roman" w:cs="Times New Roman" w:eastAsia="Times New Roman" w:hAnsi="Times New Roman"/>
          <w:sz w:val="20"/>
          <w:szCs w:val="20"/>
          <w:color w:val="auto"/>
        </w:rPr>
        <w:t>. Any Unvested PSUs that remain outstanding as of the close of business on the last day of the Performance Period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defined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in accordance with the terms and conditions set forth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will automatically be forfeited and terminated at such time without consideration therefor, except as otherwise set forth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1"/>
          <w:szCs w:val="21"/>
          <w:color w:val="auto"/>
        </w:rPr>
      </w:pPr>
    </w:p>
    <w:p>
      <w:pPr>
        <w:ind w:left="513" w:hanging="513"/>
        <w:spacing w:after="0"/>
        <w:tabs>
          <w:tab w:leader="none" w:pos="513"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Settlement; Tax Withholding</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1"/>
          <w:szCs w:val="21"/>
          <w:color w:val="auto"/>
        </w:rPr>
      </w:pPr>
    </w:p>
    <w:p>
      <w:pPr>
        <w:jc w:val="both"/>
        <w:ind w:left="-7" w:firstLine="756"/>
        <w:spacing w:after="0" w:line="241" w:lineRule="auto"/>
        <w:tabs>
          <w:tab w:leader="none" w:pos="1011"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i w:val="1"/>
          <w:iCs w:val="1"/>
          <w:u w:val="single" w:color="auto"/>
          <w:color w:val="auto"/>
        </w:rPr>
        <w:t>Settlement.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Each PSU that becomes a vested PSU shall be settled by issuing to the Participant one share of Company Stock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soon as administratively feasible following the Vesting Date, and in no event later than the 15th day of the third month immediately following the end of the calendar year in which the Vesting Date occurs, subject to Sections 4(b)(i), 4(b)(ii), 4(b)(iv), and 13 below and provided the Company shall have no obligation to issue shares pursuant to this Agreement unless and until the Participant has satisfied any applicable tax withholding obligations pursuant to Section 4(b) below.</w:t>
      </w:r>
    </w:p>
    <w:p>
      <w:pPr>
        <w:spacing w:after="0" w:line="197" w:lineRule="exact"/>
        <w:rPr>
          <w:rFonts w:ascii="Times New Roman" w:cs="Times New Roman" w:eastAsia="Times New Roman" w:hAnsi="Times New Roman"/>
          <w:sz w:val="21"/>
          <w:szCs w:val="21"/>
          <w:color w:val="auto"/>
        </w:rPr>
      </w:pPr>
    </w:p>
    <w:p>
      <w:pPr>
        <w:ind w:left="1013" w:hanging="264"/>
        <w:spacing w:after="0"/>
        <w:tabs>
          <w:tab w:leader="none" w:pos="1013"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i w:val="1"/>
          <w:iCs w:val="1"/>
          <w:u w:val="single" w:color="auto"/>
          <w:color w:val="auto"/>
        </w:rPr>
        <w:t>Tax Withholding</w:t>
      </w:r>
    </w:p>
    <w:p>
      <w:pPr>
        <w:spacing w:after="0" w:line="215" w:lineRule="exact"/>
        <w:rPr>
          <w:rFonts w:ascii="Times New Roman" w:cs="Times New Roman" w:eastAsia="Times New Roman" w:hAnsi="Times New Roman"/>
          <w:sz w:val="21"/>
          <w:szCs w:val="21"/>
          <w:color w:val="auto"/>
        </w:rPr>
      </w:pPr>
    </w:p>
    <w:p>
      <w:pPr>
        <w:jc w:val="both"/>
        <w:ind w:left="-7" w:firstLine="1505"/>
        <w:spacing w:after="0" w:line="238" w:lineRule="auto"/>
        <w:tabs>
          <w:tab w:leader="none" w:pos="2030" w:val="left"/>
        </w:tabs>
        <w:numPr>
          <w:ilvl w:val="2"/>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Participant acknowledges that, regardless of any action taken by the Company or, if different, the Employer, the ultimate liability for all income tax, social insurance, payroll tax, fringe benefits tax, payment on account or other tax-related items related to the Participant’s participation in the Plan and legally applicable or deemed applicable to the Participant (“</w:t>
      </w:r>
      <w:r>
        <w:rPr>
          <w:rFonts w:ascii="Times New Roman" w:cs="Times New Roman" w:eastAsia="Times New Roman" w:hAnsi="Times New Roman"/>
          <w:sz w:val="20"/>
          <w:szCs w:val="20"/>
          <w:u w:val="single" w:color="auto"/>
          <w:color w:val="auto"/>
        </w:rPr>
        <w:t>Tax-Related Items</w:t>
      </w:r>
      <w:r>
        <w:rPr>
          <w:rFonts w:ascii="Times New Roman" w:cs="Times New Roman" w:eastAsia="Times New Roman" w:hAnsi="Times New Roman"/>
          <w:sz w:val="20"/>
          <w:szCs w:val="20"/>
          <w:color w:val="auto"/>
        </w:rPr>
        <w:t>”) is and remains the Participant’s responsibility and may exceed the amount, if any, actually withheld by the Company or the Employer. The Participant further acknowledges that the Company and/or the Employer (i) make no representations or undertakings regarding the treatment of any Tax-Related Items in connection with any aspect of the PSUs or the underlying shares of Company Stock, including, but not limited to, the grant, vesting or settlement of the PSUs, the subsequent sale of shares of Company Stock acquired pursuant to such settlement and the receipt of any dividends; and (ii) do not commit to and are under no obligation to structure the terms of the grant or any aspect of the PSUs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208" w:lineRule="exact"/>
        <w:rPr>
          <w:rFonts w:ascii="Times New Roman" w:cs="Times New Roman" w:eastAsia="Times New Roman" w:hAnsi="Times New Roman"/>
          <w:sz w:val="21"/>
          <w:szCs w:val="21"/>
          <w:color w:val="auto"/>
        </w:rPr>
      </w:pPr>
    </w:p>
    <w:p>
      <w:pPr>
        <w:jc w:val="both"/>
        <w:ind w:left="-7" w:firstLine="1505"/>
        <w:spacing w:after="0" w:line="238" w:lineRule="auto"/>
        <w:tabs>
          <w:tab w:leader="none" w:pos="2030" w:val="left"/>
        </w:tabs>
        <w:numPr>
          <w:ilvl w:val="2"/>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Prior to any relevant taxable or tax withholding event, as applicable, the Participant agrees to make adequate arrangements satisfactory to the Company and/or the Employer to satisfy all Tax-Related Items. In this regard, the Participant authorizes the Company or its agent to satisfy the obligations with regard to all Tax-Related Items by withholding shares of Company Stock otherwise issuable upon vesting that have an aggregate Fair Market Value sufficient to pay the minimum Tax-Related Items required to be withheld (or an equivalent cash amount, where the PSUs are settled in cash in the Company’s sole discretion) or such additional Tax-Related Items elected by the Participant. For purposes of the foregoing, no fractional shares of Company Stock will be withheld or issued pursuant to the grant of the PSUs. In the event that such withholding in shares of Company Stock is problematic under applicable tax or securities law or has materially adverse accounting consequences, by accepting this Agreement, the Participant authorizes the Company or its respective agents to satisfy any applicable withholding obligations or rights with regard to all Tax-Related Items by (i) selling on the Participant’s behalf a whole number of shares from those shares of Company Stock issued to the Participant as the Company determines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1111250</wp:posOffset>
            </wp:positionV>
            <wp:extent cx="715899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33"/>
          </w:cols>
          <w:pgMar w:left="327" w:top="1440" w:right="339" w:bottom="1440" w:gutter="0" w:footer="0" w:header="0"/>
        </w:sectPr>
      </w:pPr>
    </w:p>
    <w:bookmarkStart w:id="138" w:name="page139"/>
    <w:bookmarkEnd w:id="138"/>
    <w:p>
      <w:pPr>
        <w:spacing w:after="0" w:line="2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appropriate to generate cash proceeds sufficient to satisfy any applicable withholding obligations or rights for Tax-Related Items, (ii) withholding from the Participant’s wages or other cash compensation paid to the Participant by the Company and/or the Employer (iii) requiring the Participant to make cash payment in an amount equal to the withholding obligations or rights for Tax-Related Items or (iv) any other method of withholding determined by the Company and to the extent required by applicable law or the Plan, approved by the Committee.</w:t>
      </w:r>
    </w:p>
    <w:p>
      <w:pPr>
        <w:spacing w:after="0" w:line="200" w:lineRule="exact"/>
        <w:rPr>
          <w:sz w:val="20"/>
          <w:szCs w:val="20"/>
          <w:color w:val="auto"/>
        </w:rPr>
      </w:pPr>
    </w:p>
    <w:p>
      <w:pPr>
        <w:jc w:val="both"/>
        <w:ind w:firstLine="1505"/>
        <w:spacing w:after="0" w:line="253" w:lineRule="auto"/>
        <w:tabs>
          <w:tab w:leader="none" w:pos="2037"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The Company may withhold or account for Tax-Related Items by considering applicable minimum statutory withholding rates or other applicable withholding rates, including maximum withholding rates applicable in the Participant’s jurisdiction(s) or withholding rates greater than the applicable minimum statutory withholding rates as elected by the Participant. In the event of over-withholding, the Participant may receive a refund of any over-withheld amount in cash and (with no entitlement to the equivalent in shares of Company Stock) or if not refunded, the Participant may be able to seek a refund from the local tax authorities. In the event of under-withholding, the Participant may be required to pay any additional Tax-Related Items directly to the applicable tax authority or to the Company and/or the Employer. If any obligation for Tax-Related Items is satisfied by withholding in shares of Company Stock, for tax purposes, the Participant is deemed to have been issued the full number of shares of Company Stock subject to the vested PSUs, notwithstanding that a number of the shares of Company Stock is held back solely for the purpose of paying certain of the Tax-Related Items.</w:t>
      </w:r>
    </w:p>
    <w:p>
      <w:pPr>
        <w:spacing w:after="0" w:line="188" w:lineRule="exact"/>
        <w:rPr>
          <w:rFonts w:ascii="Times New Roman" w:cs="Times New Roman" w:eastAsia="Times New Roman" w:hAnsi="Times New Roman"/>
          <w:sz w:val="20"/>
          <w:szCs w:val="20"/>
          <w:color w:val="auto"/>
        </w:rPr>
      </w:pPr>
    </w:p>
    <w:p>
      <w:pPr>
        <w:jc w:val="both"/>
        <w:ind w:firstLine="1505"/>
        <w:spacing w:after="0" w:line="241" w:lineRule="auto"/>
        <w:tabs>
          <w:tab w:leader="none" w:pos="2037"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Participant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or cash in settlement of the PSUs if the Participant fails to comply with the Participant’s obligations in connection with the Tax-Related Items.</w:t>
      </w:r>
    </w:p>
    <w:p>
      <w:pPr>
        <w:spacing w:after="0" w:line="201" w:lineRule="exact"/>
        <w:rPr>
          <w:rFonts w:ascii="Times New Roman" w:cs="Times New Roman" w:eastAsia="Times New Roman" w:hAnsi="Times New Roman"/>
          <w:sz w:val="21"/>
          <w:szCs w:val="21"/>
          <w:color w:val="auto"/>
        </w:rPr>
      </w:pPr>
    </w:p>
    <w:p>
      <w:pPr>
        <w:jc w:val="both"/>
        <w:ind w:firstLine="1505"/>
        <w:spacing w:after="0" w:line="239" w:lineRule="auto"/>
        <w:tabs>
          <w:tab w:leader="none" w:pos="2037"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obligation of the Company to deliver Company Stock shall also be subject to the condition that if at any time the Board shall determine in its discretion that the listing, registration or qualification of the shares upon any securities exchange or under any state or federal or local law, or the consent or approval of any governmental regulatory body is necessary or desirable as a condition of, or in connection with, the issuance of shares, the shares may not be issued in whole or in part unless such listing, registration, qualification, consent or approval shall have been effected or obtained free of any conditions not acceptable to the Board. The issuance of shares, if any, to the Participant pursuant to this Agreement is subject to any applicable taxes and other laws or regulations of the United States or of any state, municipality or other country having jurisdiction thereof.</w:t>
      </w:r>
    </w:p>
    <w:p>
      <w:pPr>
        <w:spacing w:after="0" w:line="204" w:lineRule="exact"/>
        <w:rPr>
          <w:rFonts w:ascii="Times New Roman" w:cs="Times New Roman" w:eastAsia="Times New Roman" w:hAnsi="Times New Roman"/>
          <w:sz w:val="21"/>
          <w:szCs w:val="21"/>
          <w:color w:val="auto"/>
        </w:rPr>
      </w:pPr>
    </w:p>
    <w:p>
      <w:pPr>
        <w:jc w:val="both"/>
        <w:ind w:firstLine="7"/>
        <w:spacing w:after="0" w:line="241" w:lineRule="auto"/>
        <w:tabs>
          <w:tab w:leader="none" w:pos="509"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No Stockholder Rights; Dividend Equivalents</w:t>
      </w:r>
      <w:r>
        <w:rPr>
          <w:rFonts w:ascii="Times New Roman" w:cs="Times New Roman" w:eastAsia="Times New Roman" w:hAnsi="Times New Roman"/>
          <w:sz w:val="20"/>
          <w:szCs w:val="20"/>
          <w:color w:val="auto"/>
        </w:rPr>
        <w:t>. Neither the Participant, nor any person entitled to be delivered shares of Company Stock in the event of the Participant’s death, shall have any of the rights and privileges of a stockholder with respect to shares of Company Stock, including voting or dividend rights, until certificates for shares have been issued, or applicable book entry has been made, upon vesting of PSUs.</w:t>
      </w:r>
    </w:p>
    <w:p>
      <w:pPr>
        <w:spacing w:after="0" w:line="201" w:lineRule="exact"/>
        <w:rPr>
          <w:rFonts w:ascii="Times New Roman" w:cs="Times New Roman" w:eastAsia="Times New Roman" w:hAnsi="Times New Roman"/>
          <w:sz w:val="21"/>
          <w:szCs w:val="21"/>
          <w:color w:val="auto"/>
        </w:rPr>
      </w:pPr>
    </w:p>
    <w:p>
      <w:pPr>
        <w:jc w:val="both"/>
        <w:ind w:firstLine="7"/>
        <w:spacing w:after="0" w:line="244" w:lineRule="auto"/>
        <w:tabs>
          <w:tab w:leader="none" w:pos="509"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Grant Subject to Plan Provisions</w:t>
      </w:r>
      <w:r>
        <w:rPr>
          <w:rFonts w:ascii="Times New Roman" w:cs="Times New Roman" w:eastAsia="Times New Roman" w:hAnsi="Times New Roman"/>
          <w:sz w:val="20"/>
          <w:szCs w:val="20"/>
          <w:color w:val="auto"/>
        </w:rPr>
        <w:t>. The PSUs are subject to the terms and conditions set forth in this Agreement and the Plan, the terms of which are incorporated herein by reference, and in all respects shall be interpreted in accordance with the Plan. The grant and payment of the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1102995</wp:posOffset>
            </wp:positionV>
            <wp:extent cx="71589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82"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20"/>
          <w:szCs w:val="20"/>
          <w:color w:val="auto"/>
        </w:rPr>
        <w:t>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Tax-Related Items, (b) the registration, qualification or listing of the shares of Company Stock, (c) changes in capitalization of the Company, (d) the Company’s discretion to determine the final settlement in accordance with the Plan and (e) other requirements of applicable law. The Committee shall have the authority to interpret and construe the PSUs pursuant to the terms of the Plan, and its decisions shall be conclusive as to any questions arising hereunder.</w:t>
      </w:r>
    </w:p>
    <w:p>
      <w:pPr>
        <w:spacing w:after="0" w:line="200" w:lineRule="exact"/>
        <w:rPr>
          <w:sz w:val="20"/>
          <w:szCs w:val="20"/>
          <w:color w:val="auto"/>
        </w:rPr>
      </w:pPr>
    </w:p>
    <w:p>
      <w:pPr>
        <w:jc w:val="both"/>
        <w:ind w:firstLine="7"/>
        <w:spacing w:after="0" w:line="241" w:lineRule="auto"/>
        <w:tabs>
          <w:tab w:leader="none" w:pos="509"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No Employment or Other Rights</w:t>
      </w:r>
      <w:r>
        <w:rPr>
          <w:rFonts w:ascii="Times New Roman" w:cs="Times New Roman" w:eastAsia="Times New Roman" w:hAnsi="Times New Roman"/>
          <w:sz w:val="20"/>
          <w:szCs w:val="20"/>
          <w:color w:val="auto"/>
        </w:rPr>
        <w:t>. The grant of the PSUs shall not confer upon the Participant any right to be retained by or in the employ or service of any Employer and shall not interfere in any way with the right of any Employer to terminate the Participant’s employment or service at any time, subject to compliance with local law and the terms of any applicable employment agreement. The right of any Employer to terminate at will the Participant’s employment or service at any time for any reason is specifically reserved.</w:t>
      </w:r>
    </w:p>
    <w:p>
      <w:pPr>
        <w:spacing w:after="0" w:line="201" w:lineRule="exact"/>
        <w:rPr>
          <w:rFonts w:ascii="Times New Roman" w:cs="Times New Roman" w:eastAsia="Times New Roman" w:hAnsi="Times New Roman"/>
          <w:sz w:val="21"/>
          <w:szCs w:val="21"/>
          <w:color w:val="auto"/>
        </w:rPr>
      </w:pPr>
    </w:p>
    <w:p>
      <w:pPr>
        <w:ind w:firstLine="7"/>
        <w:spacing w:after="0" w:line="251" w:lineRule="auto"/>
        <w:tabs>
          <w:tab w:leader="none" w:pos="509"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No Entitlement or Claims for Compensation</w:t>
      </w:r>
      <w:r>
        <w:rPr>
          <w:rFonts w:ascii="Times New Roman" w:cs="Times New Roman" w:eastAsia="Times New Roman" w:hAnsi="Times New Roman"/>
          <w:sz w:val="20"/>
          <w:szCs w:val="20"/>
          <w:color w:val="auto"/>
        </w:rPr>
        <w:t>. In connection with the acceptance of the grant of PSUs under this Agreement, the Participant acknowledges the following:</w:t>
      </w:r>
    </w:p>
    <w:p>
      <w:pPr>
        <w:spacing w:after="0" w:line="188" w:lineRule="exact"/>
        <w:rPr>
          <w:rFonts w:ascii="Times New Roman" w:cs="Times New Roman" w:eastAsia="Times New Roman" w:hAnsi="Times New Roman"/>
          <w:sz w:val="21"/>
          <w:szCs w:val="21"/>
          <w:color w:val="auto"/>
        </w:rPr>
      </w:pPr>
    </w:p>
    <w:p>
      <w:pPr>
        <w:ind w:firstLine="756"/>
        <w:spacing w:after="0" w:line="251" w:lineRule="auto"/>
        <w:tabs>
          <w:tab w:leader="none" w:pos="1018"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88" w:lineRule="exact"/>
        <w:rPr>
          <w:rFonts w:ascii="Times New Roman" w:cs="Times New Roman" w:eastAsia="Times New Roman" w:hAnsi="Times New Roman"/>
          <w:sz w:val="21"/>
          <w:szCs w:val="21"/>
          <w:color w:val="auto"/>
        </w:rPr>
      </w:pPr>
    </w:p>
    <w:p>
      <w:pPr>
        <w:ind w:right="340" w:firstLine="756"/>
        <w:spacing w:after="0" w:line="251" w:lineRule="auto"/>
        <w:tabs>
          <w:tab w:leader="none" w:pos="1018"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grant of PSUs is exceptional, voluntary and occasional and does not create any contractual or other right to receive future grants of PSUs, or benefits in lieu of PSUs, even if PSUs have been granted repeatedly in the past.</w:t>
      </w:r>
    </w:p>
    <w:p>
      <w:pPr>
        <w:spacing w:after="0" w:line="188" w:lineRule="exact"/>
        <w:rPr>
          <w:rFonts w:ascii="Times New Roman" w:cs="Times New Roman" w:eastAsia="Times New Roman" w:hAnsi="Times New Roman"/>
          <w:sz w:val="21"/>
          <w:szCs w:val="21"/>
          <w:color w:val="auto"/>
        </w:rPr>
      </w:pPr>
    </w:p>
    <w:p>
      <w:pPr>
        <w:ind w:right="460" w:firstLine="756"/>
        <w:spacing w:after="0" w:line="244" w:lineRule="auto"/>
        <w:tabs>
          <w:tab w:leader="none" w:pos="1018"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Plan is operated and the PSUs are granted solely by the Company and only the Company is party to this Agreement; accordingly, any rights the Participant may have under this Agreement may be raised only against the Company but not any subsidiary or affiliate of the Company (including, but not limited to, the Employer).</w:t>
      </w:r>
    </w:p>
    <w:p>
      <w:pPr>
        <w:spacing w:after="0" w:line="196" w:lineRule="exact"/>
        <w:rPr>
          <w:rFonts w:ascii="Times New Roman" w:cs="Times New Roman" w:eastAsia="Times New Roman" w:hAnsi="Times New Roman"/>
          <w:sz w:val="21"/>
          <w:szCs w:val="21"/>
          <w:color w:val="auto"/>
        </w:rPr>
      </w:pPr>
    </w:p>
    <w:p>
      <w:pPr>
        <w:ind w:left="1020" w:hanging="264"/>
        <w:spacing w:after="0"/>
        <w:tabs>
          <w:tab w:leader="none" w:pos="1020"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All decisions with respect to future grants of PSUs, if any, will be at the sole discretion of the Committee.</w:t>
      </w:r>
    </w:p>
    <w:p>
      <w:pPr>
        <w:spacing w:after="0" w:line="213" w:lineRule="exact"/>
        <w:rPr>
          <w:rFonts w:ascii="Times New Roman" w:cs="Times New Roman" w:eastAsia="Times New Roman" w:hAnsi="Times New Roman"/>
          <w:sz w:val="21"/>
          <w:szCs w:val="21"/>
          <w:color w:val="auto"/>
        </w:rPr>
      </w:pPr>
    </w:p>
    <w:p>
      <w:pPr>
        <w:ind w:left="1020" w:hanging="264"/>
        <w:spacing w:after="0"/>
        <w:tabs>
          <w:tab w:leader="none" w:pos="1020"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Participant is voluntarily participating in the Plan.</w:t>
      </w:r>
    </w:p>
    <w:p>
      <w:pPr>
        <w:spacing w:after="0" w:line="213" w:lineRule="exact"/>
        <w:rPr>
          <w:rFonts w:ascii="Times New Roman" w:cs="Times New Roman" w:eastAsia="Times New Roman" w:hAnsi="Times New Roman"/>
          <w:sz w:val="21"/>
          <w:szCs w:val="21"/>
          <w:color w:val="auto"/>
        </w:rPr>
      </w:pPr>
    </w:p>
    <w:p>
      <w:pPr>
        <w:jc w:val="both"/>
        <w:ind w:firstLine="756"/>
        <w:spacing w:after="0" w:line="244" w:lineRule="auto"/>
        <w:tabs>
          <w:tab w:leader="none" w:pos="1018"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This grant of PSUs and any Company Stock acquired under the Plan in connection with the PSUs are extraordinary items that do not constitute compensation of any kind for services of any kind rendered to the Company, Employer or any affiliate and which are outside the scope of the Participant’s employment contract, if any.</w:t>
      </w:r>
    </w:p>
    <w:p>
      <w:pPr>
        <w:spacing w:after="0" w:line="196" w:lineRule="exact"/>
        <w:rPr>
          <w:rFonts w:ascii="Times New Roman" w:cs="Times New Roman" w:eastAsia="Times New Roman" w:hAnsi="Times New Roman"/>
          <w:sz w:val="21"/>
          <w:szCs w:val="21"/>
          <w:color w:val="auto"/>
        </w:rPr>
      </w:pPr>
    </w:p>
    <w:p>
      <w:pPr>
        <w:jc w:val="both"/>
        <w:ind w:firstLine="756"/>
        <w:spacing w:after="0" w:line="241" w:lineRule="auto"/>
        <w:tabs>
          <w:tab w:leader="none" w:pos="1018"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This grant of PSUs and any Company Stock acquired under the Plan and their value are not to be considered part of the Participant’s normal or expected compensation or salary for any purpose, including, but not limited to, calculating any severance, resignation, termination, redundancy, dismissal, end-of-service payments, bonuses, holiday pay, long-service awards, pension or retirement or welfare benefits or similar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1106170</wp:posOffset>
            </wp:positionV>
            <wp:extent cx="71589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95" w:lineRule="exact"/>
        <w:rPr>
          <w:sz w:val="20"/>
          <w:szCs w:val="20"/>
          <w:color w:val="auto"/>
        </w:rPr>
      </w:pPr>
    </w:p>
    <w:p>
      <w:pPr>
        <w:ind w:left="-7" w:firstLine="756"/>
        <w:spacing w:after="0" w:line="251" w:lineRule="auto"/>
        <w:tabs>
          <w:tab w:leader="none" w:pos="1011"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This grant of PSUs and any Company Stock acquired under the Plan in connection with the PSUs are not intended to replace any pension rights or compensation.</w:t>
      </w:r>
    </w:p>
    <w:p>
      <w:pPr>
        <w:spacing w:after="0" w:line="188" w:lineRule="exact"/>
        <w:rPr>
          <w:rFonts w:ascii="Times New Roman" w:cs="Times New Roman" w:eastAsia="Times New Roman" w:hAnsi="Times New Roman"/>
          <w:sz w:val="21"/>
          <w:szCs w:val="21"/>
          <w:color w:val="auto"/>
        </w:rPr>
      </w:pPr>
    </w:p>
    <w:p>
      <w:pPr>
        <w:jc w:val="both"/>
        <w:ind w:left="-7" w:firstLine="756"/>
        <w:spacing w:after="0" w:line="244" w:lineRule="auto"/>
        <w:tabs>
          <w:tab w:leader="none" w:pos="1011"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Unless otherwise agreed with the Company in writing, the PSUs and the shares of Company Stock subject to the PSUs, and the income from and value of same, are not granted as consideration for, or in connection with, the service the Participant may provide as a director of a subsidiary of the Company.</w:t>
      </w:r>
    </w:p>
    <w:p>
      <w:pPr>
        <w:spacing w:after="0" w:line="196" w:lineRule="exact"/>
        <w:rPr>
          <w:rFonts w:ascii="Times New Roman" w:cs="Times New Roman" w:eastAsia="Times New Roman" w:hAnsi="Times New Roman"/>
          <w:sz w:val="21"/>
          <w:szCs w:val="21"/>
          <w:color w:val="auto"/>
        </w:rPr>
      </w:pPr>
    </w:p>
    <w:p>
      <w:pPr>
        <w:jc w:val="both"/>
        <w:ind w:left="-7" w:firstLine="756"/>
        <w:spacing w:after="0"/>
        <w:tabs>
          <w:tab w:leader="none" w:pos="1011"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future value of shares of Company Stock is unknown and cannot be predicted with certainty. If the Participant vests in the PSUs and receives shares of Company Stock, the value of the acquired shares may increase or decrease. The Participant acknowledges and agrees that neither the Employer nor any affiliate shall be liable for any foreign exchange rate fluctuation between the Participant’s local currency and the United States Dollar that may affect the value of the PSUs or of any amounts received by the Participant pursuant to the PSUs or the subsequent sale of any Company Stock acquired in connection with the PSUs.</w:t>
      </w:r>
    </w:p>
    <w:p>
      <w:pPr>
        <w:spacing w:after="0" w:line="202" w:lineRule="exact"/>
        <w:rPr>
          <w:rFonts w:ascii="Times New Roman" w:cs="Times New Roman" w:eastAsia="Times New Roman" w:hAnsi="Times New Roman"/>
          <w:sz w:val="21"/>
          <w:szCs w:val="21"/>
          <w:color w:val="auto"/>
        </w:rPr>
      </w:pPr>
    </w:p>
    <w:p>
      <w:pPr>
        <w:jc w:val="both"/>
        <w:ind w:left="-7" w:firstLine="756"/>
        <w:spacing w:after="0" w:line="253" w:lineRule="auto"/>
        <w:tabs>
          <w:tab w:leader="none" w:pos="1011"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The Participant shall have no claim or entitlement to compensation or damages arising from (i) forfeiture of the PSUs resulting from the termination of the Participant’s employment (for any reason whatsoever, whether or not later found to be invalid or in breach of employment laws in the jurisdiction where the Participant is employed or the terms of the Participant’s employment agreement, if any) and/or</w:t>
      </w:r>
    </w:p>
    <w:p>
      <w:pPr>
        <w:spacing w:after="0" w:line="1" w:lineRule="exact"/>
        <w:rPr>
          <w:rFonts w:ascii="Times New Roman" w:cs="Times New Roman" w:eastAsia="Times New Roman" w:hAnsi="Times New Roman"/>
          <w:sz w:val="20"/>
          <w:szCs w:val="20"/>
          <w:color w:val="auto"/>
        </w:rPr>
      </w:pPr>
    </w:p>
    <w:p>
      <w:pPr>
        <w:jc w:val="both"/>
        <w:ind w:left="-7" w:firstLine="7"/>
        <w:spacing w:after="0" w:line="238" w:lineRule="auto"/>
        <w:tabs>
          <w:tab w:leader="none" w:pos="293"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forfeiture of the Stock Units or recoupment of any shares of Company Stock, cash or other benefits acquired pursuant to the Stock Units resulting from the application of any Policy (as defined below) of the Company, as it may be amended from time to time (whether such policy is adopted on or after the date of this Agreement) or any recoupment otherwise required by applicable laws, regulations or stock exchange listing standards.</w:t>
      </w:r>
    </w:p>
    <w:p>
      <w:pPr>
        <w:spacing w:after="0" w:line="202" w:lineRule="exact"/>
        <w:rPr>
          <w:rFonts w:ascii="Times New Roman" w:cs="Times New Roman" w:eastAsia="Times New Roman" w:hAnsi="Times New Roman"/>
          <w:sz w:val="20"/>
          <w:szCs w:val="20"/>
          <w:color w:val="auto"/>
        </w:rPr>
      </w:pPr>
    </w:p>
    <w:p>
      <w:pPr>
        <w:jc w:val="both"/>
        <w:ind w:left="-7" w:firstLine="756"/>
        <w:spacing w:after="0" w:line="244" w:lineRule="auto"/>
        <w:tabs>
          <w:tab w:leader="none" w:pos="1068"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award is separate from and does not form part of the Participant’s contract of employment or service. Upon termination of the Participant’s employment or service for any reason, including wrongful or unfair dismissal, the Participant shall have no right to claim compensation or damages for the termination and forfeiture of PSUs or the loss of any prospective benefit under the award.</w:t>
      </w:r>
    </w:p>
    <w:p>
      <w:pPr>
        <w:spacing w:after="0" w:line="196" w:lineRule="exact"/>
        <w:rPr>
          <w:sz w:val="20"/>
          <w:szCs w:val="20"/>
          <w:color w:val="auto"/>
        </w:rPr>
      </w:pPr>
    </w:p>
    <w:p>
      <w:pPr>
        <w:jc w:val="both"/>
        <w:ind w:left="-7" w:firstLine="7"/>
        <w:spacing w:after="0" w:line="239" w:lineRule="auto"/>
        <w:tabs>
          <w:tab w:leader="none" w:pos="502"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Assignment and Transfers</w:t>
      </w:r>
      <w:r>
        <w:rPr>
          <w:rFonts w:ascii="Times New Roman" w:cs="Times New Roman" w:eastAsia="Times New Roman" w:hAnsi="Times New Roman"/>
          <w:sz w:val="20"/>
          <w:szCs w:val="20"/>
          <w:color w:val="auto"/>
        </w:rPr>
        <w:t>. Except as permitted under the Plan or as the Committee may otherwise permit pursuant to the Plan, the rights and interests of the Participant under this Agreement may not be sold, assigned, encumbered or otherwise transferred except, (i) in the event of the death of the Participant, by will or by the laws of descent and distribution, or (ii) pursuant to a domestic relations order. In the event of any attempt by the Participant to alienate, assign, pledge, hypothecate, or otherwise dispose of the PSUs or any right hereunder, except as provided for in this Agreement, or in the event of the levy or any attachment, execution or similar process upon the rights or interests hereby conferred, the Company may terminate the PSUs by notice to the Participant, and the PSUs and all rights hereunder shall thereupon become null and void. The rights and protections of the Company hereunder shall extend to any successors or assigns of the Company and to the Company’s parents, subsidiaries, and affiliates.</w:t>
      </w:r>
    </w:p>
    <w:p>
      <w:pPr>
        <w:spacing w:after="0" w:line="202" w:lineRule="exact"/>
        <w:rPr>
          <w:rFonts w:ascii="Times New Roman" w:cs="Times New Roman" w:eastAsia="Times New Roman" w:hAnsi="Times New Roman"/>
          <w:sz w:val="21"/>
          <w:szCs w:val="21"/>
          <w:color w:val="auto"/>
        </w:rPr>
      </w:pPr>
    </w:p>
    <w:p>
      <w:pPr>
        <w:ind w:left="-7" w:firstLine="7"/>
        <w:spacing w:after="0" w:line="276" w:lineRule="auto"/>
        <w:tabs>
          <w:tab w:leader="none" w:pos="50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u w:val="single" w:color="auto"/>
          <w:color w:val="auto"/>
        </w:rPr>
        <w:t>Applicable Law; Jurisdiction</w:t>
      </w:r>
      <w:r>
        <w:rPr>
          <w:rFonts w:ascii="Times New Roman" w:cs="Times New Roman" w:eastAsia="Times New Roman" w:hAnsi="Times New Roman"/>
          <w:sz w:val="19"/>
          <w:szCs w:val="19"/>
          <w:color w:val="auto"/>
        </w:rPr>
        <w:t>. The validity, construction, interpretation and effect of this Agreement shall be governed by and construed in accordance with the laws of the State of Delaware, without giving effect to the conflicts of laws provisions thereof. Any action arising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1083945</wp:posOffset>
            </wp:positionV>
            <wp:extent cx="71589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33"/>
          </w:cols>
          <w:pgMar w:left="327" w:top="1440" w:right="339" w:bottom="1440" w:gutter="0" w:footer="0" w:header="0"/>
        </w:sectPr>
      </w:pPr>
    </w:p>
    <w:bookmarkStart w:id="141" w:name="page142"/>
    <w:bookmarkEnd w:id="141"/>
    <w:p>
      <w:pPr>
        <w:spacing w:after="0" w:line="282"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20"/>
          <w:szCs w:val="20"/>
          <w:color w:val="auto"/>
        </w:rPr>
        <w:t>of, or relating to, any of the provisions of this Agreement shall be brought only in the United States District Court for the District of New Hampshire, or if such court does not have jurisdiction or will not accept jurisdiction, in any court of general jurisdiction in Manchester, New Hampshire, and the jurisdiction of such court in any such proceeding shall be exclusive. Notwithstanding the foregoing sentence, on and after the date the Participant receives shares of Company Stock hereunder, the Participant will be subject to the jurisdiction provision set forth in the Company’s bylaws.</w:t>
      </w:r>
    </w:p>
    <w:p>
      <w:pPr>
        <w:spacing w:after="0" w:line="200" w:lineRule="exact"/>
        <w:rPr>
          <w:sz w:val="20"/>
          <w:szCs w:val="20"/>
          <w:color w:val="auto"/>
        </w:rPr>
      </w:pPr>
    </w:p>
    <w:p>
      <w:pPr>
        <w:jc w:val="both"/>
        <w:ind w:firstLine="7"/>
        <w:spacing w:after="0"/>
        <w:tabs>
          <w:tab w:leader="none" w:pos="509"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Any notice to the Company provided for in this instrument shall be addressed to the Company in care of the General Counsel at the corporate headquarters of the Company, and any notice to the Participant shall be addressed to such Participant at the current address shown on the payroll records of the Employer.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w:t>
      </w:r>
    </w:p>
    <w:p>
      <w:pPr>
        <w:spacing w:after="0" w:line="202" w:lineRule="exact"/>
        <w:rPr>
          <w:rFonts w:ascii="Times New Roman" w:cs="Times New Roman" w:eastAsia="Times New Roman" w:hAnsi="Times New Roman"/>
          <w:sz w:val="21"/>
          <w:szCs w:val="21"/>
          <w:color w:val="auto"/>
        </w:rPr>
      </w:pPr>
    </w:p>
    <w:p>
      <w:pPr>
        <w:jc w:val="both"/>
        <w:ind w:firstLine="7"/>
        <w:spacing w:after="0" w:line="238" w:lineRule="auto"/>
        <w:tabs>
          <w:tab w:leader="none" w:pos="509"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Recoupment Policy</w:t>
      </w:r>
      <w:r>
        <w:rPr>
          <w:rFonts w:ascii="Times New Roman" w:cs="Times New Roman" w:eastAsia="Times New Roman" w:hAnsi="Times New Roman"/>
          <w:sz w:val="20"/>
          <w:szCs w:val="20"/>
          <w:color w:val="auto"/>
        </w:rPr>
        <w:t>. In addition to this Agreement and subject to Section 19(h) of the Plan, the PSUs and any shares of Company Stock issued to the Participant pursuant to the PSUs shall be subject to and remain subject to any incentive compensation clawback or recoupment policy of the Company currently in effect (including, without limitation, the Allegro MicroSystems, Inc. Policy for Recovery of Erroneously Awarded Compensation) or as may be amended from time to time (the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to the extent the Policy is applicable to the Participant based upon the Participant’s position and responsibilities or as required under applicable laws, regulations or stock exchange listing standard. For purposes of the foregoing, the Participant expressly and explicitly authorizes the Company to issue instructions, on the Participant’s behalf, to any brokerage firm and/or third party administrator engaged by the Company to hold shares of Company Stock and other amounts acquired pursuant to the PSUs to re-convey, transfer or otherwise return such shares of Company Stock and/or other amounts to the Company upon the Company’s enforcement of the Policy. To the extent that this Agreement, the Plan and/or the Policy conflict, the terms of the Policy shall prevail. No recovery of compensation as described in this Section 12 will be an event giving rise to the Participant’s right to resign for Good Reason or “constructive termination” (or similar term) under any plan of, or agreement with, the Company, any subsidiary, affiliate and/or the Employer.</w:t>
      </w:r>
    </w:p>
    <w:p>
      <w:pPr>
        <w:spacing w:after="0" w:line="207" w:lineRule="exact"/>
        <w:rPr>
          <w:rFonts w:ascii="Times New Roman" w:cs="Times New Roman" w:eastAsia="Times New Roman" w:hAnsi="Times New Roman"/>
          <w:sz w:val="21"/>
          <w:szCs w:val="21"/>
          <w:color w:val="auto"/>
        </w:rPr>
      </w:pPr>
    </w:p>
    <w:p>
      <w:pPr>
        <w:jc w:val="both"/>
        <w:ind w:firstLine="7"/>
        <w:spacing w:after="0" w:line="252" w:lineRule="auto"/>
        <w:tabs>
          <w:tab w:leader="none" w:pos="509"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u w:val="single" w:color="auto"/>
          <w:color w:val="auto"/>
        </w:rPr>
        <w:t>Application of Section 409A of the Code</w:t>
      </w:r>
      <w:r>
        <w:rPr>
          <w:rFonts w:ascii="Times New Roman" w:cs="Times New Roman" w:eastAsia="Times New Roman" w:hAnsi="Times New Roman"/>
          <w:sz w:val="19"/>
          <w:szCs w:val="19"/>
          <w:color w:val="auto"/>
        </w:rPr>
        <w:t>. This Agreement is intended to be exempt from or otherwise comply with the provisions of Section 409A of the Code. Notwithstanding the foregoing, if the PSUs constitute “deferred compensation” under Section 409A of the Code and the PSUs become vested and settled upon the Participant’s termination of employment, payment with respect to the PSUs shall be delayed for a period of six (6) months after the Participant’s termination of employment if the Participant is a “specified employee” as defined under Section 409A of the Code and if required pursuant to Section 409A of the Code. If payment is delayed, the PSUs shall be settled and paid within thirty (30) days after the date that is six (6) months following the Participant’s termination of employment. Payments with respect to the PSUs may only be paid in a manner and upon an event permitted by Section 409A of the Code, and each payment under the PSUs shall be treated as a separate payment, and the right to a series of installment payments under the PSUs shall be treated as a right to a series of separate payments. In no event shall the Participant, directly or indirectly, designate the calendar year of payment. The Company may change or modify the terms of this Agreement without the Participant’s consent or signature if the Company determines, in its sole discretion, that such change or modification is necessary for purposes of compliance with or exemption from the requirements of Section 409A of the Code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1101090</wp:posOffset>
            </wp:positionV>
            <wp:extent cx="715899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82"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20"/>
          <w:szCs w:val="20"/>
          <w:color w:val="auto"/>
        </w:rPr>
        <w:t>any regulations or other guidance issued thereunder. Notwithstanding the previous sentence, the Company may also amend the Plan or this Agreement or revoke the PSUs to the extent permitted by the Plan.</w:t>
      </w:r>
    </w:p>
    <w:p>
      <w:pPr>
        <w:spacing w:after="0" w:line="178" w:lineRule="exact"/>
        <w:rPr>
          <w:sz w:val="20"/>
          <w:szCs w:val="20"/>
          <w:color w:val="auto"/>
        </w:rPr>
      </w:pPr>
    </w:p>
    <w:p>
      <w:pPr>
        <w:jc w:val="both"/>
        <w:ind w:firstLine="7"/>
        <w:spacing w:after="0"/>
        <w:tabs>
          <w:tab w:leader="none" w:pos="509"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Country-Specific Terms</w:t>
      </w:r>
      <w:r>
        <w:rPr>
          <w:rFonts w:ascii="Times New Roman" w:cs="Times New Roman" w:eastAsia="Times New Roman" w:hAnsi="Times New Roman"/>
          <w:sz w:val="20"/>
          <w:szCs w:val="20"/>
          <w:color w:val="auto"/>
        </w:rPr>
        <w:t xml:space="preserve">. The PSUs shall be subject to the Country-Specific Terms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this Agreement. In addition, if the Participant relocates to, or becomes a resident of, one of the countries included in the Country-Specific Terms, the additional terms and conditions for such country will apply to the Participant to the extent the Company determines that the application of such terms and conditions is necessary or advisable in order to comply with local law or facilitate the administration of the Plan. The Country-Specific Terms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constitute part of this Agreement and are incorporated herein by reference.</w:t>
      </w:r>
    </w:p>
    <w:p>
      <w:pPr>
        <w:spacing w:after="0" w:line="202" w:lineRule="exact"/>
        <w:rPr>
          <w:rFonts w:ascii="Times New Roman" w:cs="Times New Roman" w:eastAsia="Times New Roman" w:hAnsi="Times New Roman"/>
          <w:sz w:val="21"/>
          <w:szCs w:val="21"/>
          <w:color w:val="auto"/>
        </w:rPr>
      </w:pPr>
    </w:p>
    <w:p>
      <w:pPr>
        <w:jc w:val="both"/>
        <w:ind w:firstLine="7"/>
        <w:spacing w:after="0" w:line="241" w:lineRule="auto"/>
        <w:tabs>
          <w:tab w:leader="none" w:pos="509"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the Participant’s participation in the Plan, or the Participant’s acquisition or sale of the underlying shares of Company Stock. The Participant should consult with the Participant’s own personal tax, legal and financial advisors regarding the Participant’s participation in the Plan before taking any action related to the Plan.</w:t>
      </w:r>
    </w:p>
    <w:p>
      <w:pPr>
        <w:spacing w:after="0" w:line="201" w:lineRule="exact"/>
        <w:rPr>
          <w:rFonts w:ascii="Times New Roman" w:cs="Times New Roman" w:eastAsia="Times New Roman" w:hAnsi="Times New Roman"/>
          <w:sz w:val="21"/>
          <w:szCs w:val="21"/>
          <w:color w:val="auto"/>
        </w:rPr>
      </w:pPr>
    </w:p>
    <w:p>
      <w:pPr>
        <w:jc w:val="both"/>
        <w:ind w:firstLine="7"/>
        <w:spacing w:after="0"/>
        <w:tabs>
          <w:tab w:leader="none" w:pos="509"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The Participant acknowledges that the Participant is proficient in the English language, or has consulted with an advisor who is proficient in the English language, so as to enable the Participant to understand the provisions of this Agreement and the Plan. If the Participant has received this Agreement or any other document related to the Plan translated into a language other than English and if the meaning of the translated version is different than the English version, the English version will control, unless otherwise required by applicable law.</w:t>
      </w:r>
    </w:p>
    <w:p>
      <w:pPr>
        <w:spacing w:after="0" w:line="202" w:lineRule="exact"/>
        <w:rPr>
          <w:rFonts w:ascii="Times New Roman" w:cs="Times New Roman" w:eastAsia="Times New Roman" w:hAnsi="Times New Roman"/>
          <w:sz w:val="21"/>
          <w:szCs w:val="21"/>
          <w:color w:val="auto"/>
        </w:rPr>
      </w:pPr>
    </w:p>
    <w:p>
      <w:pPr>
        <w:jc w:val="both"/>
        <w:ind w:firstLine="7"/>
        <w:spacing w:after="0" w:line="241" w:lineRule="auto"/>
        <w:tabs>
          <w:tab w:leader="none" w:pos="509"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Electronic Delivery and Participation</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1" w:lineRule="exact"/>
        <w:rPr>
          <w:rFonts w:ascii="Times New Roman" w:cs="Times New Roman" w:eastAsia="Times New Roman" w:hAnsi="Times New Roman"/>
          <w:sz w:val="21"/>
          <w:szCs w:val="21"/>
          <w:color w:val="auto"/>
        </w:rPr>
      </w:pPr>
    </w:p>
    <w:p>
      <w:pPr>
        <w:ind w:firstLine="7"/>
        <w:spacing w:after="0" w:line="251" w:lineRule="auto"/>
        <w:tabs>
          <w:tab w:leader="none" w:pos="509"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88" w:lineRule="exact"/>
        <w:rPr>
          <w:rFonts w:ascii="Times New Roman" w:cs="Times New Roman" w:eastAsia="Times New Roman" w:hAnsi="Times New Roman"/>
          <w:sz w:val="21"/>
          <w:szCs w:val="21"/>
          <w:color w:val="auto"/>
        </w:rPr>
      </w:pPr>
    </w:p>
    <w:p>
      <w:pPr>
        <w:jc w:val="both"/>
        <w:ind w:firstLine="7"/>
        <w:spacing w:after="0" w:line="241" w:lineRule="auto"/>
        <w:tabs>
          <w:tab w:leader="none" w:pos="509"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Participant’s participation in the Plan, on the PSUs and on any shares of Company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201" w:lineRule="exact"/>
        <w:rPr>
          <w:rFonts w:ascii="Times New Roman" w:cs="Times New Roman" w:eastAsia="Times New Roman" w:hAnsi="Times New Roman"/>
          <w:sz w:val="21"/>
          <w:szCs w:val="21"/>
          <w:color w:val="auto"/>
        </w:rPr>
      </w:pPr>
    </w:p>
    <w:p>
      <w:pPr>
        <w:jc w:val="both"/>
        <w:ind w:firstLine="7"/>
        <w:spacing w:after="0"/>
        <w:tabs>
          <w:tab w:leader="none" w:pos="509"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Insider Trading/Market Abuse</w:t>
      </w:r>
      <w:r>
        <w:rPr>
          <w:rFonts w:ascii="Times New Roman" w:cs="Times New Roman" w:eastAsia="Times New Roman" w:hAnsi="Times New Roman"/>
          <w:sz w:val="20"/>
          <w:szCs w:val="20"/>
          <w:color w:val="auto"/>
        </w:rPr>
        <w:t>. The Participant acknowledges that, depending on the Participant’s or the broker’s country or where the Company shares are listed, the Participant may be subject to insider trading restrictions and/or market abuse laws which may affect the Participant’s ability to accept, acquire or sell or otherwise dispose of shares of Company Stock or rights to shares of Company Stock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PSUs) during such times the Participant is considered to have “inside information” regarding the Company as defined in the laws or regulations in the applicable jurisdictions. Local insider trading laws and regulations may prohibit the cancellation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1107440</wp:posOffset>
            </wp:positionV>
            <wp:extent cx="715899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82"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20"/>
          <w:szCs w:val="20"/>
          <w:color w:val="auto"/>
        </w:rPr>
        <w:t>or amendment of orders the Participant placed before the Participant possessed inside information. Furthermore, the Participant could be prohibited from (i) disclosing the inside information to any third party and (ii) “tipping” third parties or causing them to otherwise buy or sell securities. Keep in mind third parties include fellow employees. Any restrictions under these laws or regulations are separate from and in addition to any restrictions that may be imposed under any applicable insider trading policy of the Company. The Participant is responsible for complying with any restrictions and should speak to the Participant’s personal advisor on this matter.</w:t>
      </w:r>
    </w:p>
    <w:p>
      <w:pPr>
        <w:spacing w:after="0" w:line="200" w:lineRule="exact"/>
        <w:rPr>
          <w:sz w:val="20"/>
          <w:szCs w:val="20"/>
          <w:color w:val="auto"/>
        </w:rPr>
      </w:pPr>
    </w:p>
    <w:p>
      <w:pPr>
        <w:jc w:val="both"/>
        <w:ind w:firstLine="7"/>
        <w:spacing w:after="0" w:line="239" w:lineRule="auto"/>
        <w:tabs>
          <w:tab w:leader="none" w:pos="509"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Exchange Control, Foreign Asset/Account and/or Tax Reporting.</w:t>
      </w:r>
      <w:r>
        <w:rPr>
          <w:rFonts w:ascii="Times New Roman" w:cs="Times New Roman" w:eastAsia="Times New Roman" w:hAnsi="Times New Roman"/>
          <w:sz w:val="20"/>
          <w:szCs w:val="20"/>
          <w:color w:val="auto"/>
        </w:rPr>
        <w:t xml:space="preserve"> Depending upon the country to which laws the Participant is subject, the Participant may have certain foreign asset/account and/or tax reporting requirements that may affect the Participant’s ability to acquire or hold shares of Company Stock under the Plan or cash received from participating in the Plan (including from any sale proceeds arising from the sale of shares of Company Stock) in a brokerage or bank account outside the Participant’s country of residence. The Participant’s country of residence may require that the Participant report such accounts, assets or transactions to the applicable authorities in the Participant’s country of residence. The Participant also may be required to repatriate cash received from participating in the Plan to the Participant’s country of residence within a certain period of time after receipt. The Participant is responsible for knowledge of and compliance with any such regulations and should speak with the Participant’s personal tax, legal and financial advisors regarding same.</w:t>
      </w:r>
    </w:p>
    <w:p>
      <w:pPr>
        <w:spacing w:after="0" w:line="202" w:lineRule="exact"/>
        <w:rPr>
          <w:rFonts w:ascii="Times New Roman" w:cs="Times New Roman" w:eastAsia="Times New Roman" w:hAnsi="Times New Roman"/>
          <w:sz w:val="21"/>
          <w:szCs w:val="21"/>
          <w:color w:val="auto"/>
        </w:rPr>
      </w:pPr>
    </w:p>
    <w:p>
      <w:pPr>
        <w:jc w:val="both"/>
        <w:ind w:firstLine="7"/>
        <w:spacing w:after="0"/>
        <w:tabs>
          <w:tab w:leader="none" w:pos="509"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The Participant shall comply with all provisions of the restrictive covenants set forth in the Participant’s contract of employment or amendment or addenda thereto, namely non-competition, non-solicitation and confidentiality obligations, for the respective time periods set forth therein. If the Participant fails to comply with any of these restrictive covenants, the Company shall be entitled to all remedies or damages available under applicable law, including, but not limited to, injunctive relief, equitable relief, and/or attorneys’ fees. In addition, the Participant shall forfeit any Unvested PSUs and/or underlying shares of Company Stock.</w:t>
      </w:r>
    </w:p>
    <w:p>
      <w:pPr>
        <w:spacing w:after="0" w:line="202" w:lineRule="exact"/>
        <w:rPr>
          <w:rFonts w:ascii="Times New Roman" w:cs="Times New Roman" w:eastAsia="Times New Roman" w:hAnsi="Times New Roman"/>
          <w:sz w:val="21"/>
          <w:szCs w:val="21"/>
          <w:color w:val="auto"/>
        </w:rPr>
      </w:pPr>
    </w:p>
    <w:p>
      <w:pPr>
        <w:jc w:val="both"/>
        <w:ind w:firstLine="7"/>
        <w:spacing w:after="0" w:line="239" w:lineRule="auto"/>
        <w:tabs>
          <w:tab w:leader="none" w:pos="509"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Legal and Tax Compliance; Cooperation</w:t>
      </w:r>
      <w:r>
        <w:rPr>
          <w:rFonts w:ascii="Times New Roman" w:cs="Times New Roman" w:eastAsia="Times New Roman" w:hAnsi="Times New Roman"/>
          <w:sz w:val="20"/>
          <w:szCs w:val="20"/>
          <w:color w:val="auto"/>
        </w:rPr>
        <w:t>. If the Participant resides or is employed outside of the United States, the Participant agrees, as a condition of the grant of the Stock Units, to repatriate all payments attributable to the shares of Company Stock and/or cash acquired under the Plan (including, but not limited to, dividends and any proceeds derived from the sale of shares of Company Stock acquired pursuant to the Stock Units) if required by and in accordance with local foreign exchange rules and regulations in the Participant’s country of residence (and country of employment, if different). In addition, the Participant also agrees to take any and all actions, and consents to any and all actions taken by the Company and its subsidiaries and affiliates, as may be required to allow the Company and its subsidiaries and affiliates to comply with local laws, rules and regulations in the Participant’s country of residence (and country of employment, if different). Finally, the Participant agrees to take any and all actions as may be required to comply with the Participant’s personal legal and tax obligations under local laws, rules and regulations in the Participant’s country of residence (and country of employment, if different).</w:t>
      </w:r>
    </w:p>
    <w:p>
      <w:pPr>
        <w:spacing w:after="0" w:line="200" w:lineRule="exact"/>
        <w:rPr>
          <w:rFonts w:ascii="Times New Roman" w:cs="Times New Roman" w:eastAsia="Times New Roman" w:hAnsi="Times New Roman"/>
          <w:sz w:val="21"/>
          <w:szCs w:val="21"/>
          <w:color w:val="auto"/>
        </w:rPr>
      </w:pPr>
    </w:p>
    <w:p>
      <w:pPr>
        <w:ind w:left="520" w:hanging="513"/>
        <w:spacing w:after="0"/>
        <w:tabs>
          <w:tab w:leader="none" w:pos="52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w:t>
      </w:r>
    </w:p>
    <w:p>
      <w:pPr>
        <w:spacing w:after="0" w:line="213" w:lineRule="exact"/>
        <w:rPr>
          <w:rFonts w:ascii="Times New Roman" w:cs="Times New Roman" w:eastAsia="Times New Roman" w:hAnsi="Times New Roman"/>
          <w:sz w:val="21"/>
          <w:szCs w:val="21"/>
          <w:color w:val="auto"/>
        </w:rPr>
      </w:pPr>
    </w:p>
    <w:p>
      <w:pPr>
        <w:ind w:right="60" w:firstLine="756"/>
        <w:spacing w:after="0" w:line="251" w:lineRule="auto"/>
        <w:tabs>
          <w:tab w:leader="none" w:pos="1018"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If the Participant resides or is employed in the United States or a jurisdiction other than the European Union, European Economic Area, or the United Kingdom, the following provisions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1098550</wp:posOffset>
            </wp:positionV>
            <wp:extent cx="71589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The Company is located at 955 Perimeter Road, Manchester, New Hampshire 03103, United States of America and grants Stock Units under the Plan to employees of the Company and its subsidiaries in its sole discretion. In conjunction with the Company’s grant of the Stock Units under the Plan and its ongoing administration of such awards, the Company is providing the following information about its data collection, processing and transfer practices (“Personal Information Activities”). In accepting the grant of the Stock Units, the Participant expressly and explicitly consents to the Personal Data Activities as described herein.</w:t>
      </w:r>
    </w:p>
    <w:p>
      <w:pPr>
        <w:spacing w:after="0" w:line="181" w:lineRule="exact"/>
        <w:rPr>
          <w:sz w:val="20"/>
          <w:szCs w:val="20"/>
          <w:color w:val="auto"/>
        </w:rPr>
      </w:pPr>
    </w:p>
    <w:p>
      <w:pPr>
        <w:jc w:val="both"/>
        <w:ind w:firstLine="745"/>
        <w:spacing w:after="0" w:line="239" w:lineRule="auto"/>
        <w:tabs>
          <w:tab w:leader="none" w:pos="1288" w:val="left"/>
        </w:tabs>
        <w:numPr>
          <w:ilvl w:val="0"/>
          <w:numId w:val="96"/>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Data Collection, Processing and Usage</w:t>
      </w:r>
      <w:r>
        <w:rPr>
          <w:rFonts w:ascii="Times New Roman" w:cs="Times New Roman" w:eastAsia="Times New Roman" w:hAnsi="Times New Roman"/>
          <w:sz w:val="20"/>
          <w:szCs w:val="20"/>
          <w:b w:val="1"/>
          <w:bCs w:val="1"/>
          <w:i w:val="1"/>
          <w:iCs w:val="1"/>
          <w:color w:val="auto"/>
        </w:rPr>
        <w:t>. The Company collects, processes and uses the Participant’s personal data, including the Participant’s name, home address, email address, and telephone number, date of birth, social insurance/passport number or other identification number (e.g., resident registration number), salary, citizenship, job title, any shares of Company Stock or directorships held in the Company, and details of all Stock Units or any other equity compensation awards granted, canceled, exercised, vested, or outstanding in the Participant’s favor, which the Company receives from the Participant or the Employer (“Personal Information”). In granting the Stock Units under the Plan, the Company will collect the Participant’s Personal Information for purposes of allocating shares of Company Stock and implementing, administering and managing the Plan. The Company’s legal basis for the collection, processing and usage of the Participant’s Personal Information is the Participant’s consent.</w:t>
      </w:r>
    </w:p>
    <w:p>
      <w:pPr>
        <w:spacing w:after="0" w:line="200" w:lineRule="exact"/>
        <w:rPr>
          <w:rFonts w:ascii="Times New Roman" w:cs="Times New Roman" w:eastAsia="Times New Roman" w:hAnsi="Times New Roman"/>
          <w:sz w:val="21"/>
          <w:szCs w:val="21"/>
          <w:i w:val="1"/>
          <w:iCs w:val="1"/>
          <w:color w:val="auto"/>
        </w:rPr>
      </w:pPr>
    </w:p>
    <w:p>
      <w:pPr>
        <w:jc w:val="both"/>
        <w:ind w:firstLine="745"/>
        <w:spacing w:after="0"/>
        <w:tabs>
          <w:tab w:leader="none" w:pos="1288" w:val="left"/>
        </w:tabs>
        <w:numPr>
          <w:ilvl w:val="0"/>
          <w:numId w:val="96"/>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Stock Plan Service Provider</w:t>
      </w:r>
      <w:r>
        <w:rPr>
          <w:rFonts w:ascii="Times New Roman" w:cs="Times New Roman" w:eastAsia="Times New Roman" w:hAnsi="Times New Roman"/>
          <w:sz w:val="20"/>
          <w:szCs w:val="20"/>
          <w:b w:val="1"/>
          <w:bCs w:val="1"/>
          <w:i w:val="1"/>
          <w:iCs w:val="1"/>
          <w:color w:val="auto"/>
        </w:rPr>
        <w:t>. The Company transfers the Participant’s Personal Information to the Stock Plan Service Provider, an independent service provider based in the United States, which assists the Company with the implementation, administration and management of the Plan. In the future, the Company may select a different Stock Plan Service Provider and share the Participant’s Personal Information with another company that serves in a similar manner. The Stock Plan Service Provider will open an account for the Participant to receive and trade shares of Company Stock acquired under the Plan. The Participant will be asked to agree on separate terms and data processing practices with the Stock Plan Service Provider, which is a condition to the Participant’s ability to participate in the Plan.</w:t>
      </w:r>
    </w:p>
    <w:p>
      <w:pPr>
        <w:spacing w:after="0" w:line="197" w:lineRule="exact"/>
        <w:rPr>
          <w:rFonts w:ascii="Times New Roman" w:cs="Times New Roman" w:eastAsia="Times New Roman" w:hAnsi="Times New Roman"/>
          <w:sz w:val="21"/>
          <w:szCs w:val="21"/>
          <w:i w:val="1"/>
          <w:iCs w:val="1"/>
          <w:color w:val="auto"/>
        </w:rPr>
      </w:pPr>
    </w:p>
    <w:p>
      <w:pPr>
        <w:jc w:val="both"/>
        <w:ind w:firstLine="745"/>
        <w:spacing w:after="0" w:line="241" w:lineRule="auto"/>
        <w:tabs>
          <w:tab w:leader="none" w:pos="1288" w:val="left"/>
        </w:tabs>
        <w:numPr>
          <w:ilvl w:val="0"/>
          <w:numId w:val="96"/>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International Data Transfers</w:t>
      </w:r>
      <w:r>
        <w:rPr>
          <w:rFonts w:ascii="Times New Roman" w:cs="Times New Roman" w:eastAsia="Times New Roman" w:hAnsi="Times New Roman"/>
          <w:sz w:val="20"/>
          <w:szCs w:val="20"/>
          <w:b w:val="1"/>
          <w:bCs w:val="1"/>
          <w:i w:val="1"/>
          <w:iCs w:val="1"/>
          <w:color w:val="auto"/>
        </w:rPr>
        <w:t>. The Company and the Stock Plan Service Provider are based in the United States. If the Participant is outside the United States, the Participant should note that the Participant’s country has enacted data privacy laws that are different from the United States. By participating in the Plan, the Participant gives their consent to the transfer of the Participant’s Personal Information to the United States, or to such other jurisdiction as may be necessary for the delivery of the Plan and administration thereof.</w:t>
      </w:r>
    </w:p>
    <w:p>
      <w:pPr>
        <w:spacing w:after="0" w:line="197" w:lineRule="exact"/>
        <w:rPr>
          <w:rFonts w:ascii="Times New Roman" w:cs="Times New Roman" w:eastAsia="Times New Roman" w:hAnsi="Times New Roman"/>
          <w:sz w:val="21"/>
          <w:szCs w:val="21"/>
          <w:i w:val="1"/>
          <w:iCs w:val="1"/>
          <w:color w:val="auto"/>
        </w:rPr>
      </w:pPr>
    </w:p>
    <w:p>
      <w:pPr>
        <w:jc w:val="both"/>
        <w:ind w:firstLine="745"/>
        <w:spacing w:after="0" w:line="241" w:lineRule="auto"/>
        <w:tabs>
          <w:tab w:leader="none" w:pos="1288" w:val="left"/>
        </w:tabs>
        <w:numPr>
          <w:ilvl w:val="0"/>
          <w:numId w:val="96"/>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Voluntariness and Consequences of Consent Denial or Withdrawal</w:t>
      </w:r>
      <w:r>
        <w:rPr>
          <w:rFonts w:ascii="Times New Roman" w:cs="Times New Roman" w:eastAsia="Times New Roman" w:hAnsi="Times New Roman"/>
          <w:sz w:val="20"/>
          <w:szCs w:val="20"/>
          <w:b w:val="1"/>
          <w:bCs w:val="1"/>
          <w:i w:val="1"/>
          <w:iCs w:val="1"/>
          <w:color w:val="auto"/>
        </w:rPr>
        <w:t>. The Participant’s participation in the Plan and the Participant’s grant of consent to Personal Data Activities pertaining to the grant and administration of the Stock Units and other awards that the Company may grant to the Participant pursuant to the Plan is purely voluntary. The Participant may deny or withdraw the Participant’s consent at any time. If the Participant does not consent, or if the Participant later withdraws the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1106805</wp:posOffset>
            </wp:positionV>
            <wp:extent cx="715899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45" w:name="page146"/>
    <w:bookmarkEnd w:id="145"/>
    <w:p>
      <w:pPr>
        <w:spacing w:after="0" w:line="278"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consent, the Participant may be unable to participate in the Plan. This would not affect the Participant’s existing employment or salary; instead, the Participant merely may forfeit the opportunities associated with the Plan. To withdraw the Participant’s consent to Personal Data Activities, the Participant should contact the Participant’s local human resources department.</w:t>
      </w:r>
    </w:p>
    <w:p>
      <w:pPr>
        <w:spacing w:after="0" w:line="185" w:lineRule="exact"/>
        <w:rPr>
          <w:sz w:val="20"/>
          <w:szCs w:val="20"/>
          <w:color w:val="auto"/>
        </w:rPr>
      </w:pPr>
    </w:p>
    <w:p>
      <w:pPr>
        <w:jc w:val="both"/>
        <w:ind w:left="4" w:firstLine="745"/>
        <w:spacing w:after="0" w:line="239" w:lineRule="auto"/>
        <w:tabs>
          <w:tab w:leader="none" w:pos="1292" w:val="left"/>
        </w:tabs>
        <w:numPr>
          <w:ilvl w:val="1"/>
          <w:numId w:val="97"/>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Data Subjects Rights</w:t>
      </w:r>
      <w:r>
        <w:rPr>
          <w:rFonts w:ascii="Times New Roman" w:cs="Times New Roman" w:eastAsia="Times New Roman" w:hAnsi="Times New Roman"/>
          <w:sz w:val="20"/>
          <w:szCs w:val="20"/>
          <w:b w:val="1"/>
          <w:bCs w:val="1"/>
          <w:i w:val="1"/>
          <w:iCs w:val="1"/>
          <w:color w:val="auto"/>
        </w:rPr>
        <w:t>. The Participant may have a number of rights under data privacy laws in the Participant’s country of residence (and country of employment, if different). For example, the Participant’s rights may include the right to (1) request access or copies of Personal Information the Company processes pursuant to the Agreement, (2) request rectification of incorrect Personal Information, (3) request deletion of Personal Information, (4) request restrictions on processing of Personal Information, (5) lodge complaints with competent authorities in the Participant’s country of residence (and country of employment, if different), and/or (6) request a list with the names and addresses of any potential recipients of the Participant’s Personal Information. To receive clarification regarding the Participant’s rights or to exercise the Participant’s rights, the Participant should contact the Participant’s local human resources department.</w:t>
      </w:r>
    </w:p>
    <w:p>
      <w:pPr>
        <w:spacing w:after="0" w:line="206" w:lineRule="exact"/>
        <w:rPr>
          <w:rFonts w:ascii="Times New Roman" w:cs="Times New Roman" w:eastAsia="Times New Roman" w:hAnsi="Times New Roman"/>
          <w:sz w:val="21"/>
          <w:szCs w:val="21"/>
          <w:i w:val="1"/>
          <w:iCs w:val="1"/>
          <w:color w:val="auto"/>
        </w:rPr>
      </w:pPr>
    </w:p>
    <w:p>
      <w:pPr>
        <w:ind w:left="-756" w:right="60" w:firstLine="756"/>
        <w:spacing w:after="0" w:line="251" w:lineRule="auto"/>
        <w:tabs>
          <w:tab w:leader="none" w:pos="262"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If the Participant resides or is employed in the European Union, European Economic Area, or the United Kingdom, the following provisions shall apply:</w:t>
      </w:r>
    </w:p>
    <w:p>
      <w:pPr>
        <w:spacing w:after="0" w:line="172" w:lineRule="exact"/>
        <w:rPr>
          <w:sz w:val="20"/>
          <w:szCs w:val="20"/>
          <w:color w:val="auto"/>
        </w:rPr>
      </w:pPr>
    </w:p>
    <w:p>
      <w:pPr>
        <w:jc w:val="both"/>
        <w:ind w:left="4"/>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The Company is located at 955 Perimeter Road, Manchester, New Hampshire 03103, United States of America and grants Stock Units under the Plan to employees of the Company and its subsidiaries in its sole discretion. In conjunction with the Company’s grant of the Stock Units under the Plan and its ongoing administration of such awards, the Company is providing the following information about its data collection, processing and transfer practices (“Personal Information Activities”). The Participant should review the following information about the Company’s Personal Information Activities.</w:t>
      </w:r>
    </w:p>
    <w:p>
      <w:pPr>
        <w:spacing w:after="0" w:line="195" w:lineRule="exact"/>
        <w:rPr>
          <w:sz w:val="20"/>
          <w:szCs w:val="20"/>
          <w:color w:val="auto"/>
        </w:rPr>
      </w:pPr>
    </w:p>
    <w:p>
      <w:pPr>
        <w:jc w:val="both"/>
        <w:ind w:left="4" w:firstLine="835"/>
        <w:spacing w:after="0" w:line="238" w:lineRule="auto"/>
        <w:tabs>
          <w:tab w:leader="none" w:pos="1292" w:val="left"/>
        </w:tabs>
        <w:numPr>
          <w:ilvl w:val="0"/>
          <w:numId w:val="99"/>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Data Collection, Processing and Usage</w:t>
      </w:r>
      <w:r>
        <w:rPr>
          <w:rFonts w:ascii="Times New Roman" w:cs="Times New Roman" w:eastAsia="Times New Roman" w:hAnsi="Times New Roman"/>
          <w:sz w:val="20"/>
          <w:szCs w:val="20"/>
          <w:b w:val="1"/>
          <w:bCs w:val="1"/>
          <w:i w:val="1"/>
          <w:iCs w:val="1"/>
          <w:color w:val="auto"/>
        </w:rPr>
        <w:t>. Pursuant to applicable data protection laws, the Participant is hereby notified that the Company collects, processes, and uses certain personally identifiable information about the Participant; specifically, including the Participant’s name, home address, email address and telephone number, date of birth, social insurance/passport or other identification number (e.g., resident registration number), salary, citizenship, job title, any shares or directorships held in the Company, and details of all Stock Units or any other equity compensation awards granted, cancelled, exercised, vested, or outstanding in the Participant’s favor, which the Company receives from the Participant or the Employer (“Personal Information”). In granting the Stock Units under the Plan, the Company will collect the Participant’s Personal Information for purposes of allocating shares and implementing, administering and managing the Plan. The Company’s legal basis for collecting, processing and using the Participant’s Personal Information will be the Company’s legitimate interest of managing the Plan and generally administering employee equity awards, the Company’s necessity to execute its contractual obligations under the Agreement and to comply with its legal obligations. The Participant’s refusal to provide Personal Information may affect the Participant’s ability to participate in the Plan. As such, by participating in the Plan, the Participant voluntarily acknowledges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1112520</wp:posOffset>
            </wp:positionV>
            <wp:extent cx="715899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4"/>
          </w:cols>
          <w:pgMar w:left="1076" w:top="1440" w:right="339" w:bottom="1440" w:gutter="0" w:footer="0" w:header="0"/>
        </w:sectPr>
      </w:pPr>
    </w:p>
    <w:bookmarkStart w:id="146" w:name="page147"/>
    <w:bookmarkEnd w:id="146"/>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collection, processing and use, of the Participant’s Personal Information as described herein.</w:t>
      </w:r>
    </w:p>
    <w:p>
      <w:pPr>
        <w:spacing w:after="0" w:line="225" w:lineRule="exact"/>
        <w:rPr>
          <w:sz w:val="20"/>
          <w:szCs w:val="20"/>
          <w:color w:val="auto"/>
        </w:rPr>
      </w:pPr>
    </w:p>
    <w:p>
      <w:pPr>
        <w:jc w:val="both"/>
        <w:ind w:firstLine="835"/>
        <w:spacing w:after="0"/>
        <w:tabs>
          <w:tab w:leader="none" w:pos="1288" w:val="left"/>
        </w:tabs>
        <w:numPr>
          <w:ilvl w:val="0"/>
          <w:numId w:val="100"/>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Stock Plan Service Provider</w:t>
      </w:r>
      <w:r>
        <w:rPr>
          <w:rFonts w:ascii="Times New Roman" w:cs="Times New Roman" w:eastAsia="Times New Roman" w:hAnsi="Times New Roman"/>
          <w:sz w:val="20"/>
          <w:szCs w:val="20"/>
          <w:b w:val="1"/>
          <w:bCs w:val="1"/>
          <w:i w:val="1"/>
          <w:iCs w:val="1"/>
          <w:color w:val="auto"/>
        </w:rPr>
        <w:t>. The Company transfers the Participant’s Personal Information to the Stock Plan Service Provider, an independent service provider based in the United States, which assists the Company with the implementation, administration and management of the Plan. In the future, the Company may select a different Stock Plan Service Provider and share the Participant’s Personal Information with another company that serves in a similar manner. The Stock Plan Service Provider will open an account for the Participant to receive and trade shares of Company Stock acquired under the Plan. The Participant will be asked to agree on separate terms and data processing practices with the Stock Plan Service Provider, which is a condition to the Participant’s ability to participate in the Plan.</w:t>
      </w:r>
    </w:p>
    <w:p>
      <w:pPr>
        <w:spacing w:after="0" w:line="197" w:lineRule="exact"/>
        <w:rPr>
          <w:rFonts w:ascii="Times New Roman" w:cs="Times New Roman" w:eastAsia="Times New Roman" w:hAnsi="Times New Roman"/>
          <w:sz w:val="21"/>
          <w:szCs w:val="21"/>
          <w:i w:val="1"/>
          <w:iCs w:val="1"/>
          <w:color w:val="auto"/>
        </w:rPr>
      </w:pPr>
    </w:p>
    <w:p>
      <w:pPr>
        <w:jc w:val="both"/>
        <w:ind w:firstLine="835"/>
        <w:spacing w:after="0" w:line="241" w:lineRule="auto"/>
        <w:tabs>
          <w:tab w:leader="none" w:pos="1288" w:val="left"/>
        </w:tabs>
        <w:numPr>
          <w:ilvl w:val="0"/>
          <w:numId w:val="100"/>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International Data Transfers</w:t>
      </w:r>
      <w:r>
        <w:rPr>
          <w:rFonts w:ascii="Times New Roman" w:cs="Times New Roman" w:eastAsia="Times New Roman" w:hAnsi="Times New Roman"/>
          <w:sz w:val="20"/>
          <w:szCs w:val="20"/>
          <w:b w:val="1"/>
          <w:bCs w:val="1"/>
          <w:i w:val="1"/>
          <w:iCs w:val="1"/>
          <w:color w:val="auto"/>
        </w:rPr>
        <w:t>. The Company and the Stock Plan Service Provider are based in the United States. The Company can only meet its contractual obligations to the Participant if the Participant’s Personal Information is transferred to the United States. The Company’s legal basis for the transfer of the Participant’s Personal Information to the United States is to satisfy its contractual obligations under the terms of the Agreement and/or its use of the standard data protection clauses adopted by the European Commission.</w:t>
      </w:r>
    </w:p>
    <w:p>
      <w:pPr>
        <w:spacing w:after="0" w:line="197" w:lineRule="exact"/>
        <w:rPr>
          <w:rFonts w:ascii="Times New Roman" w:cs="Times New Roman" w:eastAsia="Times New Roman" w:hAnsi="Times New Roman"/>
          <w:sz w:val="21"/>
          <w:szCs w:val="21"/>
          <w:i w:val="1"/>
          <w:iCs w:val="1"/>
          <w:color w:val="auto"/>
        </w:rPr>
      </w:pPr>
    </w:p>
    <w:p>
      <w:pPr>
        <w:jc w:val="both"/>
        <w:ind w:firstLine="835"/>
        <w:spacing w:after="0" w:line="257" w:lineRule="auto"/>
        <w:tabs>
          <w:tab w:leader="none" w:pos="1288" w:val="left"/>
        </w:tabs>
        <w:numPr>
          <w:ilvl w:val="0"/>
          <w:numId w:val="10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19"/>
          <w:szCs w:val="19"/>
          <w:b w:val="1"/>
          <w:bCs w:val="1"/>
          <w:i w:val="1"/>
          <w:iCs w:val="1"/>
          <w:u w:val="single" w:color="auto"/>
          <w:color w:val="auto"/>
        </w:rPr>
        <w:t>Data Retention</w:t>
      </w:r>
      <w:r>
        <w:rPr>
          <w:rFonts w:ascii="Times New Roman" w:cs="Times New Roman" w:eastAsia="Times New Roman" w:hAnsi="Times New Roman"/>
          <w:sz w:val="19"/>
          <w:szCs w:val="19"/>
          <w:b w:val="1"/>
          <w:bCs w:val="1"/>
          <w:i w:val="1"/>
          <w:iCs w:val="1"/>
          <w:color w:val="auto"/>
        </w:rPr>
        <w:t>. The Company will use the Participant’s Personal Information only as long as is necessary to implement, administer and manage the Participant’s participation in the Plan or as required to comply with legal or regulatory obligations, including under tax and securities laws. When the Company no longer needs the Participant’s Personal Information, the Company will remove it from its systems. If the Company keeps the Participant’s Personal Information longer, it would be to satisfy legal or regulatory obligations and the Company’s legal basis would be for compliance with relevant laws or regulations.</w:t>
      </w:r>
    </w:p>
    <w:p>
      <w:pPr>
        <w:spacing w:after="0" w:line="182" w:lineRule="exact"/>
        <w:rPr>
          <w:rFonts w:ascii="Times New Roman" w:cs="Times New Roman" w:eastAsia="Times New Roman" w:hAnsi="Times New Roman"/>
          <w:sz w:val="20"/>
          <w:szCs w:val="20"/>
          <w:i w:val="1"/>
          <w:iCs w:val="1"/>
          <w:color w:val="auto"/>
        </w:rPr>
      </w:pPr>
    </w:p>
    <w:p>
      <w:pPr>
        <w:jc w:val="both"/>
        <w:ind w:firstLine="835"/>
        <w:spacing w:after="0" w:line="239" w:lineRule="auto"/>
        <w:tabs>
          <w:tab w:leader="none" w:pos="1288" w:val="left"/>
        </w:tabs>
        <w:numPr>
          <w:ilvl w:val="0"/>
          <w:numId w:val="100"/>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b w:val="1"/>
          <w:bCs w:val="1"/>
          <w:i w:val="1"/>
          <w:iCs w:val="1"/>
          <w:u w:val="single" w:color="auto"/>
          <w:color w:val="auto"/>
        </w:rPr>
        <w:t>Data Subjects Rights</w:t>
      </w:r>
      <w:r>
        <w:rPr>
          <w:rFonts w:ascii="Times New Roman" w:cs="Times New Roman" w:eastAsia="Times New Roman" w:hAnsi="Times New Roman"/>
          <w:sz w:val="20"/>
          <w:szCs w:val="20"/>
          <w:b w:val="1"/>
          <w:bCs w:val="1"/>
          <w:i w:val="1"/>
          <w:iCs w:val="1"/>
          <w:color w:val="auto"/>
        </w:rPr>
        <w:t>. The Participant may have a number of rights under data privacy laws in the Participant’s country of residence (and country of employment, if different). For example, the Participant’s rights may include the right to (1) request access or copies of Personal Information the Company processes pursuant to the Agreement, (2) request rectification of incorrect Personal Information, (3) request deletion of Personal Information, (4) request restrictions on processing of Personal Information, (5) lodge complaints with competent authorities in the Participant’s country of residence (and country of employment, if different), and/or (6) request a list with the names and addresses of any potential recipients of the Participant’s Personal Information. To receive clarification regarding the Participant’s rights or to exercise the Participant’s rights, the Participant should contact the Participant’s local human resources department.</w:t>
      </w:r>
    </w:p>
    <w:p>
      <w:pPr>
        <w:spacing w:after="0" w:line="206" w:lineRule="exact"/>
        <w:rPr>
          <w:rFonts w:ascii="Times New Roman" w:cs="Times New Roman" w:eastAsia="Times New Roman" w:hAnsi="Times New Roman"/>
          <w:sz w:val="21"/>
          <w:szCs w:val="21"/>
          <w:i w:val="1"/>
          <w:iCs w:val="1"/>
          <w:color w:val="auto"/>
        </w:rPr>
      </w:pPr>
    </w:p>
    <w:p>
      <w:pPr>
        <w:ind w:left="3840"/>
        <w:spacing w:after="0"/>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1401445</wp:posOffset>
            </wp:positionV>
            <wp:extent cx="71589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47" w:name="page148"/>
    <w:bookmarkEnd w:id="147"/>
    <w:p>
      <w:pPr>
        <w:ind w:left="7380"/>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Allegro MicroSystems,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Insider Trading Compliance Policy</w:t>
      </w:r>
    </w:p>
    <w:p>
      <w:pPr>
        <w:spacing w:after="0" w:line="163" w:lineRule="exact"/>
        <w:rPr>
          <w:sz w:val="20"/>
          <w:szCs w:val="20"/>
          <w:color w:val="auto"/>
        </w:rPr>
      </w:pPr>
    </w:p>
    <w:p>
      <w:pPr>
        <w:ind w:firstLine="740"/>
        <w:spacing w:after="0" w:line="241" w:lineRule="auto"/>
        <w:rPr>
          <w:sz w:val="20"/>
          <w:szCs w:val="20"/>
          <w:color w:val="auto"/>
        </w:rPr>
      </w:pPr>
      <w:r>
        <w:rPr>
          <w:rFonts w:ascii="Times New Roman" w:cs="Times New Roman" w:eastAsia="Times New Roman" w:hAnsi="Times New Roman"/>
          <w:sz w:val="20"/>
          <w:szCs w:val="20"/>
          <w:color w:val="auto"/>
        </w:rPr>
        <w:t>Federal and state laws prohibit trading in the securities of a company while in possession of material nonpublic information and in breach of a duty of trust or confidence. These laws also prohibit anyone who is aware of material nonpublic information from providing this information to others who may trade. Violating such laws can undermine investor trust, harm the reputation and integrity of Allegro MicroSystems, Inc. (together with its subsidiaries,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result in dismissal from the Company or even serious criminal and civil charges against the individual and the Company. The Company reserves the right to take whatever disciplinary or other measure(s) it determines, in its sole discretion, to be appropriate in any particular situation, including disclosure of wrongdoing to governmental authorities.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Persons Covered and Administration of Policy</w:t>
      </w:r>
    </w:p>
    <w:p>
      <w:pPr>
        <w:spacing w:after="0" w:line="82" w:lineRule="exact"/>
        <w:rPr>
          <w:sz w:val="20"/>
          <w:szCs w:val="20"/>
          <w:color w:val="auto"/>
        </w:rPr>
      </w:pPr>
    </w:p>
    <w:p>
      <w:pPr>
        <w:jc w:val="both"/>
        <w:ind w:firstLine="740"/>
        <w:spacing w:after="0"/>
        <w:rPr>
          <w:sz w:val="20"/>
          <w:szCs w:val="20"/>
          <w:color w:val="auto"/>
        </w:rPr>
      </w:pPr>
      <w:r>
        <w:rPr>
          <w:rFonts w:ascii="Times New Roman" w:cs="Times New Roman" w:eastAsia="Times New Roman" w:hAnsi="Times New Roman"/>
          <w:sz w:val="20"/>
          <w:szCs w:val="20"/>
          <w:color w:val="auto"/>
        </w:rPr>
        <w:t>This Insider Trading Compliance Policy (this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applies to all officers, directors and employees of the Company. For purposes of this Policy, “officers” refer to those individuals who meet the definition of “officer” under Section 16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Individuals subject to this Policy are responsible for ensuring that members of their household comply with this Policy. This Policy also applies to any entities controlled by individuals subject to the Policy, including any corporations, limited liability companies, partnerships or trusts, and transactions by these entities should be treated for the purposes of this Policy as if they were for the individual’s own account. The Company may determine that this Policy applies to additional persons with access to material nonpublic information, such as contractors or consultants. Officers, directors and employees, together with any other person designated as being subject to this Policy by the Senior Vice President and General Counsel or his or her designee (the “</w:t>
      </w:r>
      <w:r>
        <w:rPr>
          <w:rFonts w:ascii="Times New Roman" w:cs="Times New Roman" w:eastAsia="Times New Roman" w:hAnsi="Times New Roman"/>
          <w:sz w:val="20"/>
          <w:szCs w:val="20"/>
          <w:u w:val="single" w:color="auto"/>
          <w:color w:val="auto"/>
        </w:rPr>
        <w:t>Compliance Officer</w:t>
      </w:r>
      <w:r>
        <w:rPr>
          <w:rFonts w:ascii="Times New Roman" w:cs="Times New Roman" w:eastAsia="Times New Roman" w:hAnsi="Times New Roman"/>
          <w:sz w:val="20"/>
          <w:szCs w:val="20"/>
          <w:color w:val="auto"/>
        </w:rPr>
        <w:t>”), are referred to collectively as “</w:t>
      </w:r>
      <w:r>
        <w:rPr>
          <w:rFonts w:ascii="Times New Roman" w:cs="Times New Roman" w:eastAsia="Times New Roman" w:hAnsi="Times New Roman"/>
          <w:sz w:val="20"/>
          <w:szCs w:val="20"/>
          <w:u w:val="single" w:color="auto"/>
          <w:color w:val="auto"/>
        </w:rPr>
        <w:t>Covered Persons.</w:t>
      </w:r>
      <w:r>
        <w:rPr>
          <w:rFonts w:ascii="Times New Roman" w:cs="Times New Roman" w:eastAsia="Times New Roman" w:hAnsi="Times New Roman"/>
          <w:sz w:val="20"/>
          <w:szCs w:val="20"/>
          <w:color w:val="auto"/>
        </w:rPr>
        <w:t>”</w:t>
      </w:r>
    </w:p>
    <w:p>
      <w:pPr>
        <w:spacing w:after="0" w:line="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Questions regarding the Policy should be directed to the Compliance Officer, who is responsible for the administration of this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Policy Statement</w:t>
      </w:r>
    </w:p>
    <w:p>
      <w:pPr>
        <w:spacing w:after="0" w:line="82" w:lineRule="exact"/>
        <w:rPr>
          <w:sz w:val="20"/>
          <w:szCs w:val="20"/>
          <w:color w:val="auto"/>
        </w:rPr>
      </w:pPr>
    </w:p>
    <w:p>
      <w:pPr>
        <w:jc w:val="both"/>
        <w:ind w:firstLine="740"/>
        <w:spacing w:after="0" w:line="243" w:lineRule="auto"/>
        <w:rPr>
          <w:sz w:val="20"/>
          <w:szCs w:val="20"/>
          <w:color w:val="auto"/>
        </w:rPr>
      </w:pPr>
      <w:r>
        <w:rPr>
          <w:rFonts w:ascii="Times New Roman" w:cs="Times New Roman" w:eastAsia="Times New Roman" w:hAnsi="Times New Roman"/>
          <w:sz w:val="20"/>
          <w:szCs w:val="20"/>
          <w:color w:val="auto"/>
        </w:rPr>
        <w:t>No Covered Person shall purchase, sell, gift or otherwise transfer any type of security of the Company while in possession of material nonpublic information about the Company, and no Covered Person shall purchase, sell, gift or otherwise transfer any security of any other company (e.g., economically linked companies, competitors, suppliers, major shareholders or peer companies), while in possession of material nonpublic information about the other company that was obtained in the course of the Covered Person’s employment or service with the Company.</w:t>
      </w:r>
    </w:p>
    <w:p>
      <w:pPr>
        <w:spacing w:after="0" w:line="80" w:lineRule="exact"/>
        <w:rPr>
          <w:sz w:val="20"/>
          <w:szCs w:val="20"/>
          <w:color w:val="auto"/>
        </w:rPr>
      </w:pPr>
    </w:p>
    <w:p>
      <w:pPr>
        <w:jc w:val="both"/>
        <w:ind w:firstLine="740"/>
        <w:spacing w:after="0" w:line="245" w:lineRule="auto"/>
        <w:rPr>
          <w:sz w:val="20"/>
          <w:szCs w:val="20"/>
          <w:color w:val="auto"/>
        </w:rPr>
      </w:pPr>
      <w:r>
        <w:rPr>
          <w:rFonts w:ascii="Times New Roman" w:cs="Times New Roman" w:eastAsia="Times New Roman" w:hAnsi="Times New Roman"/>
          <w:sz w:val="20"/>
          <w:szCs w:val="20"/>
          <w:color w:val="auto"/>
        </w:rPr>
        <w:t>In addition, Covered Persons shall not directly or indirectly communicate material nonpublic information to anyone outside the Company (except in accordance with the Company’s policies regarding confidential information) or to anyone within the Company other than on a “need-to-know” basis. This prohibition applies to all forms of communication, including email, messaging applications, social media platforms (e.g., LinkedIn, X/Twitter, Facebook, Reddit), online forums and personal blogs.</w:t>
      </w:r>
    </w:p>
    <w:p>
      <w:pPr>
        <w:spacing w:after="0" w:line="62" w:lineRule="exact"/>
        <w:rPr>
          <w:sz w:val="20"/>
          <w:szCs w:val="20"/>
          <w:color w:val="auto"/>
        </w:rPr>
      </w:pPr>
    </w:p>
    <w:p>
      <w:pPr>
        <w:jc w:val="both"/>
        <w:ind w:firstLine="740"/>
        <w:spacing w:after="0" w:line="265"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u w:val="single" w:color="auto"/>
          <w:color w:val="auto"/>
        </w:rPr>
        <w:t>Securities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includes stocks, bonds, notes, debentures, options, warrants, equity and other convertible securities, as well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derivative instruments.</w:t>
      </w:r>
    </w:p>
    <w:p>
      <w:pPr>
        <w:spacing w:after="0" w:line="54" w:lineRule="exact"/>
        <w:rPr>
          <w:sz w:val="20"/>
          <w:szCs w:val="20"/>
          <w:color w:val="auto"/>
        </w:rPr>
      </w:pPr>
    </w:p>
    <w:p>
      <w:pPr>
        <w:jc w:val="both"/>
        <w:ind w:firstLine="740"/>
        <w:spacing w:after="0" w:line="244"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u w:val="single" w:color="auto"/>
          <w:color w:val="auto"/>
        </w:rPr>
        <w:t>Purchase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sale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are defined broadly under the federal securities law.</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Purchase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includes not only the actual purchase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 security, but also any contract to purchase or otherwise acquire a security.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Sale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includes not only the actual sale of a security, but also any contract to sell or otherwise dispose of a security. These definitions extend to a broad range of transactions, including conventional cash-for-stock transactions, conversions, the exercise of stock options, transfers, gifts, and acquisitions and exercises of warrants or puts, calls, pledging and margin loans, or other derivative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806450</wp:posOffset>
            </wp:positionV>
            <wp:extent cx="71589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80"/>
          </w:cols>
          <w:pgMar w:left="680" w:top="982" w:right="339" w:bottom="1440" w:gutter="0" w:footer="0" w:header="0"/>
        </w:sectPr>
      </w:pPr>
    </w:p>
    <w:bookmarkStart w:id="148" w:name="page149"/>
    <w:bookmarkEnd w:id="148"/>
    <w:p>
      <w:pPr>
        <w:ind w:firstLine="740"/>
        <w:spacing w:after="0" w:line="263" w:lineRule="auto"/>
        <w:rPr>
          <w:sz w:val="20"/>
          <w:szCs w:val="20"/>
          <w:color w:val="auto"/>
        </w:rPr>
      </w:pPr>
      <w:r>
        <w:rPr>
          <w:rFonts w:ascii="Times New Roman" w:cs="Times New Roman" w:eastAsia="Times New Roman" w:hAnsi="Times New Roman"/>
          <w:sz w:val="20"/>
          <w:szCs w:val="20"/>
          <w:color w:val="auto"/>
        </w:rPr>
        <w:t>The laws and regulations concerning insider trading are complex, and Covered Persons are encouraged to seek guidance from the Compliance Officer prior to considering a transaction in Company securities.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Exempt Transactions</w:t>
      </w:r>
    </w:p>
    <w:p>
      <w:pPr>
        <w:spacing w:after="0" w:line="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prohibitions in this Policy, other than those set forth in “Prohibited Transactions” below, do not apply to:</w:t>
      </w:r>
    </w:p>
    <w:p>
      <w:pPr>
        <w:spacing w:after="0" w:line="104" w:lineRule="exact"/>
        <w:rPr>
          <w:sz w:val="20"/>
          <w:szCs w:val="20"/>
          <w:color w:val="auto"/>
        </w:rPr>
      </w:pPr>
    </w:p>
    <w:p>
      <w:pPr>
        <w:ind w:left="1520" w:hanging="750"/>
        <w:spacing w:after="0"/>
        <w:tabs>
          <w:tab w:leader="none" w:pos="152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the Company’s securities from the Company, or sales of the Company’s securities to the Company;</w:t>
      </w:r>
    </w:p>
    <w:p>
      <w:pPr>
        <w:spacing w:after="0" w:line="90" w:lineRule="exact"/>
        <w:rPr>
          <w:rFonts w:ascii="Times New Roman" w:cs="Times New Roman" w:eastAsia="Times New Roman" w:hAnsi="Times New Roman"/>
          <w:sz w:val="20"/>
          <w:szCs w:val="20"/>
          <w:color w:val="auto"/>
        </w:rPr>
      </w:pPr>
    </w:p>
    <w:p>
      <w:pPr>
        <w:jc w:val="both"/>
        <w:ind w:left="1520" w:hanging="750"/>
        <w:spacing w:after="0" w:line="243" w:lineRule="auto"/>
        <w:tabs>
          <w:tab w:leader="none" w:pos="152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exercises of stock options or other equity awards or the surrender of shares to the Company in payment of the exercise price or in satisfaction of any tax withholding obligations in a manner permitted by the applicable equity award agreement, or vesting of equity-based awards, in each case, that do not involve a market sale of the Company’s securities (the “cashless exercise” of a Company stock option or other equity award through a broker does involve a market sale of the Company’s securities, and therefore would not qualify under this exception);</w:t>
      </w:r>
    </w:p>
    <w:p>
      <w:pPr>
        <w:spacing w:after="0" w:line="90" w:lineRule="exact"/>
        <w:rPr>
          <w:rFonts w:ascii="Times New Roman" w:cs="Times New Roman" w:eastAsia="Times New Roman" w:hAnsi="Times New Roman"/>
          <w:sz w:val="20"/>
          <w:szCs w:val="20"/>
          <w:color w:val="auto"/>
        </w:rPr>
      </w:pPr>
    </w:p>
    <w:p>
      <w:pPr>
        <w:jc w:val="both"/>
        <w:ind w:left="1520" w:hanging="750"/>
        <w:spacing w:after="0" w:line="251" w:lineRule="auto"/>
        <w:tabs>
          <w:tab w:leader="none" w:pos="152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bona fide </w:t>
      </w:r>
      <w:r>
        <w:rPr>
          <w:rFonts w:ascii="Times New Roman" w:cs="Times New Roman" w:eastAsia="Times New Roman" w:hAnsi="Times New Roman"/>
          <w:sz w:val="20"/>
          <w:szCs w:val="20"/>
          <w:color w:val="auto"/>
        </w:rPr>
        <w:t>gift transactions for family or estate planning purposes, where securities are gifted to a person or entity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subject to this Policy, except that gift transactions involving Company securities are subject to pre-clearance and must be made outside of the blackout period if the individual making the gift is subject to a blackout period; or</w:t>
      </w:r>
    </w:p>
    <w:p>
      <w:pPr>
        <w:spacing w:after="0" w:line="69" w:lineRule="exact"/>
        <w:rPr>
          <w:rFonts w:ascii="Times New Roman" w:cs="Times New Roman" w:eastAsia="Times New Roman" w:hAnsi="Times New Roman"/>
          <w:sz w:val="20"/>
          <w:szCs w:val="20"/>
          <w:color w:val="auto"/>
        </w:rPr>
      </w:pPr>
    </w:p>
    <w:p>
      <w:pPr>
        <w:ind w:left="1520" w:hanging="750"/>
        <w:spacing w:after="0" w:line="263" w:lineRule="auto"/>
        <w:tabs>
          <w:tab w:leader="none" w:pos="152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or sales of the Company’s securities made pursuant to a Trading Plan (as defined in the section titled “Rule 10b5-1 Trading Plans”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Blackout Periods</w:t>
      </w:r>
    </w:p>
    <w:p>
      <w:pPr>
        <w:spacing w:after="0" w:line="82" w:lineRule="exact"/>
        <w:rPr>
          <w:sz w:val="20"/>
          <w:szCs w:val="20"/>
          <w:color w:val="auto"/>
        </w:rPr>
      </w:pPr>
    </w:p>
    <w:p>
      <w:pPr>
        <w:jc w:val="both"/>
        <w:ind w:firstLine="740"/>
        <w:spacing w:after="0" w:line="234" w:lineRule="auto"/>
        <w:rPr>
          <w:sz w:val="20"/>
          <w:szCs w:val="20"/>
          <w:color w:val="auto"/>
        </w:rPr>
      </w:pPr>
      <w:r>
        <w:rPr>
          <w:rFonts w:ascii="Times New Roman" w:cs="Times New Roman" w:eastAsia="Times New Roman" w:hAnsi="Times New Roman"/>
          <w:sz w:val="20"/>
          <w:szCs w:val="20"/>
          <w:color w:val="auto"/>
        </w:rPr>
        <w:t xml:space="preserve">No director, officer or employee listed as subject to quarterly blackout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as amended from time to time, (as well as any individual or entity covered by this Policy by virtue of their relationship to such director, officer or employee) shall purchase, sell, gift or otherwise transfer any security of the Company during the period beginning at 11:59 p.m., Eastern Time, on the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calendar day before the end of any fiscal quarter of the Company and ending after completion of the second full trading day after the public release of earnings data for such fiscal quarter or during any other trading suspension period declared by the Company, such period, a “</w:t>
      </w:r>
      <w:r>
        <w:rPr>
          <w:rFonts w:ascii="Times New Roman" w:cs="Times New Roman" w:eastAsia="Times New Roman" w:hAnsi="Times New Roman"/>
          <w:sz w:val="20"/>
          <w:szCs w:val="20"/>
          <w:u w:val="single" w:color="auto"/>
          <w:color w:val="auto"/>
        </w:rPr>
        <w:t>blackout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period</w:t>
      </w:r>
      <w:r>
        <w:rPr>
          <w:rFonts w:ascii="Times New Roman" w:cs="Times New Roman" w:eastAsia="Times New Roman" w:hAnsi="Times New Roman"/>
          <w:sz w:val="20"/>
          <w:szCs w:val="20"/>
          <w:color w:val="auto"/>
        </w:rPr>
        <w:t xml:space="preserve">.” A “trading day” is a day on which U.S. national stock exchanges are open for trading. If, for example, the Company were to make an announcement on Monday </w:t>
      </w:r>
      <w:r>
        <w:rPr>
          <w:rFonts w:ascii="Times New Roman" w:cs="Times New Roman" w:eastAsia="Times New Roman" w:hAnsi="Times New Roman"/>
          <w:sz w:val="20"/>
          <w:szCs w:val="20"/>
          <w:i w:val="1"/>
          <w:iCs w:val="1"/>
          <w:color w:val="auto"/>
        </w:rPr>
        <w:t>prior</w:t>
      </w:r>
      <w:r>
        <w:rPr>
          <w:rFonts w:ascii="Times New Roman" w:cs="Times New Roman" w:eastAsia="Times New Roman" w:hAnsi="Times New Roman"/>
          <w:sz w:val="20"/>
          <w:szCs w:val="20"/>
          <w:color w:val="auto"/>
        </w:rPr>
        <w:t xml:space="preserve"> to 9:30 a.m. Eastern Time, then the blackout period would terminate </w:t>
      </w:r>
      <w:r>
        <w:rPr>
          <w:rFonts w:ascii="Times New Roman" w:cs="Times New Roman" w:eastAsia="Times New Roman" w:hAnsi="Times New Roman"/>
          <w:sz w:val="20"/>
          <w:szCs w:val="20"/>
          <w:i w:val="1"/>
          <w:iCs w:val="1"/>
          <w:color w:val="auto"/>
        </w:rPr>
        <w:t>after</w:t>
      </w:r>
      <w:r>
        <w:rPr>
          <w:rFonts w:ascii="Times New Roman" w:cs="Times New Roman" w:eastAsia="Times New Roman" w:hAnsi="Times New Roman"/>
          <w:sz w:val="20"/>
          <w:szCs w:val="20"/>
          <w:color w:val="auto"/>
        </w:rPr>
        <w:t xml:space="preserve"> the close of trading on Tuesday. If an announcement were made on Monday after 9:30 a.m. Eastern Time, then the blackout period would terminate after the close of trading on Wednesday. If you have any question as to whether information is publicly available, please direct an inquiry to the Compliance Officer.</w:t>
      </w:r>
    </w:p>
    <w:p>
      <w:pPr>
        <w:spacing w:after="0" w:line="84" w:lineRule="exact"/>
        <w:rPr>
          <w:sz w:val="20"/>
          <w:szCs w:val="20"/>
          <w:color w:val="auto"/>
        </w:rPr>
      </w:pPr>
    </w:p>
    <w:p>
      <w:pPr>
        <w:jc w:val="both"/>
        <w:ind w:firstLine="740"/>
        <w:spacing w:after="0" w:line="255" w:lineRule="auto"/>
        <w:rPr>
          <w:sz w:val="20"/>
          <w:szCs w:val="20"/>
          <w:color w:val="auto"/>
        </w:rPr>
      </w:pPr>
      <w:r>
        <w:rPr>
          <w:rFonts w:ascii="Times New Roman" w:cs="Times New Roman" w:eastAsia="Times New Roman" w:hAnsi="Times New Roman"/>
          <w:sz w:val="19"/>
          <w:szCs w:val="19"/>
          <w:color w:val="auto"/>
        </w:rPr>
        <w:t>Exceptions to the blackout period policy may be approved by the Compliance Officer or, in the case of exceptions for directors, the Company’s Board of Directors (the “</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The Compliance Officer may, on a case-by-case basis, authorize transactions in Company securities during a restricted period due to financial hardship or other hardships only after: (1) the person wishing to transact has notified the Compliance Officer in writing of the circumstances of the hardship and the amount and nature of the proposed transaction(s),</w:t>
      </w:r>
    </w:p>
    <w:p>
      <w:pPr>
        <w:spacing w:after="0" w:line="3" w:lineRule="exact"/>
        <w:rPr>
          <w:sz w:val="20"/>
          <w:szCs w:val="20"/>
          <w:color w:val="auto"/>
        </w:rPr>
      </w:pPr>
    </w:p>
    <w:p>
      <w:pPr>
        <w:jc w:val="both"/>
        <w:ind w:firstLine="8"/>
        <w:spacing w:after="0" w:line="239" w:lineRule="auto"/>
        <w:tabs>
          <w:tab w:leader="none" w:pos="30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transacting has certified to the Compliance Officer in writing no earlier than two business days prior to the proposed transaction(s) that they are not aware or in possession of material nonpublic information concerning the Company, and (3) the Compliance Officer has approved the transaction(s) in writing.</w:t>
      </w:r>
    </w:p>
    <w:p>
      <w:pPr>
        <w:spacing w:after="0" w:line="67" w:lineRule="exact"/>
        <w:rPr>
          <w:sz w:val="20"/>
          <w:szCs w:val="20"/>
          <w:color w:val="auto"/>
        </w:rPr>
      </w:pPr>
    </w:p>
    <w:p>
      <w:pPr>
        <w:ind w:firstLine="740"/>
        <w:spacing w:after="0" w:line="263" w:lineRule="auto"/>
        <w:rPr>
          <w:sz w:val="20"/>
          <w:szCs w:val="20"/>
          <w:color w:val="auto"/>
        </w:rPr>
      </w:pPr>
      <w:r>
        <w:rPr>
          <w:rFonts w:ascii="Times New Roman" w:cs="Times New Roman" w:eastAsia="Times New Roman" w:hAnsi="Times New Roman"/>
          <w:sz w:val="20"/>
          <w:szCs w:val="20"/>
          <w:color w:val="auto"/>
        </w:rPr>
        <w:t xml:space="preserve">Except as permitted pursuant to a Trading Plan, the prohibition against transacting during the blackout period also means that a director, officer or employee listed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cannot make gifts of</w:t>
      </w:r>
    </w:p>
    <w:p>
      <w:pPr>
        <w:spacing w:after="0" w:line="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619760</wp:posOffset>
            </wp:positionV>
            <wp:extent cx="715899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80"/>
          </w:cols>
          <w:pgMar w:left="680" w:top="1374" w:right="339" w:bottom="1440" w:gutter="0" w:footer="0" w:header="0"/>
        </w:sectPr>
      </w:pPr>
    </w:p>
    <w:bookmarkStart w:id="149" w:name="page150"/>
    <w:bookmarkEnd w:id="149"/>
    <w:p>
      <w:pPr>
        <w:jc w:val="both"/>
        <w:spacing w:after="0" w:line="245" w:lineRule="auto"/>
        <w:rPr>
          <w:sz w:val="20"/>
          <w:szCs w:val="20"/>
          <w:color w:val="auto"/>
        </w:rPr>
      </w:pPr>
      <w:r>
        <w:rPr>
          <w:rFonts w:ascii="Times New Roman" w:cs="Times New Roman" w:eastAsia="Times New Roman" w:hAnsi="Times New Roman"/>
          <w:sz w:val="20"/>
          <w:szCs w:val="20"/>
          <w:color w:val="auto"/>
        </w:rPr>
        <w:t>Company securities, and brokers cannot fulfill open orders on their behalf or on behalf of their immediate family members, persons with whom they share a household, persons who are their economic dependents, or any person or entity whose transactions in securities they influence, direct or control, during the blackout period, including “limit orders” to buy or sell stock at a specific price or better, and “stop orders” to buy or sell stock once the price of the stock reaches a specified price.</w:t>
      </w:r>
    </w:p>
    <w:p>
      <w:pPr>
        <w:spacing w:after="0" w:line="77" w:lineRule="exact"/>
        <w:rPr>
          <w:sz w:val="20"/>
          <w:szCs w:val="20"/>
          <w:color w:val="auto"/>
        </w:rPr>
      </w:pPr>
    </w:p>
    <w:p>
      <w:pPr>
        <w:jc w:val="both"/>
        <w:ind w:firstLine="740"/>
        <w:spacing w:after="0" w:line="243" w:lineRule="auto"/>
        <w:rPr>
          <w:sz w:val="20"/>
          <w:szCs w:val="20"/>
          <w:color w:val="auto"/>
        </w:rPr>
      </w:pPr>
      <w:r>
        <w:rPr>
          <w:rFonts w:ascii="Times New Roman" w:cs="Times New Roman" w:eastAsia="Times New Roman" w:hAnsi="Times New Roman"/>
          <w:sz w:val="20"/>
          <w:szCs w:val="20"/>
          <w:color w:val="auto"/>
        </w:rPr>
        <w:t>The Compliance Officer may determine that directors, officers, employees or others suspend transacting in Company securities because of developments that have not yet been disclosed to the public. Subject to the exceptions noted above, all of those individuals notified that they are subject to this additional blackout period should not purchase, sell, gift or otherwise transfer the Company’s securities while the suspension is in effect and should not disclose to others that the Company has implemented an additional blackout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Preclearance of Transactions by Directors, Officers and Employees</w:t>
      </w:r>
    </w:p>
    <w:p>
      <w:pPr>
        <w:spacing w:after="0" w:line="93" w:lineRule="exact"/>
        <w:rPr>
          <w:sz w:val="20"/>
          <w:szCs w:val="20"/>
          <w:color w:val="auto"/>
        </w:rPr>
      </w:pPr>
    </w:p>
    <w:p>
      <w:pPr>
        <w:jc w:val="both"/>
        <w:ind w:firstLine="740"/>
        <w:spacing w:after="0" w:line="245" w:lineRule="auto"/>
        <w:rPr>
          <w:sz w:val="20"/>
          <w:szCs w:val="20"/>
          <w:color w:val="auto"/>
        </w:rPr>
      </w:pPr>
      <w:r>
        <w:rPr>
          <w:rFonts w:ascii="Times New Roman" w:cs="Times New Roman" w:eastAsia="Times New Roman" w:hAnsi="Times New Roman"/>
          <w:sz w:val="20"/>
          <w:szCs w:val="20"/>
          <w:color w:val="auto"/>
        </w:rPr>
        <w:t xml:space="preserve">All transactions (including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gifts and other transfers) in the Company’s securities by directors, officers, and employees listed as subject to preclearance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u w:val="single" w:color="auto"/>
          <w:color w:val="auto"/>
        </w:rPr>
        <w:t>Preclearance Person</w:t>
      </w:r>
      <w:r>
        <w:rPr>
          <w:rFonts w:ascii="Times New Roman" w:cs="Times New Roman" w:eastAsia="Times New Roman" w:hAnsi="Times New Roman"/>
          <w:sz w:val="20"/>
          <w:szCs w:val="20"/>
          <w:color w:val="auto"/>
        </w:rPr>
        <w:t>”) must be precleared by the Compliance Officer, the Compliance Officer’s designee, or the Chief</w:t>
      </w:r>
    </w:p>
    <w:p>
      <w:pPr>
        <w:spacing w:after="0" w:line="2" w:lineRule="exact"/>
        <w:rPr>
          <w:sz w:val="20"/>
          <w:szCs w:val="20"/>
          <w:color w:val="auto"/>
        </w:rPr>
      </w:pPr>
    </w:p>
    <w:p>
      <w:pPr>
        <w:jc w:val="both"/>
        <w:ind w:firstLine="2"/>
        <w:spacing w:after="0"/>
        <w:rPr>
          <w:sz w:val="20"/>
          <w:szCs w:val="20"/>
          <w:color w:val="auto"/>
        </w:rPr>
      </w:pPr>
      <w:r>
        <w:rPr>
          <w:rFonts w:ascii="Times New Roman" w:cs="Times New Roman" w:eastAsia="Times New Roman" w:hAnsi="Times New Roman"/>
          <w:sz w:val="20"/>
          <w:szCs w:val="20"/>
          <w:color w:val="auto"/>
        </w:rPr>
        <w:t>Financial Officer for transactions by the Compliance Officer. Preclearance should not be understood to represent legal advice by the Company that a proposed transaction complies with the law.</w:t>
      </w:r>
    </w:p>
    <w:p>
      <w:pPr>
        <w:spacing w:after="0" w:line="66" w:lineRule="exact"/>
        <w:rPr>
          <w:sz w:val="20"/>
          <w:szCs w:val="20"/>
          <w:color w:val="auto"/>
        </w:rPr>
      </w:pPr>
    </w:p>
    <w:p>
      <w:pPr>
        <w:jc w:val="both"/>
        <w:ind w:firstLine="740"/>
        <w:spacing w:after="0" w:line="239" w:lineRule="auto"/>
        <w:rPr>
          <w:sz w:val="20"/>
          <w:szCs w:val="20"/>
          <w:color w:val="auto"/>
        </w:rPr>
      </w:pPr>
      <w:r>
        <w:rPr>
          <w:rFonts w:ascii="Times New Roman" w:cs="Times New Roman" w:eastAsia="Times New Roman" w:hAnsi="Times New Roman"/>
          <w:sz w:val="20"/>
          <w:szCs w:val="20"/>
          <w:color w:val="auto"/>
        </w:rPr>
        <w:t>A request for preclearance must be in writing, should be made at least two business days in advance of the proposed transaction to allow the Compliance Officer or Compliance Officer’s designee time to review such request, and should include the identity of the Preclearance Person, a description of the proposed transaction, the proposed date of the transaction, and the approximate number of shares or other securities involved. In addition, the Preclearance Person must execute a certification that he or she is not aware of material nonpublic information about the Company. The Compliance Officer, the Compliance Officer’s designee, or the Chief Financial Officer for transactions by the Compliance Officer, shall have sole discretion to decide whether to clear any contemplated transaction. All transactions that are precleared must be effected within five business days of receipt of the preclearance. A precleared transaction (or any portion of a precleared transaction) that has not been effected during the five business day period must be submitted for preclearance determination again prior to execution. Notwithstanding receipt of preclearance, if the Preclearance Person becomes aware of material nonpublic information, or becomes subject to a blackout period before the transaction is effected, the transaction may not be completed. Transactions under a previously established Trading Plan that has been preapproved in accordance with this Policy are not subject to further preclearance.</w:t>
      </w:r>
    </w:p>
    <w:p>
      <w:pPr>
        <w:spacing w:after="0" w:line="74" w:lineRule="exact"/>
        <w:rPr>
          <w:sz w:val="20"/>
          <w:szCs w:val="20"/>
          <w:color w:val="auto"/>
        </w:rPr>
      </w:pPr>
    </w:p>
    <w:p>
      <w:pPr>
        <w:jc w:val="both"/>
        <w:ind w:firstLine="740"/>
        <w:spacing w:after="0" w:line="263" w:lineRule="auto"/>
        <w:rPr>
          <w:sz w:val="20"/>
          <w:szCs w:val="20"/>
          <w:color w:val="auto"/>
        </w:rPr>
      </w:pPr>
      <w:r>
        <w:rPr>
          <w:rFonts w:ascii="Times New Roman" w:cs="Times New Roman" w:eastAsia="Times New Roman" w:hAnsi="Times New Roman"/>
          <w:sz w:val="20"/>
          <w:szCs w:val="20"/>
          <w:color w:val="auto"/>
        </w:rPr>
        <w:t>None of the Company, the Compliance Officer, the Compliance Officer’s designee, or the Company’s other employees will have any liability for any delay in reviewing, or refusal of, a request for preclearance.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Material Nonpublic Information</w:t>
      </w:r>
    </w:p>
    <w:p>
      <w:pPr>
        <w:spacing w:after="0" w:line="82" w:lineRule="exact"/>
        <w:rPr>
          <w:sz w:val="20"/>
          <w:szCs w:val="20"/>
          <w:color w:val="auto"/>
        </w:rPr>
      </w:pPr>
    </w:p>
    <w:p>
      <w:pPr>
        <w:jc w:val="both"/>
        <w:ind w:firstLine="740"/>
        <w:spacing w:after="0" w:line="243" w:lineRule="auto"/>
        <w:rPr>
          <w:sz w:val="20"/>
          <w:szCs w:val="20"/>
          <w:color w:val="auto"/>
        </w:rPr>
      </w:pPr>
      <w:r>
        <w:rPr>
          <w:rFonts w:ascii="Times New Roman" w:cs="Times New Roman" w:eastAsia="Times New Roman" w:hAnsi="Times New Roman"/>
          <w:sz w:val="20"/>
          <w:szCs w:val="20"/>
          <w:color w:val="auto"/>
        </w:rPr>
        <w:t>Information is considered “</w:t>
      </w:r>
      <w:r>
        <w:rPr>
          <w:rFonts w:ascii="Times New Roman" w:cs="Times New Roman" w:eastAsia="Times New Roman" w:hAnsi="Times New Roman"/>
          <w:sz w:val="20"/>
          <w:szCs w:val="20"/>
          <w:u w:val="single" w:color="auto"/>
          <w:color w:val="auto"/>
        </w:rPr>
        <w:t>material</w:t>
      </w:r>
      <w:r>
        <w:rPr>
          <w:rFonts w:ascii="Times New Roman" w:cs="Times New Roman" w:eastAsia="Times New Roman" w:hAnsi="Times New Roman"/>
          <w:sz w:val="20"/>
          <w:szCs w:val="20"/>
          <w:color w:val="auto"/>
        </w:rPr>
        <w:t>” 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it can relate to virtually any aspect of a company’s business or to any type of security, debt, or equity. Also, information that something is likely to happen in the future—or even just that it may happen—could be deemed material.</w:t>
      </w:r>
    </w:p>
    <w:p>
      <w:pPr>
        <w:spacing w:after="0" w:line="6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Examples of material information may include (but are not limited to) information about:</w:t>
      </w:r>
    </w:p>
    <w:p>
      <w:pPr>
        <w:spacing w:after="0" w:line="131" w:lineRule="exact"/>
        <w:rPr>
          <w:sz w:val="20"/>
          <w:szCs w:val="20"/>
          <w:color w:val="auto"/>
        </w:rPr>
      </w:pPr>
    </w:p>
    <w:p>
      <w:pPr>
        <w:ind w:left="1140" w:hanging="370"/>
        <w:spacing w:after="0"/>
        <w:tabs>
          <w:tab w:leader="none" w:pos="11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earnings or earnings forecasts;</w:t>
      </w:r>
    </w:p>
    <w:p>
      <w:pPr>
        <w:spacing w:after="0" w:line="104" w:lineRule="exact"/>
        <w:rPr>
          <w:rFonts w:ascii="Times New Roman" w:cs="Times New Roman" w:eastAsia="Times New Roman" w:hAnsi="Times New Roman"/>
          <w:sz w:val="20"/>
          <w:szCs w:val="20"/>
          <w:color w:val="auto"/>
        </w:rPr>
      </w:pPr>
    </w:p>
    <w:p>
      <w:pPr>
        <w:ind w:left="5560" w:right="4980" w:hanging="4790"/>
        <w:spacing w:after="0" w:line="316" w:lineRule="auto"/>
        <w:tabs>
          <w:tab w:leader="none" w:pos="1147"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possible mergers, acquisitions, tender offers, or dispositions;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787400</wp:posOffset>
            </wp:positionV>
            <wp:extent cx="71589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80"/>
          </w:cols>
          <w:pgMar w:left="680" w:top="1374" w:right="339" w:bottom="1440" w:gutter="0" w:footer="0" w:header="0"/>
        </w:sectPr>
      </w:pPr>
    </w:p>
    <w:bookmarkStart w:id="150" w:name="page151"/>
    <w:bookmarkEnd w:id="150"/>
    <w:p>
      <w:pPr>
        <w:ind w:left="1140" w:hanging="370"/>
        <w:spacing w:after="0"/>
        <w:tabs>
          <w:tab w:leader="none" w:pos="11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new products or product developments;</w:t>
      </w:r>
    </w:p>
    <w:p>
      <w:pPr>
        <w:spacing w:after="0" w:line="104" w:lineRule="exact"/>
        <w:rPr>
          <w:rFonts w:ascii="Times New Roman" w:cs="Times New Roman" w:eastAsia="Times New Roman" w:hAnsi="Times New Roman"/>
          <w:sz w:val="20"/>
          <w:szCs w:val="20"/>
          <w:color w:val="auto"/>
        </w:rPr>
      </w:pPr>
    </w:p>
    <w:p>
      <w:pPr>
        <w:ind w:left="1140" w:hanging="370"/>
        <w:spacing w:after="0"/>
        <w:tabs>
          <w:tab w:leader="none" w:pos="11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important business developments, such as developments regarding strategic collaborations;</w:t>
      </w:r>
    </w:p>
    <w:p>
      <w:pPr>
        <w:spacing w:after="0" w:line="90" w:lineRule="exact"/>
        <w:rPr>
          <w:rFonts w:ascii="Times New Roman" w:cs="Times New Roman" w:eastAsia="Times New Roman" w:hAnsi="Times New Roman"/>
          <w:sz w:val="20"/>
          <w:szCs w:val="20"/>
          <w:color w:val="auto"/>
        </w:rPr>
      </w:pPr>
    </w:p>
    <w:p>
      <w:pPr>
        <w:ind w:left="1140" w:hanging="370"/>
        <w:spacing w:after="0"/>
        <w:tabs>
          <w:tab w:leader="none" w:pos="11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or control changes;</w:t>
      </w:r>
    </w:p>
    <w:p>
      <w:pPr>
        <w:spacing w:after="0" w:line="90" w:lineRule="exact"/>
        <w:rPr>
          <w:rFonts w:ascii="Times New Roman" w:cs="Times New Roman" w:eastAsia="Times New Roman" w:hAnsi="Times New Roman"/>
          <w:sz w:val="20"/>
          <w:szCs w:val="20"/>
          <w:color w:val="auto"/>
        </w:rPr>
      </w:pPr>
    </w:p>
    <w:p>
      <w:pPr>
        <w:ind w:left="1140" w:hanging="370"/>
        <w:spacing w:after="0"/>
        <w:tabs>
          <w:tab w:leader="none" w:pos="11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financing developments including pending public sales or offerings of debt or equity securities;</w:t>
      </w:r>
    </w:p>
    <w:p>
      <w:pPr>
        <w:spacing w:after="0" w:line="144" w:lineRule="exact"/>
        <w:rPr>
          <w:rFonts w:ascii="Times New Roman" w:cs="Times New Roman" w:eastAsia="Times New Roman" w:hAnsi="Times New Roman"/>
          <w:sz w:val="20"/>
          <w:szCs w:val="20"/>
          <w:color w:val="auto"/>
        </w:rPr>
      </w:pPr>
    </w:p>
    <w:p>
      <w:pPr>
        <w:ind w:left="1140" w:hanging="370"/>
        <w:spacing w:after="0"/>
        <w:tabs>
          <w:tab w:leader="none" w:pos="11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defaults on borrowings;</w:t>
      </w:r>
    </w:p>
    <w:p>
      <w:pPr>
        <w:spacing w:after="0" w:line="90" w:lineRule="exact"/>
        <w:rPr>
          <w:rFonts w:ascii="Times New Roman" w:cs="Times New Roman" w:eastAsia="Times New Roman" w:hAnsi="Times New Roman"/>
          <w:sz w:val="20"/>
          <w:szCs w:val="20"/>
          <w:color w:val="auto"/>
        </w:rPr>
      </w:pPr>
    </w:p>
    <w:p>
      <w:pPr>
        <w:ind w:left="1140" w:hanging="370"/>
        <w:spacing w:after="0"/>
        <w:tabs>
          <w:tab w:leader="none" w:pos="11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bankruptcies;</w:t>
      </w:r>
    </w:p>
    <w:p>
      <w:pPr>
        <w:spacing w:after="0" w:line="104" w:lineRule="exact"/>
        <w:rPr>
          <w:rFonts w:ascii="Times New Roman" w:cs="Times New Roman" w:eastAsia="Times New Roman" w:hAnsi="Times New Roman"/>
          <w:sz w:val="20"/>
          <w:szCs w:val="20"/>
          <w:color w:val="auto"/>
        </w:rPr>
      </w:pPr>
    </w:p>
    <w:p>
      <w:pPr>
        <w:ind w:left="1140" w:hanging="370"/>
        <w:spacing w:after="0"/>
        <w:tabs>
          <w:tab w:leader="none" w:pos="11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or data security incidents; and</w:t>
      </w:r>
    </w:p>
    <w:p>
      <w:pPr>
        <w:spacing w:after="0" w:line="90" w:lineRule="exact"/>
        <w:rPr>
          <w:rFonts w:ascii="Times New Roman" w:cs="Times New Roman" w:eastAsia="Times New Roman" w:hAnsi="Times New Roman"/>
          <w:sz w:val="20"/>
          <w:szCs w:val="20"/>
          <w:color w:val="auto"/>
        </w:rPr>
      </w:pPr>
    </w:p>
    <w:p>
      <w:pPr>
        <w:ind w:left="1140" w:hanging="370"/>
        <w:spacing w:after="0"/>
        <w:tabs>
          <w:tab w:leader="none" w:pos="11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litigation or regulatory actions.</w:t>
      </w:r>
    </w:p>
    <w:p>
      <w:pPr>
        <w:spacing w:after="0" w:line="64" w:lineRule="exact"/>
        <w:rPr>
          <w:sz w:val="20"/>
          <w:szCs w:val="20"/>
          <w:color w:val="auto"/>
        </w:rPr>
      </w:pPr>
    </w:p>
    <w:p>
      <w:pPr>
        <w:jc w:val="both"/>
        <w:ind w:firstLine="740"/>
        <w:spacing w:after="0" w:line="245" w:lineRule="auto"/>
        <w:rPr>
          <w:sz w:val="20"/>
          <w:szCs w:val="20"/>
          <w:color w:val="auto"/>
        </w:rPr>
      </w:pPr>
      <w:r>
        <w:rPr>
          <w:rFonts w:ascii="Times New Roman" w:cs="Times New Roman" w:eastAsia="Times New Roman" w:hAnsi="Times New Roman"/>
          <w:sz w:val="20"/>
          <w:szCs w:val="20"/>
          <w:color w:val="auto"/>
        </w:rPr>
        <w:t>Information is “</w:t>
      </w:r>
      <w:r>
        <w:rPr>
          <w:rFonts w:ascii="Times New Roman" w:cs="Times New Roman" w:eastAsia="Times New Roman" w:hAnsi="Times New Roman"/>
          <w:sz w:val="20"/>
          <w:szCs w:val="20"/>
          <w:u w:val="single" w:color="auto"/>
          <w:color w:val="auto"/>
        </w:rPr>
        <w:t>nonpublic</w:t>
      </w:r>
      <w:r>
        <w:rPr>
          <w:rFonts w:ascii="Times New Roman" w:cs="Times New Roman" w:eastAsia="Times New Roman" w:hAnsi="Times New Roman"/>
          <w:sz w:val="20"/>
          <w:szCs w:val="20"/>
          <w:color w:val="auto"/>
        </w:rPr>
        <w:t>” if it is not available to the general public. In order for information to be considered “</w:t>
      </w:r>
      <w:r>
        <w:rPr>
          <w:rFonts w:ascii="Times New Roman" w:cs="Times New Roman" w:eastAsia="Times New Roman" w:hAnsi="Times New Roman"/>
          <w:sz w:val="20"/>
          <w:szCs w:val="20"/>
          <w:u w:val="single" w:color="auto"/>
          <w:color w:val="auto"/>
        </w:rPr>
        <w:t>public</w:t>
      </w:r>
      <w:r>
        <w:rPr>
          <w:rFonts w:ascii="Times New Roman" w:cs="Times New Roman" w:eastAsia="Times New Roman" w:hAnsi="Times New Roman"/>
          <w:sz w:val="20"/>
          <w:szCs w:val="20"/>
          <w:color w:val="auto"/>
        </w:rPr>
        <w:t>,” it must be widely disseminated in a manner that makes it generally available to investors in a Regulation FD-compliant method, such as through a press release, a filing with the U.S. Securities and Exchange Commission or a Regulation FD-compliant conference call. The Compliance Officer shall have sole discretion to decide whether information is public for purposes of this Policy.</w:t>
      </w:r>
    </w:p>
    <w:p>
      <w:pPr>
        <w:spacing w:after="0" w:line="64" w:lineRule="exact"/>
        <w:rPr>
          <w:sz w:val="20"/>
          <w:szCs w:val="20"/>
          <w:color w:val="auto"/>
        </w:rPr>
      </w:pPr>
    </w:p>
    <w:p>
      <w:pPr>
        <w:jc w:val="both"/>
        <w:ind w:firstLine="740"/>
        <w:spacing w:after="0" w:line="245" w:lineRule="auto"/>
        <w:rPr>
          <w:sz w:val="20"/>
          <w:szCs w:val="20"/>
          <w:color w:val="auto"/>
        </w:rPr>
      </w:pPr>
      <w:r>
        <w:rPr>
          <w:rFonts w:ascii="Times New Roman" w:cs="Times New Roman" w:eastAsia="Times New Roman" w:hAnsi="Times New Roman"/>
          <w:sz w:val="20"/>
          <w:szCs w:val="20"/>
          <w:color w:val="auto"/>
        </w:rPr>
        <w:t>The circulation of rumors, even if accurate and reported in the media, does not constitute public dissemination. In addition, even after a public announcement, a reasonable period of time may need to lapse in order for the market to react to the information. Generally, the passage of two full trading days following release of the information to the public is a reasonable waiting period before such information is deemed to be public.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Post-Termination Transactions</w:t>
      </w:r>
    </w:p>
    <w:p>
      <w:pPr>
        <w:spacing w:after="0" w:line="82" w:lineRule="exact"/>
        <w:rPr>
          <w:sz w:val="20"/>
          <w:szCs w:val="20"/>
          <w:color w:val="auto"/>
        </w:rPr>
      </w:pPr>
    </w:p>
    <w:p>
      <w:pPr>
        <w:jc w:val="both"/>
        <w:ind w:firstLine="740"/>
        <w:spacing w:after="0" w:line="245" w:lineRule="auto"/>
        <w:rPr>
          <w:sz w:val="20"/>
          <w:szCs w:val="20"/>
          <w:color w:val="auto"/>
        </w:rPr>
      </w:pPr>
      <w:r>
        <w:rPr>
          <w:rFonts w:ascii="Times New Roman" w:cs="Times New Roman" w:eastAsia="Times New Roman" w:hAnsi="Times New Roman"/>
          <w:sz w:val="20"/>
          <w:szCs w:val="20"/>
          <w:color w:val="auto"/>
        </w:rPr>
        <w:t xml:space="preserve">If an individual is in possession of material nonpublic information when the individual’s service with the Company terminates, the individual may not purchase, sell, gift or otherwise transfer the Company’s securities until that information has become public or is no longer material. If an individual’s service terminates during a blackout period and the individual is listed as subject to quarterly blackout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the individual will remain subject to that blackout until such blackout period expires.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Prohibited Transactions</w:t>
      </w:r>
    </w:p>
    <w:p>
      <w:pPr>
        <w:spacing w:after="0" w:line="82" w:lineRule="exact"/>
        <w:rPr>
          <w:sz w:val="20"/>
          <w:szCs w:val="20"/>
          <w:color w:val="auto"/>
        </w:rPr>
      </w:pPr>
    </w:p>
    <w:p>
      <w:pPr>
        <w:jc w:val="both"/>
        <w:ind w:firstLine="740"/>
        <w:spacing w:after="0" w:line="245" w:lineRule="auto"/>
        <w:rPr>
          <w:sz w:val="20"/>
          <w:szCs w:val="20"/>
          <w:color w:val="auto"/>
        </w:rPr>
      </w:pPr>
      <w:r>
        <w:rPr>
          <w:rFonts w:ascii="Times New Roman" w:cs="Times New Roman" w:eastAsia="Times New Roman" w:hAnsi="Times New Roman"/>
          <w:sz w:val="20"/>
          <w:szCs w:val="20"/>
          <w:color w:val="auto"/>
        </w:rPr>
        <w:t>The Company has determined that there is a heightened legal risk and the appearance of improper or inappropriate conduct if persons subject to this Policy engage in certain types of transactions. Therefore, Covered Persons shall comply with the following policies with respect to certain transactions in the Company’s securities. This Policy does not restrict investments in diversified mutual funds, index funds or exchange traded funds where the investor does not influence the selection of individual securities.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Short Sales</w:t>
      </w:r>
    </w:p>
    <w:p>
      <w:pPr>
        <w:spacing w:after="0" w:line="80" w:lineRule="exact"/>
        <w:rPr>
          <w:sz w:val="20"/>
          <w:szCs w:val="20"/>
          <w:color w:val="auto"/>
        </w:rPr>
      </w:pPr>
    </w:p>
    <w:p>
      <w:pPr>
        <w:ind w:left="20" w:right="100" w:firstLine="749"/>
        <w:spacing w:after="0" w:line="242" w:lineRule="auto"/>
        <w:rPr>
          <w:sz w:val="20"/>
          <w:szCs w:val="20"/>
          <w:color w:val="auto"/>
        </w:rPr>
      </w:pPr>
      <w:r>
        <w:rPr>
          <w:rFonts w:ascii="Times New Roman" w:cs="Times New Roman" w:eastAsia="Times New Roman" w:hAnsi="Times New Roman"/>
          <w:sz w:val="20"/>
          <w:szCs w:val="20"/>
          <w:color w:val="auto"/>
        </w:rPr>
        <w:t>Short sales of the Company’s securities are prohibited by this Policy. Short sales of the Company’s securities, or sales of shares that the insider does not own at the time of sale, or sales of shares against which the insider does not deliver the shares within 20 days after the sale, evidence an expectation on the part of the seller that the securities will decline in value, and, therefore, signal to the market that the seller has no confidence in the Company or its short-term prospects. In addition, Section 16(c) of the Exchange Act prohibits Section 16 reporting persons (i.e., directors, officers, and the Company’s 10% stockholders) from making short sales of the Company’s equity securities.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Options</w:t>
      </w:r>
    </w:p>
    <w:p>
      <w:pPr>
        <w:spacing w:after="0" w:line="80" w:lineRule="exact"/>
        <w:rPr>
          <w:sz w:val="20"/>
          <w:szCs w:val="20"/>
          <w:color w:val="auto"/>
        </w:rPr>
      </w:pPr>
    </w:p>
    <w:p>
      <w:pPr>
        <w:ind w:firstLine="740"/>
        <w:spacing w:after="0" w:line="263" w:lineRule="auto"/>
        <w:rPr>
          <w:sz w:val="20"/>
          <w:szCs w:val="20"/>
          <w:color w:val="auto"/>
        </w:rPr>
      </w:pPr>
      <w:r>
        <w:rPr>
          <w:rFonts w:ascii="Times New Roman" w:cs="Times New Roman" w:eastAsia="Times New Roman" w:hAnsi="Times New Roman"/>
          <w:sz w:val="20"/>
          <w:szCs w:val="20"/>
          <w:color w:val="auto"/>
        </w:rPr>
        <w:t>Transactions in puts, calls, or other derivative securities involving the Company’s equity securities, on an exchange, on an over-the-counter market, or in any other organized market, are prohibited by this</w:t>
      </w:r>
    </w:p>
    <w:p>
      <w:pPr>
        <w:spacing w:after="0" w:line="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619760</wp:posOffset>
            </wp:positionV>
            <wp:extent cx="715899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80"/>
          </w:cols>
          <w:pgMar w:left="680" w:top="1374" w:right="339" w:bottom="1440" w:gutter="0" w:footer="0" w:header="0"/>
        </w:sectPr>
      </w:pPr>
    </w:p>
    <w:bookmarkStart w:id="151" w:name="page152"/>
    <w:bookmarkEnd w:id="151"/>
    <w:p>
      <w:pPr>
        <w:jc w:val="both"/>
        <w:spacing w:after="0" w:line="245" w:lineRule="auto"/>
        <w:rPr>
          <w:sz w:val="20"/>
          <w:szCs w:val="20"/>
          <w:color w:val="auto"/>
        </w:rPr>
      </w:pPr>
      <w:r>
        <w:rPr>
          <w:rFonts w:ascii="Times New Roman" w:cs="Times New Roman" w:eastAsia="Times New Roman" w:hAnsi="Times New Roman"/>
          <w:sz w:val="20"/>
          <w:szCs w:val="20"/>
          <w:color w:val="auto"/>
        </w:rPr>
        <w:t>Policy. A transaction in options is, in effect, a bet on the short-term movement of the Company’s stock and, therefore, creates the appearance that a Covered Person is trading based on material nonpublic information. Transactions in options, whether traded on an exchange, on an over-the-counter market, or any other organized market, also may focus a Covered Person’s attention on short-term performance at the expense of the Company’s long-term objectives.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Hedging Transactions</w:t>
      </w:r>
    </w:p>
    <w:p>
      <w:pPr>
        <w:spacing w:after="0" w:line="80" w:lineRule="exact"/>
        <w:rPr>
          <w:sz w:val="20"/>
          <w:szCs w:val="20"/>
          <w:color w:val="auto"/>
        </w:rPr>
      </w:pPr>
    </w:p>
    <w:p>
      <w:pPr>
        <w:jc w:val="both"/>
        <w:ind w:firstLine="740"/>
        <w:spacing w:after="0" w:line="243" w:lineRule="auto"/>
        <w:rPr>
          <w:sz w:val="20"/>
          <w:szCs w:val="20"/>
          <w:color w:val="auto"/>
        </w:rPr>
      </w:pPr>
      <w:r>
        <w:rPr>
          <w:rFonts w:ascii="Times New Roman" w:cs="Times New Roman" w:eastAsia="Times New Roman" w:hAnsi="Times New Roman"/>
          <w:sz w:val="20"/>
          <w:szCs w:val="20"/>
          <w:color w:val="auto"/>
        </w:rPr>
        <w:t>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this Policy. Such transactions allow the Covered Person to continue to own the covered securities, but without the full risks and rewards of ownership. When that occurs, the Covered Person may no longer have the same objectives as the Company’s other stockholders.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Margin Accounts and Pledging</w:t>
      </w:r>
    </w:p>
    <w:p>
      <w:pPr>
        <w:spacing w:after="0" w:line="93" w:lineRule="exact"/>
        <w:rPr>
          <w:sz w:val="20"/>
          <w:szCs w:val="20"/>
          <w:color w:val="auto"/>
        </w:rPr>
      </w:pPr>
    </w:p>
    <w:p>
      <w:pPr>
        <w:jc w:val="both"/>
        <w:ind w:firstLine="740"/>
        <w:spacing w:after="0" w:line="269" w:lineRule="auto"/>
        <w:rPr>
          <w:sz w:val="20"/>
          <w:szCs w:val="20"/>
          <w:color w:val="auto"/>
        </w:rPr>
      </w:pPr>
      <w:r>
        <w:rPr>
          <w:rFonts w:ascii="Times New Roman" w:cs="Times New Roman" w:eastAsia="Times New Roman" w:hAnsi="Times New Roman"/>
          <w:sz w:val="19"/>
          <w:szCs w:val="19"/>
          <w:color w:val="auto"/>
        </w:rPr>
        <w:t>Individuals are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 the Company’s equity plans, nor to situations approved in advance by the Compliance Officer.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Rule 10b5-1 Trading Plans</w:t>
      </w:r>
    </w:p>
    <w:p>
      <w:pPr>
        <w:spacing w:after="0" w:line="95" w:lineRule="exact"/>
        <w:rPr>
          <w:sz w:val="20"/>
          <w:szCs w:val="20"/>
          <w:color w:val="auto"/>
        </w:rPr>
      </w:pPr>
    </w:p>
    <w:p>
      <w:pPr>
        <w:jc w:val="both"/>
        <w:ind w:firstLine="3580"/>
        <w:spacing w:after="0" w:line="250" w:lineRule="auto"/>
        <w:rPr>
          <w:sz w:val="20"/>
          <w:szCs w:val="20"/>
          <w:color w:val="auto"/>
        </w:rPr>
      </w:pPr>
      <w:r>
        <w:rPr>
          <w:rFonts w:ascii="Times New Roman" w:cs="Times New Roman" w:eastAsia="Times New Roman" w:hAnsi="Times New Roman"/>
          <w:sz w:val="20"/>
          <w:szCs w:val="20"/>
          <w:color w:val="auto"/>
        </w:rPr>
        <w:t>The trading restrictions set forth in this Policy, other than those transactions described under “Prohibited Transactions” above, do not apply to transactions under a previously established contract, plan or instruction to trade in the Company’s securities entered into in accordance with Rule 10b5-1(c) under the Exchange Act (a “</w:t>
      </w:r>
      <w:r>
        <w:rPr>
          <w:rFonts w:ascii="Times New Roman" w:cs="Times New Roman" w:eastAsia="Times New Roman" w:hAnsi="Times New Roman"/>
          <w:sz w:val="20"/>
          <w:szCs w:val="20"/>
          <w:u w:val="single" w:color="auto"/>
          <w:color w:val="auto"/>
        </w:rPr>
        <w:t>Trading Plan</w:t>
      </w:r>
      <w:r>
        <w:rPr>
          <w:rFonts w:ascii="Times New Roman" w:cs="Times New Roman" w:eastAsia="Times New Roman" w:hAnsi="Times New Roman"/>
          <w:sz w:val="20"/>
          <w:szCs w:val="20"/>
          <w:color w:val="auto"/>
        </w:rPr>
        <w:t>”) that:</w:t>
      </w:r>
    </w:p>
    <w:p>
      <w:pPr>
        <w:spacing w:after="0" w:line="57" w:lineRule="exact"/>
        <w:rPr>
          <w:sz w:val="20"/>
          <w:szCs w:val="20"/>
          <w:color w:val="auto"/>
        </w:rPr>
      </w:pPr>
    </w:p>
    <w:p>
      <w:pPr>
        <w:ind w:left="1520" w:right="20" w:hanging="750"/>
        <w:spacing w:after="0" w:line="263" w:lineRule="auto"/>
        <w:tabs>
          <w:tab w:leader="none" w:pos="15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submitted to and preapproved by the Compliance Officer, the Compliance Officer’s designee, or the Chief Financial Officer for transactions by the Compliance Officer;</w:t>
      </w:r>
    </w:p>
    <w:p>
      <w:pPr>
        <w:spacing w:after="0" w:line="84" w:lineRule="exact"/>
        <w:rPr>
          <w:rFonts w:ascii="Times New Roman" w:cs="Times New Roman" w:eastAsia="Times New Roman" w:hAnsi="Times New Roman"/>
          <w:sz w:val="20"/>
          <w:szCs w:val="20"/>
          <w:color w:val="auto"/>
        </w:rPr>
      </w:pPr>
    </w:p>
    <w:p>
      <w:pPr>
        <w:ind w:left="1520" w:hanging="750"/>
        <w:spacing w:after="0"/>
        <w:tabs>
          <w:tab w:leader="none" w:pos="15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a “Cooling-Off Period” for</w:t>
      </w:r>
    </w:p>
    <w:p>
      <w:pPr>
        <w:spacing w:after="0" w:line="78" w:lineRule="exact"/>
        <w:rPr>
          <w:sz w:val="20"/>
          <w:szCs w:val="20"/>
          <w:color w:val="auto"/>
        </w:rPr>
      </w:pPr>
    </w:p>
    <w:p>
      <w:pPr>
        <w:jc w:val="both"/>
        <w:ind w:left="2260" w:hanging="366"/>
        <w:spacing w:after="0" w:line="250" w:lineRule="auto"/>
        <w:tabs>
          <w:tab w:leader="none" w:pos="2260" w:val="left"/>
        </w:tabs>
        <w:numPr>
          <w:ilvl w:val="2"/>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16 reporting persons that extends to the later of 90 days after adoption or modification of a Trading Plan or two business days after filing the Annual Report on Form 10-K or Quarterly Report on Form 10-Q covering the fiscal quarter in which the Trading Plan was adopted, up to a maximum of 120 days; and</w:t>
      </w:r>
    </w:p>
    <w:p>
      <w:pPr>
        <w:spacing w:after="0" w:line="57" w:lineRule="exact"/>
        <w:rPr>
          <w:rFonts w:ascii="Times New Roman" w:cs="Times New Roman" w:eastAsia="Times New Roman" w:hAnsi="Times New Roman"/>
          <w:sz w:val="20"/>
          <w:szCs w:val="20"/>
          <w:color w:val="auto"/>
        </w:rPr>
      </w:pPr>
    </w:p>
    <w:p>
      <w:pPr>
        <w:ind w:left="2260" w:hanging="366"/>
        <w:spacing w:after="0"/>
        <w:tabs>
          <w:tab w:leader="none" w:pos="2260" w:val="left"/>
        </w:tabs>
        <w:numPr>
          <w:ilvl w:val="2"/>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employees and any other persons that extends 30 days after adoption or modification of a Trading Plan;</w:t>
      </w:r>
    </w:p>
    <w:p>
      <w:pPr>
        <w:spacing w:after="0" w:line="104" w:lineRule="exact"/>
        <w:rPr>
          <w:rFonts w:ascii="Times New Roman" w:cs="Times New Roman" w:eastAsia="Times New Roman" w:hAnsi="Times New Roman"/>
          <w:sz w:val="20"/>
          <w:szCs w:val="20"/>
          <w:color w:val="auto"/>
        </w:rPr>
      </w:pPr>
    </w:p>
    <w:p>
      <w:pPr>
        <w:ind w:left="1520" w:hanging="750"/>
        <w:spacing w:after="0"/>
        <w:tabs>
          <w:tab w:leader="none" w:pos="152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Section 16 reporting persons, includes a representation in the Trading Plan that the Section 16 reporting person is</w:t>
      </w:r>
    </w:p>
    <w:p>
      <w:pPr>
        <w:spacing w:after="0" w:line="19" w:lineRule="exact"/>
        <w:rPr>
          <w:rFonts w:ascii="Times New Roman" w:cs="Times New Roman" w:eastAsia="Times New Roman" w:hAnsi="Times New Roman"/>
          <w:sz w:val="20"/>
          <w:szCs w:val="20"/>
          <w:color w:val="auto"/>
        </w:rPr>
      </w:pPr>
    </w:p>
    <w:p>
      <w:pPr>
        <w:ind w:left="1520" w:hanging="1"/>
        <w:spacing w:after="0"/>
        <w:tabs>
          <w:tab w:leader="none" w:pos="1803"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aware of any material nonpublic information about the Company or its securities; and (2) adopting the Trading Plan in good faith and not as part of a plan or scheme to evade Rule 10b-5 under the Exchange Act;</w:t>
      </w:r>
    </w:p>
    <w:p>
      <w:pPr>
        <w:spacing w:after="0" w:line="66" w:lineRule="exact"/>
        <w:rPr>
          <w:rFonts w:ascii="Times New Roman" w:cs="Times New Roman" w:eastAsia="Times New Roman" w:hAnsi="Times New Roman"/>
          <w:sz w:val="20"/>
          <w:szCs w:val="20"/>
          <w:color w:val="auto"/>
        </w:rPr>
      </w:pPr>
    </w:p>
    <w:p>
      <w:pPr>
        <w:jc w:val="both"/>
        <w:ind w:left="1520" w:hanging="750"/>
        <w:spacing w:after="0" w:line="250" w:lineRule="auto"/>
        <w:tabs>
          <w:tab w:leader="none" w:pos="152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entered into in good faith at a time when the individual was not in possession of material nonpublic information about the Company and not otherwise in a blackout period, and the person who entered into the Trading Plan has acted in good faith with respect to the Trading Plan;</w:t>
      </w:r>
    </w:p>
    <w:p>
      <w:pPr>
        <w:spacing w:after="0" w:line="57" w:lineRule="exact"/>
        <w:rPr>
          <w:rFonts w:ascii="Times New Roman" w:cs="Times New Roman" w:eastAsia="Times New Roman" w:hAnsi="Times New Roman"/>
          <w:sz w:val="20"/>
          <w:szCs w:val="20"/>
          <w:color w:val="auto"/>
        </w:rPr>
      </w:pPr>
    </w:p>
    <w:p>
      <w:pPr>
        <w:jc w:val="both"/>
        <w:ind w:left="1520" w:hanging="750"/>
        <w:spacing w:after="0" w:line="250" w:lineRule="auto"/>
        <w:tabs>
          <w:tab w:leader="none" w:pos="152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specifies the amounts, prices, and dates of all transactions under the Trading Plan; (2) provides a written formula, algorithm, or computer program for determining the amount, price, and date of the transactions; or (3) prohibits the individual from exercising any subsequent influence over the transactions; and</w:t>
      </w:r>
    </w:p>
    <w:p>
      <w:pPr>
        <w:spacing w:after="0" w:line="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619760</wp:posOffset>
            </wp:positionV>
            <wp:extent cx="71589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80"/>
          </w:cols>
          <w:pgMar w:left="680" w:top="1374" w:right="339" w:bottom="1440" w:gutter="0" w:footer="0" w:header="0"/>
        </w:sectPr>
      </w:pPr>
    </w:p>
    <w:bookmarkStart w:id="152" w:name="page153"/>
    <w:bookmarkEnd w:id="152"/>
    <w:p>
      <w:pPr>
        <w:ind w:left="1520" w:hanging="750"/>
        <w:spacing w:after="0"/>
        <w:tabs>
          <w:tab w:leader="none" w:pos="152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complies with all other applicable requirements of Rule 10b5-1(c) under the Exchange Act (“</w:t>
      </w:r>
      <w:r>
        <w:rPr>
          <w:rFonts w:ascii="Times New Roman" w:cs="Times New Roman" w:eastAsia="Times New Roman" w:hAnsi="Times New Roman"/>
          <w:sz w:val="20"/>
          <w:szCs w:val="20"/>
          <w:u w:val="single" w:color="auto"/>
          <w:color w:val="auto"/>
        </w:rPr>
        <w:t>Rule 10b5-1(c)</w:t>
      </w:r>
      <w:r>
        <w:rPr>
          <w:rFonts w:ascii="Times New Roman" w:cs="Times New Roman" w:eastAsia="Times New Roman" w:hAnsi="Times New Roman"/>
          <w:sz w:val="20"/>
          <w:szCs w:val="20"/>
          <w:color w:val="auto"/>
        </w:rPr>
        <w:t>”).</w:t>
      </w:r>
    </w:p>
    <w:p>
      <w:pPr>
        <w:spacing w:after="0" w:line="104" w:lineRule="exact"/>
        <w:rPr>
          <w:sz w:val="20"/>
          <w:szCs w:val="20"/>
          <w:color w:val="auto"/>
        </w:rPr>
      </w:pPr>
    </w:p>
    <w:p>
      <w:pPr>
        <w:jc w:val="both"/>
        <w:ind w:firstLine="740"/>
        <w:spacing w:after="0" w:line="250" w:lineRule="auto"/>
        <w:rPr>
          <w:sz w:val="20"/>
          <w:szCs w:val="20"/>
          <w:color w:val="auto"/>
        </w:rPr>
      </w:pPr>
      <w:r>
        <w:rPr>
          <w:rFonts w:ascii="Times New Roman" w:cs="Times New Roman" w:eastAsia="Times New Roman" w:hAnsi="Times New Roman"/>
          <w:sz w:val="20"/>
          <w:szCs w:val="20"/>
          <w:color w:val="auto"/>
        </w:rPr>
        <w:t>The Compliance Officer may impose such other conditions on the implementation and operation of the Trading Plan as the Compliance Officer deems necessary or advisable. Individuals may not adopt more than one Trading Plan at a time except under the limited circumstances permitted by Rule 10b5-1(c) and subject to preapproval by the Compliance Officer.</w:t>
      </w:r>
    </w:p>
    <w:p>
      <w:pPr>
        <w:spacing w:after="0" w:line="57" w:lineRule="exact"/>
        <w:rPr>
          <w:sz w:val="20"/>
          <w:szCs w:val="20"/>
          <w:color w:val="auto"/>
        </w:rPr>
      </w:pPr>
    </w:p>
    <w:p>
      <w:pPr>
        <w:jc w:val="both"/>
        <w:ind w:firstLine="740"/>
        <w:spacing w:after="0" w:line="243" w:lineRule="auto"/>
        <w:rPr>
          <w:sz w:val="20"/>
          <w:szCs w:val="20"/>
          <w:color w:val="auto"/>
        </w:rPr>
      </w:pPr>
      <w:r>
        <w:rPr>
          <w:rFonts w:ascii="Times New Roman" w:cs="Times New Roman" w:eastAsia="Times New Roman" w:hAnsi="Times New Roman"/>
          <w:sz w:val="20"/>
          <w:szCs w:val="20"/>
          <w:color w:val="auto"/>
        </w:rPr>
        <w:t>An individual may only modify a Trading Plan outside of a blackout period and, in any event, when the individual does not possess material nonpublic information. Modifications to and terminations of a Trading Plan are subject to preapproval by the Compliance Officer, the Compliance Officer’s designee, or the Chief Financial Officer for transactions by the Compliance Officer, and modifications of a Trading Plan that change the amount, price, or timing of the purchase or sale of the securities underlying a Trading Plan will trigger a new Cooling-Off Period.</w:t>
      </w:r>
    </w:p>
    <w:p>
      <w:pPr>
        <w:spacing w:after="0" w:line="66" w:lineRule="exact"/>
        <w:rPr>
          <w:sz w:val="20"/>
          <w:szCs w:val="20"/>
          <w:color w:val="auto"/>
        </w:rPr>
      </w:pPr>
    </w:p>
    <w:p>
      <w:pPr>
        <w:jc w:val="both"/>
        <w:ind w:firstLine="740"/>
        <w:spacing w:after="0" w:line="263" w:lineRule="auto"/>
        <w:rPr>
          <w:sz w:val="20"/>
          <w:szCs w:val="20"/>
          <w:color w:val="auto"/>
        </w:rPr>
      </w:pPr>
      <w:r>
        <w:rPr>
          <w:rFonts w:ascii="Times New Roman" w:cs="Times New Roman" w:eastAsia="Times New Roman" w:hAnsi="Times New Roman"/>
          <w:sz w:val="19"/>
          <w:szCs w:val="19"/>
          <w:color w:val="auto"/>
        </w:rPr>
        <w:t>The Company reserves the right to publicly disclose, announce, or respond to inquiries from the media regarding the adoption, modification, or termination of a Trading Plan, or the execution of transactions made under a Trading Plan. The Company also reserves the right from time to time to suspend, discontinue, or otherwise prohibit transactions under a Trading Plan if the Compliance Officer or the Board, in its discretion, determines that such suspension, discontinuation, or other prohibition is in the best interests of the Company.</w:t>
      </w:r>
    </w:p>
    <w:p>
      <w:pPr>
        <w:spacing w:after="0" w:line="59" w:lineRule="exact"/>
        <w:rPr>
          <w:sz w:val="20"/>
          <w:szCs w:val="20"/>
          <w:color w:val="auto"/>
        </w:rPr>
      </w:pPr>
    </w:p>
    <w:p>
      <w:pPr>
        <w:jc w:val="both"/>
        <w:ind w:firstLine="740"/>
        <w:spacing w:after="0" w:line="263" w:lineRule="auto"/>
        <w:rPr>
          <w:sz w:val="20"/>
          <w:szCs w:val="20"/>
          <w:color w:val="auto"/>
        </w:rPr>
      </w:pPr>
      <w:r>
        <w:rPr>
          <w:rFonts w:ascii="Times New Roman" w:cs="Times New Roman" w:eastAsia="Times New Roman" w:hAnsi="Times New Roman"/>
          <w:sz w:val="19"/>
          <w:szCs w:val="19"/>
          <w:color w:val="auto"/>
        </w:rPr>
        <w:t>Compliance of a Trading Plan with the terms of Rule 10b5-1(c) and the execution of transactions pursuant to the Trading Plan are the sole responsibility of the person initiating the Trading Plan, and none of the Company, the Compliance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Requirements – Directors, Officers and Other Executives</w:t>
      </w:r>
    </w:p>
    <w:p>
      <w:pPr>
        <w:spacing w:after="0" w:line="95" w:lineRule="exact"/>
        <w:rPr>
          <w:sz w:val="20"/>
          <w:szCs w:val="20"/>
          <w:color w:val="auto"/>
        </w:rPr>
      </w:pPr>
    </w:p>
    <w:p>
      <w:pPr>
        <w:jc w:val="both"/>
        <w:ind w:firstLine="740"/>
        <w:spacing w:after="0" w:line="243" w:lineRule="auto"/>
        <w:rPr>
          <w:sz w:val="20"/>
          <w:szCs w:val="20"/>
          <w:color w:val="auto"/>
        </w:rPr>
      </w:pPr>
      <w:r>
        <w:rPr>
          <w:rFonts w:ascii="Times New Roman" w:cs="Times New Roman" w:eastAsia="Times New Roman" w:hAnsi="Times New Roman"/>
          <w:sz w:val="20"/>
          <w:szCs w:val="20"/>
          <w:color w:val="auto"/>
        </w:rPr>
        <w:t>Directors and officers of the Company must also comply with the reporting obligations and limitations on short-swing transactions set forth in Section 16. The practical effect of these provisions is that officers and directors who purchase and sell the Company’s securities within a six-month period must disgorge all profits to the Company whether or not they had knowledge of any material nonpublic information. The Company has provided, or will provide, separate memoranda and other appropriate materials to its officers and directors regarding compliance with Section 16 and its related rules.</w:t>
      </w:r>
    </w:p>
    <w:p>
      <w:pPr>
        <w:spacing w:after="0" w:line="66" w:lineRule="exact"/>
        <w:rPr>
          <w:sz w:val="20"/>
          <w:szCs w:val="20"/>
          <w:color w:val="auto"/>
        </w:rPr>
      </w:pPr>
    </w:p>
    <w:p>
      <w:pPr>
        <w:jc w:val="both"/>
        <w:ind w:firstLine="740"/>
        <w:spacing w:after="0" w:line="242" w:lineRule="auto"/>
        <w:rPr>
          <w:sz w:val="20"/>
          <w:szCs w:val="20"/>
          <w:color w:val="auto"/>
        </w:rPr>
      </w:pPr>
      <w:r>
        <w:rPr>
          <w:rFonts w:ascii="Times New Roman" w:cs="Times New Roman" w:eastAsia="Times New Roman" w:hAnsi="Times New Roman"/>
          <w:sz w:val="20"/>
          <w:szCs w:val="20"/>
          <w:color w:val="auto"/>
        </w:rPr>
        <w:t xml:space="preserve">Pursuant to this Policy, officers must comply with the following additional requirement. Purchases or sales pursuant to an officer’s Trading Plan may not occur during the two trading days prior to, and on the two trading days following, the public release of the Company’s results of operations or financial condition for a completed quarterly or annual fiscal period. If, for example, the Company were to make an announcement on Monday </w:t>
      </w:r>
      <w:r>
        <w:rPr>
          <w:rFonts w:ascii="Times New Roman" w:cs="Times New Roman" w:eastAsia="Times New Roman" w:hAnsi="Times New Roman"/>
          <w:sz w:val="20"/>
          <w:szCs w:val="20"/>
          <w:i w:val="1"/>
          <w:iCs w:val="1"/>
          <w:color w:val="auto"/>
        </w:rPr>
        <w:t>prior</w:t>
      </w:r>
      <w:r>
        <w:rPr>
          <w:rFonts w:ascii="Times New Roman" w:cs="Times New Roman" w:eastAsia="Times New Roman" w:hAnsi="Times New Roman"/>
          <w:sz w:val="20"/>
          <w:szCs w:val="20"/>
          <w:color w:val="auto"/>
        </w:rPr>
        <w:t xml:space="preserve"> to 9:30 a.m. Eastern Time, then the restricted period referred to in the preceding sentence would terminate </w:t>
      </w:r>
      <w:r>
        <w:rPr>
          <w:rFonts w:ascii="Times New Roman" w:cs="Times New Roman" w:eastAsia="Times New Roman" w:hAnsi="Times New Roman"/>
          <w:sz w:val="20"/>
          <w:szCs w:val="20"/>
          <w:i w:val="1"/>
          <w:iCs w:val="1"/>
          <w:color w:val="auto"/>
        </w:rPr>
        <w:t>after</w:t>
      </w:r>
      <w:r>
        <w:rPr>
          <w:rFonts w:ascii="Times New Roman" w:cs="Times New Roman" w:eastAsia="Times New Roman" w:hAnsi="Times New Roman"/>
          <w:sz w:val="20"/>
          <w:szCs w:val="20"/>
          <w:color w:val="auto"/>
        </w:rPr>
        <w:t xml:space="preserve"> the close of trading on Tuesday. If an announcement were made on Monday after 9:30 a.m. Eastern Time, then the restricted period would terminate after the close of trading on Wednesday.</w:t>
      </w:r>
    </w:p>
    <w:p>
      <w:pPr>
        <w:spacing w:after="0" w:line="53" w:lineRule="exact"/>
        <w:rPr>
          <w:sz w:val="20"/>
          <w:szCs w:val="20"/>
          <w:color w:val="auto"/>
        </w:rPr>
      </w:pPr>
    </w:p>
    <w:p>
      <w:pPr>
        <w:jc w:val="both"/>
        <w:ind w:firstLine="740"/>
        <w:spacing w:after="0" w:line="250" w:lineRule="auto"/>
        <w:rPr>
          <w:sz w:val="20"/>
          <w:szCs w:val="20"/>
          <w:color w:val="auto"/>
        </w:rPr>
      </w:pPr>
      <w:r>
        <w:rPr>
          <w:rFonts w:ascii="Times New Roman" w:cs="Times New Roman" w:eastAsia="Times New Roman" w:hAnsi="Times New Roman"/>
          <w:sz w:val="20"/>
          <w:szCs w:val="20"/>
          <w:color w:val="auto"/>
        </w:rPr>
        <w:t>In addition, the Compliance Officer may determine, in the Compliance Officer’s discretion, that any Senior Vice President or Vice President of the Company who is not classified an “officer” under Section 16 must also comply with the additional requirement set forth in this section of the Policy.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Interpretation, Amendment, and Implementation of this Policy</w:t>
      </w:r>
    </w:p>
    <w:p>
      <w:pPr>
        <w:spacing w:after="0" w:line="82" w:lineRule="exact"/>
        <w:rPr>
          <w:sz w:val="20"/>
          <w:szCs w:val="20"/>
          <w:color w:val="auto"/>
        </w:rPr>
      </w:pPr>
    </w:p>
    <w:p>
      <w:pPr>
        <w:jc w:val="both"/>
        <w:ind w:firstLine="740"/>
        <w:spacing w:after="0" w:line="263" w:lineRule="auto"/>
        <w:rPr>
          <w:sz w:val="20"/>
          <w:szCs w:val="20"/>
          <w:color w:val="auto"/>
        </w:rPr>
      </w:pPr>
      <w:r>
        <w:rPr>
          <w:rFonts w:ascii="Times New Roman" w:cs="Times New Roman" w:eastAsia="Times New Roman" w:hAnsi="Times New Roman"/>
          <w:sz w:val="20"/>
          <w:szCs w:val="20"/>
          <w:color w:val="auto"/>
        </w:rPr>
        <w:t>The Compliance Officer shall have the authority to interpret and implement this Policy and all related policies and procedures. In particular, such interpretations of this Policy, as authorized by the</w:t>
      </w:r>
    </w:p>
    <w:p>
      <w:pPr>
        <w:spacing w:after="0" w:line="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619760</wp:posOffset>
            </wp:positionV>
            <wp:extent cx="71589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80"/>
          </w:cols>
          <w:pgMar w:left="680" w:top="1374" w:right="339" w:bottom="1440" w:gutter="0" w:footer="0" w:header="0"/>
        </w:sectPr>
      </w:pPr>
    </w:p>
    <w:bookmarkStart w:id="153" w:name="page154"/>
    <w:bookmarkEnd w:id="153"/>
    <w:p>
      <w:pPr>
        <w:jc w:val="both"/>
        <w:ind w:left="360"/>
        <w:spacing w:after="0" w:line="250" w:lineRule="auto"/>
        <w:rPr>
          <w:sz w:val="20"/>
          <w:szCs w:val="20"/>
          <w:color w:val="auto"/>
        </w:rPr>
      </w:pPr>
      <w:r>
        <w:rPr>
          <w:rFonts w:ascii="Times New Roman" w:cs="Times New Roman" w:eastAsia="Times New Roman" w:hAnsi="Times New Roman"/>
          <w:sz w:val="20"/>
          <w:szCs w:val="20"/>
          <w:color w:val="auto"/>
        </w:rPr>
        <w:t xml:space="preserve">Compliance Officer, may include amendments to or departures from, the terms of this Policy, to the extent consistent with the general purpose of this Policy and applicable securities laws. Furthermore the Compliance Officer shall have the authority to update those persons or categories of persons subject to quarterly trading blackout and preclearance set forth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w:t>
      </w:r>
    </w:p>
    <w:p>
      <w:pPr>
        <w:spacing w:after="0" w:line="70" w:lineRule="exact"/>
        <w:rPr>
          <w:sz w:val="20"/>
          <w:szCs w:val="20"/>
          <w:color w:val="auto"/>
        </w:rPr>
      </w:pPr>
    </w:p>
    <w:p>
      <w:pPr>
        <w:jc w:val="both"/>
        <w:ind w:left="360" w:firstLine="740"/>
        <w:spacing w:after="0" w:line="263" w:lineRule="auto"/>
        <w:rPr>
          <w:sz w:val="20"/>
          <w:szCs w:val="20"/>
          <w:color w:val="auto"/>
        </w:rPr>
      </w:pPr>
      <w:r>
        <w:rPr>
          <w:rFonts w:ascii="Times New Roman" w:cs="Times New Roman" w:eastAsia="Times New Roman" w:hAnsi="Times New Roman"/>
          <w:sz w:val="20"/>
          <w:szCs w:val="20"/>
          <w:color w:val="auto"/>
        </w:rPr>
        <w:t>The Chief Financial Officer will administer the Policy as it applies to any trading activity by the Compliance Officer. The Board will approve any waiver of the terms of this Policy for directors or executive officers.</w:t>
      </w:r>
    </w:p>
    <w:p>
      <w:pPr>
        <w:spacing w:after="0" w:line="44" w:lineRule="exact"/>
        <w:rPr>
          <w:sz w:val="20"/>
          <w:szCs w:val="20"/>
          <w:color w:val="auto"/>
        </w:rPr>
      </w:pPr>
    </w:p>
    <w:p>
      <w:pPr>
        <w:jc w:val="both"/>
        <w:ind w:left="360" w:firstLine="740"/>
        <w:spacing w:after="0" w:line="263" w:lineRule="auto"/>
        <w:rPr>
          <w:sz w:val="20"/>
          <w:szCs w:val="20"/>
          <w:color w:val="auto"/>
        </w:rPr>
      </w:pPr>
      <w:r>
        <w:rPr>
          <w:rFonts w:ascii="Times New Roman" w:cs="Times New Roman" w:eastAsia="Times New Roman" w:hAnsi="Times New Roman"/>
          <w:sz w:val="20"/>
          <w:szCs w:val="20"/>
          <w:color w:val="auto"/>
        </w:rPr>
        <w:t>Actions taken by the Company, the Compliance Officer, or any other Company personnel do not constitute legal advice, nor do they insulate you from the consequences of noncompliance with this Policy or with securities laws.</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 of Compliance</w:t>
      </w:r>
    </w:p>
    <w:p>
      <w:pPr>
        <w:spacing w:after="0" w:line="95" w:lineRule="exact"/>
        <w:rPr>
          <w:sz w:val="20"/>
          <w:szCs w:val="20"/>
          <w:color w:val="auto"/>
        </w:rPr>
      </w:pPr>
    </w:p>
    <w:p>
      <w:pPr>
        <w:jc w:val="both"/>
        <w:ind w:left="360" w:firstLine="740"/>
        <w:spacing w:after="0" w:line="250" w:lineRule="auto"/>
        <w:rPr>
          <w:sz w:val="20"/>
          <w:szCs w:val="20"/>
          <w:color w:val="auto"/>
        </w:rPr>
      </w:pPr>
      <w:r>
        <w:rPr>
          <w:rFonts w:ascii="Times New Roman" w:cs="Times New Roman" w:eastAsia="Times New Roman" w:hAnsi="Times New Roman"/>
          <w:sz w:val="20"/>
          <w:szCs w:val="20"/>
          <w:color w:val="auto"/>
        </w:rPr>
        <w:t>All directors, officers, employees and others subject to this Policy will be required to certify that they have read, understand and agree to comply with this Policy upon commencement of service and may be asked periodically to certify their compliance with the terms and provisions of this Policy.</w:t>
      </w:r>
    </w:p>
    <w:p>
      <w:pPr>
        <w:spacing w:after="0" w:line="200" w:lineRule="exact"/>
        <w:rPr>
          <w:sz w:val="20"/>
          <w:szCs w:val="20"/>
          <w:color w:val="auto"/>
        </w:rPr>
      </w:pPr>
    </w:p>
    <w:p>
      <w:pPr>
        <w:spacing w:after="0" w:line="28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 * * *</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Adopted and Effective: February 16, 2023</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Reviewed and Updated: November 11, 2025</w:t>
      </w:r>
    </w:p>
    <w:p>
      <w:pPr>
        <w:ind w:left="360"/>
        <w:spacing w:after="0"/>
        <w:rPr>
          <w:sz w:val="20"/>
          <w:szCs w:val="20"/>
          <w:color w:val="auto"/>
        </w:rPr>
      </w:pPr>
      <w:r>
        <w:rPr>
          <w:rFonts w:ascii="Times New Roman" w:cs="Times New Roman" w:eastAsia="Times New Roman" w:hAnsi="Times New Roman"/>
          <w:sz w:val="20"/>
          <w:szCs w:val="20"/>
          <w:b w:val="1"/>
          <w:bCs w:val="1"/>
          <w:color w:val="auto"/>
        </w:rPr>
        <w:t>Schedule I</w:t>
      </w:r>
    </w:p>
    <w:p>
      <w:pPr>
        <w:spacing w:after="0" w:line="17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color w:val="auto"/>
        </w:rPr>
        <w:t>Individuals Subject to Quarterly Trading Blackouts and Pre-Clearance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440" w:type="dxa"/>
            <w:vAlign w:val="bottom"/>
            <w:tcBorders>
              <w:right w:val="single" w:sz="8" w:color="auto"/>
            </w:tcBorders>
          </w:tcPr>
          <w:p>
            <w:pPr>
              <w:spacing w:after="0"/>
              <w:rPr>
                <w:sz w:val="23"/>
                <w:szCs w:val="23"/>
                <w:color w:val="auto"/>
              </w:rPr>
            </w:pPr>
          </w:p>
        </w:tc>
        <w:tc>
          <w:tcPr>
            <w:tcW w:w="2740" w:type="dxa"/>
            <w:vAlign w:val="bottom"/>
            <w:tcBorders>
              <w:top w:val="single" w:sz="8" w:color="auto"/>
              <w:bottom w:val="single" w:sz="8" w:color="D9D9D9"/>
            </w:tcBorders>
            <w:gridSpan w:val="2"/>
            <w:shd w:val="clear" w:color="auto" w:fill="D9D9D9"/>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Category of Individuals</w:t>
            </w:r>
          </w:p>
        </w:tc>
        <w:tc>
          <w:tcPr>
            <w:tcW w:w="660" w:type="dxa"/>
            <w:vAlign w:val="bottom"/>
            <w:tcBorders>
              <w:top w:val="single" w:sz="8" w:color="auto"/>
              <w:bottom w:val="single" w:sz="8" w:color="D9D9D9"/>
              <w:right w:val="single" w:sz="8" w:color="auto"/>
            </w:tcBorders>
            <w:shd w:val="clear" w:color="auto" w:fill="D9D9D9"/>
          </w:tcPr>
          <w:p>
            <w:pPr>
              <w:spacing w:after="0"/>
              <w:rPr>
                <w:sz w:val="23"/>
                <w:szCs w:val="23"/>
                <w:color w:val="auto"/>
              </w:rPr>
            </w:pPr>
          </w:p>
        </w:tc>
        <w:tc>
          <w:tcPr>
            <w:tcW w:w="2480" w:type="dxa"/>
            <w:vAlign w:val="bottom"/>
            <w:tcBorders>
              <w:top w:val="single" w:sz="8" w:color="auto"/>
              <w:bottom w:val="single" w:sz="8" w:color="D9D9D9"/>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4"/>
                <w:szCs w:val="14"/>
                <w:b w:val="1"/>
                <w:bCs w:val="1"/>
                <w:color w:val="auto"/>
              </w:rPr>
              <w:t>Subject to Quarterly Blackout</w:t>
            </w:r>
          </w:p>
        </w:tc>
        <w:tc>
          <w:tcPr>
            <w:tcW w:w="266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 Preclearance</w:t>
            </w:r>
          </w:p>
        </w:tc>
        <w:tc>
          <w:tcPr>
            <w:tcW w:w="222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Section 16 Reporter</w:t>
            </w:r>
          </w:p>
        </w:tc>
        <w:tc>
          <w:tcPr>
            <w:tcW w:w="0" w:type="dxa"/>
            <w:vAlign w:val="bottom"/>
          </w:tcPr>
          <w:p>
            <w:pPr>
              <w:spacing w:after="0"/>
              <w:rPr>
                <w:sz w:val="1"/>
                <w:szCs w:val="1"/>
                <w:color w:val="auto"/>
              </w:rPr>
            </w:pPr>
          </w:p>
        </w:tc>
      </w:tr>
      <w:tr>
        <w:trPr>
          <w:trHeight w:val="161"/>
        </w:trPr>
        <w:tc>
          <w:tcPr>
            <w:tcW w:w="440" w:type="dxa"/>
            <w:vAlign w:val="bottom"/>
            <w:tcBorders>
              <w:right w:val="single" w:sz="8" w:color="auto"/>
            </w:tcBorders>
          </w:tcPr>
          <w:p>
            <w:pPr>
              <w:spacing w:after="0"/>
              <w:rPr>
                <w:sz w:val="14"/>
                <w:szCs w:val="14"/>
                <w:color w:val="auto"/>
              </w:rPr>
            </w:pPr>
          </w:p>
        </w:tc>
        <w:tc>
          <w:tcPr>
            <w:tcW w:w="3400" w:type="dxa"/>
            <w:vAlign w:val="bottom"/>
            <w:tcBorders>
              <w:top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Members  of  the  Board  of  Directors  of  Allegro</w:t>
            </w:r>
          </w:p>
        </w:tc>
        <w:tc>
          <w:tcPr>
            <w:tcW w:w="2480" w:type="dxa"/>
            <w:vAlign w:val="bottom"/>
            <w:tcBorders>
              <w:top w:val="single" w:sz="8" w:color="auto"/>
              <w:right w:val="single" w:sz="8" w:color="auto"/>
            </w:tcBorders>
            <w:vMerge w:val="restart"/>
          </w:tcPr>
          <w:p>
            <w:pPr>
              <w:ind w:left="1140"/>
              <w:spacing w:after="0"/>
              <w:rPr>
                <w:sz w:val="20"/>
                <w:szCs w:val="20"/>
                <w:color w:val="auto"/>
              </w:rPr>
            </w:pPr>
            <w:r>
              <w:rPr>
                <w:rFonts w:ascii="Times New Roman" w:cs="Times New Roman" w:eastAsia="Times New Roman" w:hAnsi="Times New Roman"/>
                <w:sz w:val="14"/>
                <w:szCs w:val="14"/>
                <w:color w:val="auto"/>
              </w:rPr>
              <w:t>X</w:t>
            </w:r>
          </w:p>
        </w:tc>
        <w:tc>
          <w:tcPr>
            <w:tcW w:w="2660" w:type="dxa"/>
            <w:vAlign w:val="bottom"/>
            <w:tcBorders>
              <w:top w:val="single" w:sz="8" w:color="auto"/>
              <w:right w:val="single" w:sz="8" w:color="auto"/>
            </w:tcBorders>
            <w:vMerge w:val="restart"/>
          </w:tcPr>
          <w:p>
            <w:pPr>
              <w:jc w:val="center"/>
              <w:ind w:right="9"/>
              <w:spacing w:after="0"/>
              <w:rPr>
                <w:sz w:val="20"/>
                <w:szCs w:val="20"/>
                <w:color w:val="auto"/>
              </w:rPr>
            </w:pPr>
            <w:r>
              <w:rPr>
                <w:rFonts w:ascii="Times New Roman" w:cs="Times New Roman" w:eastAsia="Times New Roman" w:hAnsi="Times New Roman"/>
                <w:sz w:val="14"/>
                <w:szCs w:val="14"/>
                <w:color w:val="auto"/>
                <w:w w:val="98"/>
              </w:rPr>
              <w:t>X</w:t>
            </w:r>
          </w:p>
        </w:tc>
        <w:tc>
          <w:tcPr>
            <w:tcW w:w="22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5"/>
        </w:trPr>
        <w:tc>
          <w:tcPr>
            <w:tcW w:w="440" w:type="dxa"/>
            <w:vAlign w:val="bottom"/>
            <w:tcBorders>
              <w:right w:val="single" w:sz="8" w:color="auto"/>
            </w:tcBorders>
          </w:tcPr>
          <w:p>
            <w:pPr>
              <w:spacing w:after="0"/>
              <w:rPr>
                <w:sz w:val="16"/>
                <w:szCs w:val="16"/>
                <w:color w:val="auto"/>
              </w:rPr>
            </w:pPr>
          </w:p>
        </w:tc>
        <w:tc>
          <w:tcPr>
            <w:tcW w:w="2740" w:type="dxa"/>
            <w:vAlign w:val="bottom"/>
            <w:gridSpan w:val="2"/>
          </w:tcPr>
          <w:p>
            <w:pPr>
              <w:jc w:val="right"/>
              <w:ind w:right="1340"/>
              <w:spacing w:after="0"/>
              <w:rPr>
                <w:sz w:val="20"/>
                <w:szCs w:val="20"/>
                <w:color w:val="auto"/>
              </w:rPr>
            </w:pPr>
            <w:r>
              <w:rPr>
                <w:rFonts w:ascii="Times New Roman" w:cs="Times New Roman" w:eastAsia="Times New Roman" w:hAnsi="Times New Roman"/>
                <w:sz w:val="14"/>
                <w:szCs w:val="14"/>
                <w:color w:val="auto"/>
              </w:rPr>
              <w:t>MicroSystems, Inc.</w:t>
            </w:r>
          </w:p>
        </w:tc>
        <w:tc>
          <w:tcPr>
            <w:tcW w:w="66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vMerge w:val="continue"/>
          </w:tcPr>
          <w:p>
            <w:pPr>
              <w:spacing w:after="0"/>
              <w:rPr>
                <w:sz w:val="16"/>
                <w:szCs w:val="16"/>
                <w:color w:val="auto"/>
              </w:rPr>
            </w:pPr>
          </w:p>
        </w:tc>
        <w:tc>
          <w:tcPr>
            <w:tcW w:w="2660" w:type="dxa"/>
            <w:vAlign w:val="bottom"/>
            <w:tcBorders>
              <w:right w:val="single" w:sz="8" w:color="auto"/>
            </w:tcBorders>
            <w:vMerge w:val="continue"/>
          </w:tcPr>
          <w:p>
            <w:pPr>
              <w:spacing w:after="0"/>
              <w:rPr>
                <w:sz w:val="16"/>
                <w:szCs w:val="16"/>
                <w:color w:val="auto"/>
              </w:rPr>
            </w:pPr>
          </w:p>
        </w:tc>
        <w:tc>
          <w:tcPr>
            <w:tcW w:w="22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440" w:type="dxa"/>
            <w:vAlign w:val="bottom"/>
            <w:tcBorders>
              <w:right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440" w:type="dxa"/>
            <w:vAlign w:val="bottom"/>
            <w:tcBorders>
              <w:right w:val="single" w:sz="8" w:color="auto"/>
            </w:tcBorders>
          </w:tcPr>
          <w:p>
            <w:pPr>
              <w:spacing w:after="0"/>
              <w:rPr>
                <w:sz w:val="24"/>
                <w:szCs w:val="24"/>
                <w:color w:val="auto"/>
              </w:rPr>
            </w:pPr>
          </w:p>
        </w:tc>
        <w:tc>
          <w:tcPr>
            <w:tcW w:w="2740" w:type="dxa"/>
            <w:vAlign w:val="bottom"/>
            <w:gridSpan w:val="2"/>
          </w:tcPr>
          <w:p>
            <w:pPr>
              <w:jc w:val="center"/>
              <w:ind w:left="529"/>
              <w:spacing w:after="0"/>
              <w:rPr>
                <w:sz w:val="20"/>
                <w:szCs w:val="20"/>
                <w:color w:val="auto"/>
              </w:rPr>
            </w:pPr>
            <w:r>
              <w:rPr>
                <w:rFonts w:ascii="Times New Roman" w:cs="Times New Roman" w:eastAsia="Times New Roman" w:hAnsi="Times New Roman"/>
                <w:sz w:val="14"/>
                <w:szCs w:val="14"/>
                <w:color w:val="auto"/>
              </w:rPr>
              <w:t>Executive Officers of the Company</w:t>
            </w:r>
          </w:p>
        </w:tc>
        <w:tc>
          <w:tcPr>
            <w:tcW w:w="66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X</w:t>
            </w:r>
          </w:p>
        </w:tc>
        <w:tc>
          <w:tcPr>
            <w:tcW w:w="2660" w:type="dxa"/>
            <w:vAlign w:val="bottom"/>
            <w:tcBorders>
              <w:right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color w:val="auto"/>
                <w:w w:val="98"/>
              </w:rPr>
              <w:t>X</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92"/>
        </w:trPr>
        <w:tc>
          <w:tcPr>
            <w:tcW w:w="440" w:type="dxa"/>
            <w:vAlign w:val="bottom"/>
            <w:tcBorders>
              <w:right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69"/>
        </w:trPr>
        <w:tc>
          <w:tcPr>
            <w:tcW w:w="440" w:type="dxa"/>
            <w:vAlign w:val="bottom"/>
            <w:tcBorders>
              <w:right w:val="single" w:sz="8" w:color="auto"/>
            </w:tcBorders>
          </w:tcPr>
          <w:p>
            <w:pPr>
              <w:spacing w:after="0"/>
              <w:rPr>
                <w:sz w:val="24"/>
                <w:szCs w:val="24"/>
                <w:color w:val="auto"/>
              </w:rPr>
            </w:pPr>
          </w:p>
        </w:tc>
        <w:tc>
          <w:tcPr>
            <w:tcW w:w="2740" w:type="dxa"/>
            <w:vAlign w:val="bottom"/>
            <w:gridSpan w:val="2"/>
          </w:tcPr>
          <w:p>
            <w:pPr>
              <w:jc w:val="center"/>
              <w:ind w:left="509"/>
              <w:spacing w:after="0"/>
              <w:rPr>
                <w:sz w:val="20"/>
                <w:szCs w:val="20"/>
                <w:color w:val="auto"/>
              </w:rPr>
            </w:pPr>
            <w:r>
              <w:rPr>
                <w:rFonts w:ascii="Times New Roman" w:cs="Times New Roman" w:eastAsia="Times New Roman" w:hAnsi="Times New Roman"/>
                <w:sz w:val="14"/>
                <w:szCs w:val="14"/>
                <w:color w:val="auto"/>
              </w:rPr>
              <w:t>Vice Presidents of the Company</w:t>
            </w:r>
          </w:p>
        </w:tc>
        <w:tc>
          <w:tcPr>
            <w:tcW w:w="66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X</w:t>
            </w:r>
          </w:p>
        </w:tc>
        <w:tc>
          <w:tcPr>
            <w:tcW w:w="2660" w:type="dxa"/>
            <w:vAlign w:val="bottom"/>
            <w:tcBorders>
              <w:right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color w:val="auto"/>
                <w:w w:val="98"/>
              </w:rPr>
              <w:t>X</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8"/>
                <w:szCs w:val="28"/>
                <w:color w:val="auto"/>
                <w:w w:val="86"/>
                <w:vertAlign w:val="subscript"/>
              </w:rPr>
              <w:t>X</w:t>
            </w:r>
            <w:r>
              <w:rPr>
                <w:rFonts w:ascii="Times New Roman" w:cs="Times New Roman" w:eastAsia="Times New Roman" w:hAnsi="Times New Roman"/>
                <w:sz w:val="10"/>
                <w:szCs w:val="10"/>
                <w:color w:val="auto"/>
                <w:w w:val="86"/>
              </w:rPr>
              <w:t>1</w:t>
            </w:r>
          </w:p>
        </w:tc>
        <w:tc>
          <w:tcPr>
            <w:tcW w:w="0" w:type="dxa"/>
            <w:vAlign w:val="bottom"/>
          </w:tcPr>
          <w:p>
            <w:pPr>
              <w:spacing w:after="0"/>
              <w:rPr>
                <w:sz w:val="1"/>
                <w:szCs w:val="1"/>
                <w:color w:val="auto"/>
              </w:rPr>
            </w:pPr>
          </w:p>
        </w:tc>
      </w:tr>
      <w:tr>
        <w:trPr>
          <w:trHeight w:val="52"/>
        </w:trPr>
        <w:tc>
          <w:tcPr>
            <w:tcW w:w="440" w:type="dxa"/>
            <w:vAlign w:val="bottom"/>
            <w:tcBorders>
              <w:right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440" w:type="dxa"/>
            <w:vAlign w:val="bottom"/>
            <w:tcBorders>
              <w:right w:val="single" w:sz="8" w:color="auto"/>
            </w:tcBorders>
          </w:tcPr>
          <w:p>
            <w:pPr>
              <w:spacing w:after="0"/>
              <w:rPr>
                <w:sz w:val="24"/>
                <w:szCs w:val="24"/>
                <w:color w:val="auto"/>
              </w:rPr>
            </w:pPr>
          </w:p>
        </w:tc>
        <w:tc>
          <w:tcPr>
            <w:tcW w:w="2740" w:type="dxa"/>
            <w:vAlign w:val="bottom"/>
            <w:gridSpan w:val="2"/>
          </w:tcPr>
          <w:p>
            <w:pPr>
              <w:jc w:val="center"/>
              <w:ind w:left="529"/>
              <w:spacing w:after="0"/>
              <w:rPr>
                <w:sz w:val="20"/>
                <w:szCs w:val="20"/>
                <w:color w:val="auto"/>
              </w:rPr>
            </w:pPr>
            <w:r>
              <w:rPr>
                <w:rFonts w:ascii="Times New Roman" w:cs="Times New Roman" w:eastAsia="Times New Roman" w:hAnsi="Times New Roman"/>
                <w:sz w:val="14"/>
                <w:szCs w:val="14"/>
                <w:color w:val="auto"/>
              </w:rPr>
              <w:t>Direct Reports to the CFO</w:t>
            </w:r>
          </w:p>
        </w:tc>
        <w:tc>
          <w:tcPr>
            <w:tcW w:w="66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X</w:t>
            </w:r>
          </w:p>
        </w:tc>
        <w:tc>
          <w:tcPr>
            <w:tcW w:w="266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40" w:type="dxa"/>
            <w:vAlign w:val="bottom"/>
            <w:tcBorders>
              <w:right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660" w:type="dxa"/>
            <w:vAlign w:val="bottom"/>
            <w:tcBorders>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40" w:type="dxa"/>
            <w:vAlign w:val="bottom"/>
            <w:tcBorders>
              <w:right w:val="single" w:sz="8" w:color="auto"/>
            </w:tcBorders>
          </w:tcPr>
          <w:p>
            <w:pPr>
              <w:spacing w:after="0"/>
              <w:rPr>
                <w:sz w:val="13"/>
                <w:szCs w:val="13"/>
                <w:color w:val="auto"/>
              </w:rPr>
            </w:pPr>
          </w:p>
        </w:tc>
        <w:tc>
          <w:tcPr>
            <w:tcW w:w="2740" w:type="dxa"/>
            <w:vAlign w:val="bottom"/>
            <w:gridSpan w:val="2"/>
          </w:tcPr>
          <w:p>
            <w:pPr>
              <w:jc w:val="right"/>
              <w:ind w:right="40"/>
              <w:spacing w:after="0" w:line="158" w:lineRule="exact"/>
              <w:rPr>
                <w:sz w:val="20"/>
                <w:szCs w:val="20"/>
                <w:color w:val="auto"/>
              </w:rPr>
            </w:pPr>
            <w:r>
              <w:rPr>
                <w:rFonts w:ascii="Times New Roman" w:cs="Times New Roman" w:eastAsia="Times New Roman" w:hAnsi="Times New Roman"/>
                <w:sz w:val="14"/>
                <w:szCs w:val="14"/>
                <w:color w:val="auto"/>
              </w:rPr>
              <w:t>Members of the Finance Department with</w:t>
            </w:r>
          </w:p>
        </w:tc>
        <w:tc>
          <w:tcPr>
            <w:tcW w:w="660" w:type="dxa"/>
            <w:vAlign w:val="bottom"/>
            <w:tcBorders>
              <w:right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Corporate</w:t>
            </w:r>
          </w:p>
        </w:tc>
        <w:tc>
          <w:tcPr>
            <w:tcW w:w="2480" w:type="dxa"/>
            <w:vAlign w:val="bottom"/>
            <w:tcBorders>
              <w:right w:val="single" w:sz="8" w:color="auto"/>
            </w:tcBorders>
            <w:vMerge w:val="restart"/>
          </w:tcPr>
          <w:p>
            <w:pPr>
              <w:ind w:left="1140"/>
              <w:spacing w:after="0"/>
              <w:rPr>
                <w:sz w:val="20"/>
                <w:szCs w:val="20"/>
                <w:color w:val="auto"/>
              </w:rPr>
            </w:pPr>
            <w:r>
              <w:rPr>
                <w:rFonts w:ascii="Times New Roman" w:cs="Times New Roman" w:eastAsia="Times New Roman" w:hAnsi="Times New Roman"/>
                <w:sz w:val="14"/>
                <w:szCs w:val="14"/>
                <w:color w:val="auto"/>
              </w:rPr>
              <w:t>X</w:t>
            </w:r>
          </w:p>
        </w:tc>
        <w:tc>
          <w:tcPr>
            <w:tcW w:w="26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40" w:type="dxa"/>
            <w:vAlign w:val="bottom"/>
            <w:tcBorders>
              <w:right w:val="single" w:sz="8" w:color="auto"/>
            </w:tcBorders>
          </w:tcPr>
          <w:p>
            <w:pPr>
              <w:spacing w:after="0"/>
              <w:rPr>
                <w:sz w:val="11"/>
                <w:szCs w:val="11"/>
                <w:color w:val="auto"/>
              </w:rPr>
            </w:pPr>
          </w:p>
        </w:tc>
        <w:tc>
          <w:tcPr>
            <w:tcW w:w="2740" w:type="dxa"/>
            <w:vAlign w:val="bottom"/>
            <w:gridSpan w:val="2"/>
            <w:vMerge w:val="restart"/>
          </w:tcPr>
          <w:p>
            <w:pPr>
              <w:jc w:val="right"/>
              <w:ind w:right="1740"/>
              <w:spacing w:after="0"/>
              <w:rPr>
                <w:sz w:val="20"/>
                <w:szCs w:val="20"/>
                <w:color w:val="auto"/>
              </w:rPr>
            </w:pPr>
            <w:r>
              <w:rPr>
                <w:rFonts w:ascii="Times New Roman" w:cs="Times New Roman" w:eastAsia="Times New Roman" w:hAnsi="Times New Roman"/>
                <w:sz w:val="14"/>
                <w:szCs w:val="14"/>
                <w:color w:val="auto"/>
              </w:rPr>
              <w:t>Level Access</w:t>
            </w:r>
          </w:p>
        </w:tc>
        <w:tc>
          <w:tcPr>
            <w:tcW w:w="660" w:type="dxa"/>
            <w:vAlign w:val="bottom"/>
            <w:tcBorders>
              <w:right w:val="single" w:sz="8" w:color="auto"/>
            </w:tcBorders>
          </w:tcPr>
          <w:p>
            <w:pPr>
              <w:spacing w:after="0"/>
              <w:rPr>
                <w:sz w:val="11"/>
                <w:szCs w:val="11"/>
                <w:color w:val="auto"/>
              </w:rPr>
            </w:pPr>
          </w:p>
        </w:tc>
        <w:tc>
          <w:tcPr>
            <w:tcW w:w="2480" w:type="dxa"/>
            <w:vAlign w:val="bottom"/>
            <w:tcBorders>
              <w:right w:val="single" w:sz="8" w:color="auto"/>
            </w:tcBorders>
            <w:vMerge w:val="continue"/>
          </w:tcPr>
          <w:p>
            <w:pPr>
              <w:spacing w:after="0"/>
              <w:rPr>
                <w:sz w:val="11"/>
                <w:szCs w:val="11"/>
                <w:color w:val="auto"/>
              </w:rPr>
            </w:pPr>
          </w:p>
        </w:tc>
        <w:tc>
          <w:tcPr>
            <w:tcW w:w="266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440" w:type="dxa"/>
            <w:vAlign w:val="bottom"/>
            <w:tcBorders>
              <w:right w:val="single" w:sz="8" w:color="auto"/>
            </w:tcBorders>
          </w:tcPr>
          <w:p>
            <w:pPr>
              <w:spacing w:after="0"/>
              <w:rPr>
                <w:sz w:val="4"/>
                <w:szCs w:val="4"/>
                <w:color w:val="auto"/>
              </w:rPr>
            </w:pPr>
          </w:p>
        </w:tc>
        <w:tc>
          <w:tcPr>
            <w:tcW w:w="2740" w:type="dxa"/>
            <w:vAlign w:val="bottom"/>
            <w:gridSpan w:val="2"/>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480" w:type="dxa"/>
            <w:vAlign w:val="bottom"/>
            <w:tcBorders>
              <w:right w:val="single" w:sz="8" w:color="auto"/>
            </w:tcBorders>
          </w:tcPr>
          <w:p>
            <w:pPr>
              <w:spacing w:after="0"/>
              <w:rPr>
                <w:sz w:val="4"/>
                <w:szCs w:val="4"/>
                <w:color w:val="auto"/>
              </w:rPr>
            </w:pPr>
          </w:p>
        </w:tc>
        <w:tc>
          <w:tcPr>
            <w:tcW w:w="2660" w:type="dxa"/>
            <w:vAlign w:val="bottom"/>
            <w:tcBorders>
              <w:right w:val="single" w:sz="8" w:color="auto"/>
            </w:tcBorders>
          </w:tcPr>
          <w:p>
            <w:pPr>
              <w:spacing w:after="0"/>
              <w:rPr>
                <w:sz w:val="4"/>
                <w:szCs w:val="4"/>
                <w:color w:val="auto"/>
              </w:rPr>
            </w:pPr>
          </w:p>
        </w:tc>
        <w:tc>
          <w:tcPr>
            <w:tcW w:w="2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440" w:type="dxa"/>
            <w:vAlign w:val="bottom"/>
            <w:tcBorders>
              <w:right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40" w:type="dxa"/>
            <w:vAlign w:val="bottom"/>
            <w:tcBorders>
              <w:right w:val="single" w:sz="8" w:color="auto"/>
            </w:tcBorders>
          </w:tcPr>
          <w:p>
            <w:pPr>
              <w:spacing w:after="0"/>
              <w:rPr>
                <w:sz w:val="17"/>
                <w:szCs w:val="17"/>
                <w:color w:val="auto"/>
              </w:rPr>
            </w:pPr>
          </w:p>
        </w:tc>
        <w:tc>
          <w:tcPr>
            <w:tcW w:w="2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Members of the Investor Relations Department</w:t>
            </w:r>
          </w:p>
        </w:tc>
        <w:tc>
          <w:tcPr>
            <w:tcW w:w="66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vMerge w:val="restart"/>
          </w:tcPr>
          <w:p>
            <w:pPr>
              <w:ind w:left="1140"/>
              <w:spacing w:after="0"/>
              <w:rPr>
                <w:sz w:val="20"/>
                <w:szCs w:val="20"/>
                <w:color w:val="auto"/>
              </w:rPr>
            </w:pPr>
            <w:r>
              <w:rPr>
                <w:rFonts w:ascii="Times New Roman" w:cs="Times New Roman" w:eastAsia="Times New Roman" w:hAnsi="Times New Roman"/>
                <w:sz w:val="14"/>
                <w:szCs w:val="14"/>
                <w:color w:val="auto"/>
              </w:rPr>
              <w:t>X</w:t>
            </w:r>
          </w:p>
        </w:tc>
        <w:tc>
          <w:tcPr>
            <w:tcW w:w="266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440" w:type="dxa"/>
            <w:vAlign w:val="bottom"/>
            <w:tcBorders>
              <w:right w:val="single" w:sz="8" w:color="auto"/>
            </w:tcBorders>
          </w:tcPr>
          <w:p>
            <w:pPr>
              <w:spacing w:after="0"/>
              <w:rPr>
                <w:sz w:val="9"/>
                <w:szCs w:val="9"/>
                <w:color w:val="auto"/>
              </w:rPr>
            </w:pPr>
          </w:p>
        </w:tc>
        <w:tc>
          <w:tcPr>
            <w:tcW w:w="2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40" w:type="dxa"/>
            <w:vAlign w:val="bottom"/>
            <w:tcBorders>
              <w:right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0" w:type="dxa"/>
            <w:vAlign w:val="bottom"/>
            <w:tcBorders>
              <w:right w:val="single" w:sz="8" w:color="auto"/>
            </w:tcBorders>
          </w:tcPr>
          <w:p>
            <w:pPr>
              <w:spacing w:after="0"/>
              <w:rPr>
                <w:sz w:val="24"/>
                <w:szCs w:val="24"/>
                <w:color w:val="auto"/>
              </w:rPr>
            </w:pPr>
          </w:p>
        </w:tc>
        <w:tc>
          <w:tcPr>
            <w:tcW w:w="2740" w:type="dxa"/>
            <w:vAlign w:val="bottom"/>
            <w:gridSpan w:val="2"/>
          </w:tcPr>
          <w:p>
            <w:pPr>
              <w:jc w:val="center"/>
              <w:ind w:left="529"/>
              <w:spacing w:after="0"/>
              <w:rPr>
                <w:sz w:val="20"/>
                <w:szCs w:val="20"/>
                <w:color w:val="auto"/>
              </w:rPr>
            </w:pPr>
            <w:r>
              <w:rPr>
                <w:rFonts w:ascii="Times New Roman" w:cs="Times New Roman" w:eastAsia="Times New Roman" w:hAnsi="Times New Roman"/>
                <w:sz w:val="14"/>
                <w:szCs w:val="14"/>
                <w:color w:val="auto"/>
              </w:rPr>
              <w:t>Disclosure Committee Members</w:t>
            </w:r>
          </w:p>
        </w:tc>
        <w:tc>
          <w:tcPr>
            <w:tcW w:w="66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X</w:t>
            </w:r>
          </w:p>
        </w:tc>
        <w:tc>
          <w:tcPr>
            <w:tcW w:w="266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40" w:type="dxa"/>
            <w:vAlign w:val="bottom"/>
            <w:tcBorders>
              <w:right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660" w:type="dxa"/>
            <w:vAlign w:val="bottom"/>
            <w:tcBorders>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440" w:type="dxa"/>
            <w:vAlign w:val="bottom"/>
            <w:tcBorders>
              <w:right w:val="single" w:sz="8" w:color="auto"/>
            </w:tcBorders>
          </w:tcPr>
          <w:p>
            <w:pPr>
              <w:spacing w:after="0"/>
              <w:rPr>
                <w:sz w:val="24"/>
                <w:szCs w:val="24"/>
                <w:color w:val="auto"/>
              </w:rPr>
            </w:pPr>
          </w:p>
        </w:tc>
        <w:tc>
          <w:tcPr>
            <w:tcW w:w="2740" w:type="dxa"/>
            <w:vAlign w:val="bottom"/>
            <w:gridSpan w:val="2"/>
          </w:tcPr>
          <w:p>
            <w:pPr>
              <w:jc w:val="center"/>
              <w:ind w:left="529"/>
              <w:spacing w:after="0"/>
              <w:rPr>
                <w:sz w:val="20"/>
                <w:szCs w:val="20"/>
                <w:color w:val="auto"/>
              </w:rPr>
            </w:pPr>
            <w:r>
              <w:rPr>
                <w:rFonts w:ascii="Times New Roman" w:cs="Times New Roman" w:eastAsia="Times New Roman" w:hAnsi="Times New Roman"/>
                <w:sz w:val="14"/>
                <w:szCs w:val="14"/>
                <w:color w:val="auto"/>
              </w:rPr>
              <w:t>IT Administrators</w:t>
            </w:r>
          </w:p>
        </w:tc>
        <w:tc>
          <w:tcPr>
            <w:tcW w:w="66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X</w:t>
            </w:r>
          </w:p>
        </w:tc>
        <w:tc>
          <w:tcPr>
            <w:tcW w:w="266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440" w:type="dxa"/>
            <w:vAlign w:val="bottom"/>
            <w:tcBorders>
              <w:right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right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6"/>
        </w:trPr>
        <w:tc>
          <w:tcPr>
            <w:tcW w:w="440" w:type="dxa"/>
            <w:vAlign w:val="bottom"/>
            <w:tcBorders>
              <w:right w:val="single" w:sz="8" w:color="auto"/>
            </w:tcBorders>
          </w:tcPr>
          <w:p>
            <w:pPr>
              <w:spacing w:after="0"/>
              <w:rPr>
                <w:sz w:val="24"/>
                <w:szCs w:val="24"/>
                <w:color w:val="auto"/>
              </w:rPr>
            </w:pPr>
          </w:p>
        </w:tc>
        <w:tc>
          <w:tcPr>
            <w:tcW w:w="2740" w:type="dxa"/>
            <w:vAlign w:val="bottom"/>
            <w:gridSpan w:val="2"/>
          </w:tcPr>
          <w:p>
            <w:pPr>
              <w:jc w:val="center"/>
              <w:ind w:left="529"/>
              <w:spacing w:after="0"/>
              <w:rPr>
                <w:sz w:val="20"/>
                <w:szCs w:val="20"/>
                <w:color w:val="auto"/>
              </w:rPr>
            </w:pPr>
            <w:r>
              <w:rPr>
                <w:rFonts w:ascii="Times New Roman" w:cs="Times New Roman" w:eastAsia="Times New Roman" w:hAnsi="Times New Roman"/>
                <w:sz w:val="14"/>
                <w:szCs w:val="14"/>
                <w:color w:val="auto"/>
              </w:rPr>
              <w:t>Sales Admins</w:t>
            </w:r>
          </w:p>
        </w:tc>
        <w:tc>
          <w:tcPr>
            <w:tcW w:w="66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X</w:t>
            </w:r>
          </w:p>
        </w:tc>
        <w:tc>
          <w:tcPr>
            <w:tcW w:w="266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40" w:type="dxa"/>
            <w:vAlign w:val="bottom"/>
            <w:tcBorders>
              <w:right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440" w:type="dxa"/>
            <w:vAlign w:val="bottom"/>
            <w:tcBorders>
              <w:bottom w:val="single" w:sz="8" w:color="EEEEEE"/>
            </w:tcBorders>
          </w:tcPr>
          <w:p>
            <w:pPr>
              <w:spacing w:after="0"/>
              <w:rPr>
                <w:sz w:val="11"/>
                <w:szCs w:val="11"/>
                <w:color w:val="auto"/>
              </w:rPr>
            </w:pPr>
          </w:p>
        </w:tc>
        <w:tc>
          <w:tcPr>
            <w:tcW w:w="2140" w:type="dxa"/>
            <w:vAlign w:val="bottom"/>
            <w:tcBorders>
              <w:bottom w:val="single" w:sz="8" w:color="EEEEEE"/>
            </w:tcBorders>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-37465</wp:posOffset>
            </wp:positionV>
            <wp:extent cx="1673225" cy="508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0">
                      <a:extLst>
                        <a:ext uri="{28A0092B-C50C-407E-A947-70E740481C1C}"/>
                      </a:extLst>
                    </a:blip>
                    <a:srcRect/>
                    <a:stretch>
                      <a:fillRect/>
                    </a:stretch>
                  </pic:blipFill>
                  <pic:spPr bwMode="auto">
                    <a:xfrm>
                      <a:off x="0" y="0"/>
                      <a:ext cx="1673225" cy="50800"/>
                    </a:xfrm>
                    <a:prstGeom prst="rect">
                      <a:avLst/>
                    </a:prstGeom>
                    <a:noFill/>
                  </pic:spPr>
                </pic:pic>
              </a:graphicData>
            </a:graphic>
          </wp:anchor>
        </w:drawing>
      </w:r>
    </w:p>
    <w:p>
      <w:pPr>
        <w:spacing w:after="0" w:line="38" w:lineRule="exact"/>
        <w:rPr>
          <w:sz w:val="20"/>
          <w:szCs w:val="20"/>
          <w:color w:val="auto"/>
        </w:rPr>
      </w:pPr>
    </w:p>
    <w:p>
      <w:pPr>
        <w:ind w:left="120" w:hanging="113"/>
        <w:spacing w:after="0"/>
        <w:tabs>
          <w:tab w:leader="none" w:pos="120" w:val="left"/>
        </w:tabs>
        <w:numPr>
          <w:ilvl w:val="0"/>
          <w:numId w:val="10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Applies only to Vice Presidents who have been designated as Section 16 officers by the Board of Directors.</w:t>
      </w:r>
    </w:p>
    <w:p>
      <w:pPr>
        <w:ind w:left="592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605790</wp:posOffset>
            </wp:positionV>
            <wp:extent cx="715899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154" w:name="page155"/>
    <w:bookmarkEnd w:id="154"/>
    <w:tbl>
      <w:tblPr>
        <w:tblLayout w:type="fixed"/>
        <w:tblInd w:w="10" w:type="dxa"/>
        <w:tblCellMar>
          <w:top w:w="0" w:type="dxa"/>
          <w:left w:w="0" w:type="dxa"/>
          <w:bottom w:w="0" w:type="dxa"/>
          <w:right w:w="0" w:type="dxa"/>
        </w:tblCellMar>
      </w:tblPr>
      <w:tr>
        <w:trPr>
          <w:trHeight w:val="219"/>
        </w:trPr>
        <w:tc>
          <w:tcPr>
            <w:tcW w:w="3400" w:type="dxa"/>
            <w:vAlign w:val="bottom"/>
            <w:tcBorders>
              <w:top w:val="single" w:sz="8" w:color="auto"/>
              <w:left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Legal Department</w:t>
            </w:r>
          </w:p>
        </w:tc>
        <w:tc>
          <w:tcPr>
            <w:tcW w:w="2500" w:type="dxa"/>
            <w:vAlign w:val="bottom"/>
            <w:tcBorders>
              <w:top w:val="single" w:sz="8" w:color="auto"/>
              <w:right w:val="single" w:sz="8" w:color="auto"/>
            </w:tcBorders>
            <w:vMerge w:val="restart"/>
          </w:tcPr>
          <w:p>
            <w:pPr>
              <w:ind w:left="1160"/>
              <w:spacing w:after="0"/>
              <w:rPr>
                <w:sz w:val="20"/>
                <w:szCs w:val="20"/>
                <w:color w:val="auto"/>
              </w:rPr>
            </w:pPr>
            <w:r>
              <w:rPr>
                <w:rFonts w:ascii="Times New Roman" w:cs="Times New Roman" w:eastAsia="Times New Roman" w:hAnsi="Times New Roman"/>
                <w:sz w:val="14"/>
                <w:szCs w:val="14"/>
                <w:color w:val="auto"/>
              </w:rPr>
              <w:t>X</w:t>
            </w:r>
          </w:p>
        </w:tc>
        <w:tc>
          <w:tcPr>
            <w:tcW w:w="2660" w:type="dxa"/>
            <w:vAlign w:val="bottom"/>
            <w:tcBorders>
              <w:top w:val="single" w:sz="8" w:color="auto"/>
              <w:right w:val="single" w:sz="8" w:color="auto"/>
            </w:tcBorders>
          </w:tcPr>
          <w:p>
            <w:pPr>
              <w:spacing w:after="0"/>
              <w:rPr>
                <w:sz w:val="19"/>
                <w:szCs w:val="19"/>
                <w:color w:val="auto"/>
              </w:rPr>
            </w:pPr>
          </w:p>
        </w:tc>
        <w:tc>
          <w:tcPr>
            <w:tcW w:w="22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3400" w:type="dxa"/>
            <w:vAlign w:val="bottom"/>
            <w:tcBorders>
              <w:left w:val="single" w:sz="8" w:color="auto"/>
              <w:right w:val="single" w:sz="8" w:color="auto"/>
            </w:tcBorders>
          </w:tcPr>
          <w:p>
            <w:pPr>
              <w:spacing w:after="0"/>
              <w:rPr>
                <w:sz w:val="6"/>
                <w:szCs w:val="6"/>
                <w:color w:val="auto"/>
              </w:rPr>
            </w:pPr>
          </w:p>
        </w:tc>
        <w:tc>
          <w:tcPr>
            <w:tcW w:w="2500" w:type="dxa"/>
            <w:vAlign w:val="bottom"/>
            <w:tcBorders>
              <w:right w:val="single" w:sz="8" w:color="auto"/>
            </w:tcBorders>
            <w:vMerge w:val="continue"/>
          </w:tcPr>
          <w:p>
            <w:pPr>
              <w:spacing w:after="0"/>
              <w:rPr>
                <w:sz w:val="6"/>
                <w:szCs w:val="6"/>
                <w:color w:val="auto"/>
              </w:rPr>
            </w:pPr>
          </w:p>
        </w:tc>
        <w:tc>
          <w:tcPr>
            <w:tcW w:w="266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3400" w:type="dxa"/>
            <w:vAlign w:val="bottom"/>
            <w:tcBorders>
              <w:left w:val="single" w:sz="8" w:color="auto"/>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3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HR Department - Compensation Team w/</w:t>
            </w:r>
          </w:p>
        </w:tc>
        <w:tc>
          <w:tcPr>
            <w:tcW w:w="25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X</w:t>
            </w:r>
          </w:p>
        </w:tc>
        <w:tc>
          <w:tcPr>
            <w:tcW w:w="266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3400" w:type="dxa"/>
            <w:vAlign w:val="bottom"/>
            <w:tcBorders>
              <w:left w:val="single" w:sz="8" w:color="auto"/>
              <w:right w:val="single" w:sz="8" w:color="auto"/>
            </w:tcBorders>
            <w:vMerge w:val="continue"/>
          </w:tcPr>
          <w:p>
            <w:pPr>
              <w:spacing w:after="0"/>
              <w:rPr>
                <w:sz w:val="6"/>
                <w:szCs w:val="6"/>
                <w:color w:val="auto"/>
              </w:rPr>
            </w:pPr>
          </w:p>
        </w:tc>
        <w:tc>
          <w:tcPr>
            <w:tcW w:w="2500" w:type="dxa"/>
            <w:vAlign w:val="bottom"/>
            <w:tcBorders>
              <w:right w:val="single" w:sz="8" w:color="auto"/>
            </w:tcBorders>
          </w:tcPr>
          <w:p>
            <w:pPr>
              <w:spacing w:after="0"/>
              <w:rPr>
                <w:sz w:val="6"/>
                <w:szCs w:val="6"/>
                <w:color w:val="auto"/>
              </w:rPr>
            </w:pPr>
          </w:p>
        </w:tc>
        <w:tc>
          <w:tcPr>
            <w:tcW w:w="266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Corp Level Financial Access and Direct Reports to CHRO</w:t>
            </w:r>
          </w:p>
        </w:tc>
        <w:tc>
          <w:tcPr>
            <w:tcW w:w="250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2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3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Operations</w:t>
            </w:r>
          </w:p>
        </w:tc>
        <w:tc>
          <w:tcPr>
            <w:tcW w:w="25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X</w:t>
            </w:r>
          </w:p>
        </w:tc>
        <w:tc>
          <w:tcPr>
            <w:tcW w:w="266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3400" w:type="dxa"/>
            <w:vAlign w:val="bottom"/>
            <w:tcBorders>
              <w:left w:val="single" w:sz="8" w:color="auto"/>
              <w:bottom w:val="single" w:sz="8" w:color="auto"/>
              <w:right w:val="single" w:sz="8" w:color="auto"/>
            </w:tcBorders>
          </w:tcPr>
          <w:p>
            <w:pPr>
              <w:spacing w:after="0"/>
              <w:rPr>
                <w:sz w:val="6"/>
                <w:szCs w:val="6"/>
                <w:color w:val="auto"/>
              </w:rPr>
            </w:pPr>
          </w:p>
        </w:tc>
        <w:tc>
          <w:tcPr>
            <w:tcW w:w="250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right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3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Executive Administrative Assistants</w:t>
            </w:r>
          </w:p>
        </w:tc>
        <w:tc>
          <w:tcPr>
            <w:tcW w:w="25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X</w:t>
            </w:r>
          </w:p>
        </w:tc>
        <w:tc>
          <w:tcPr>
            <w:tcW w:w="266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400" w:type="dxa"/>
            <w:vAlign w:val="bottom"/>
            <w:tcBorders>
              <w:left w:val="single" w:sz="8" w:color="auto"/>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660" w:type="dxa"/>
            <w:vAlign w:val="bottom"/>
            <w:tcBorders>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400" w:type="dxa"/>
            <w:vAlign w:val="bottom"/>
            <w:tcBorders>
              <w:left w:val="single" w:sz="8" w:color="auto"/>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Members of the Corporate Development</w:t>
            </w:r>
          </w:p>
        </w:tc>
        <w:tc>
          <w:tcPr>
            <w:tcW w:w="2500" w:type="dxa"/>
            <w:vAlign w:val="bottom"/>
            <w:tcBorders>
              <w:right w:val="single" w:sz="8" w:color="auto"/>
            </w:tcBorders>
            <w:vMerge w:val="restart"/>
          </w:tcPr>
          <w:p>
            <w:pPr>
              <w:ind w:left="1160"/>
              <w:spacing w:after="0"/>
              <w:rPr>
                <w:sz w:val="20"/>
                <w:szCs w:val="20"/>
                <w:color w:val="auto"/>
              </w:rPr>
            </w:pPr>
            <w:r>
              <w:rPr>
                <w:rFonts w:ascii="Times New Roman" w:cs="Times New Roman" w:eastAsia="Times New Roman" w:hAnsi="Times New Roman"/>
                <w:sz w:val="14"/>
                <w:szCs w:val="14"/>
                <w:color w:val="auto"/>
              </w:rPr>
              <w:t>X</w:t>
            </w:r>
          </w:p>
        </w:tc>
        <w:tc>
          <w:tcPr>
            <w:tcW w:w="266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Department</w:t>
            </w:r>
          </w:p>
        </w:tc>
        <w:tc>
          <w:tcPr>
            <w:tcW w:w="2500" w:type="dxa"/>
            <w:vAlign w:val="bottom"/>
            <w:tcBorders>
              <w:right w:val="single" w:sz="8" w:color="auto"/>
            </w:tcBorders>
            <w:vMerge w:val="continue"/>
          </w:tcPr>
          <w:p>
            <w:pPr>
              <w:spacing w:after="0"/>
              <w:rPr>
                <w:sz w:val="11"/>
                <w:szCs w:val="11"/>
                <w:color w:val="auto"/>
              </w:rPr>
            </w:pPr>
          </w:p>
        </w:tc>
        <w:tc>
          <w:tcPr>
            <w:tcW w:w="266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3400" w:type="dxa"/>
            <w:vAlign w:val="bottom"/>
            <w:tcBorders>
              <w:left w:val="single" w:sz="8" w:color="auto"/>
              <w:right w:val="single" w:sz="8" w:color="auto"/>
            </w:tcBorders>
            <w:vMerge w:val="continue"/>
          </w:tcPr>
          <w:p>
            <w:pPr>
              <w:spacing w:after="0"/>
              <w:rPr>
                <w:sz w:val="4"/>
                <w:szCs w:val="4"/>
                <w:color w:val="auto"/>
              </w:rPr>
            </w:pPr>
          </w:p>
        </w:tc>
        <w:tc>
          <w:tcPr>
            <w:tcW w:w="2500" w:type="dxa"/>
            <w:vAlign w:val="bottom"/>
            <w:tcBorders>
              <w:right w:val="single" w:sz="8" w:color="auto"/>
            </w:tcBorders>
          </w:tcPr>
          <w:p>
            <w:pPr>
              <w:spacing w:after="0"/>
              <w:rPr>
                <w:sz w:val="4"/>
                <w:szCs w:val="4"/>
                <w:color w:val="auto"/>
              </w:rPr>
            </w:pPr>
          </w:p>
        </w:tc>
        <w:tc>
          <w:tcPr>
            <w:tcW w:w="2660" w:type="dxa"/>
            <w:vAlign w:val="bottom"/>
            <w:tcBorders>
              <w:right w:val="single" w:sz="8" w:color="auto"/>
            </w:tcBorders>
          </w:tcPr>
          <w:p>
            <w:pPr>
              <w:spacing w:after="0"/>
              <w:rPr>
                <w:sz w:val="4"/>
                <w:szCs w:val="4"/>
                <w:color w:val="auto"/>
              </w:rPr>
            </w:pPr>
          </w:p>
        </w:tc>
        <w:tc>
          <w:tcPr>
            <w:tcW w:w="2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4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Systems access or Sales &amp; Mktg Uncertified access</w:t>
            </w:r>
          </w:p>
        </w:tc>
        <w:tc>
          <w:tcPr>
            <w:tcW w:w="2500" w:type="dxa"/>
            <w:vAlign w:val="bottom"/>
            <w:tcBorders>
              <w:right w:val="single" w:sz="8" w:color="auto"/>
            </w:tcBorders>
            <w:vMerge w:val="restart"/>
          </w:tcPr>
          <w:p>
            <w:pPr>
              <w:ind w:left="1160"/>
              <w:spacing w:after="0"/>
              <w:rPr>
                <w:sz w:val="20"/>
                <w:szCs w:val="20"/>
                <w:color w:val="auto"/>
              </w:rPr>
            </w:pPr>
            <w:r>
              <w:rPr>
                <w:rFonts w:ascii="Times New Roman" w:cs="Times New Roman" w:eastAsia="Times New Roman" w:hAnsi="Times New Roman"/>
                <w:sz w:val="14"/>
                <w:szCs w:val="14"/>
                <w:color w:val="auto"/>
              </w:rPr>
              <w:t>X</w:t>
            </w:r>
          </w:p>
        </w:tc>
        <w:tc>
          <w:tcPr>
            <w:tcW w:w="266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400" w:type="dxa"/>
            <w:vAlign w:val="bottom"/>
            <w:tcBorders>
              <w:left w:val="single" w:sz="8" w:color="auto"/>
              <w:right w:val="single" w:sz="8" w:color="auto"/>
            </w:tcBorders>
          </w:tcPr>
          <w:p>
            <w:pPr>
              <w:spacing w:after="0"/>
              <w:rPr>
                <w:sz w:val="8"/>
                <w:szCs w:val="8"/>
                <w:color w:val="auto"/>
              </w:rPr>
            </w:pPr>
          </w:p>
        </w:tc>
        <w:tc>
          <w:tcPr>
            <w:tcW w:w="2500" w:type="dxa"/>
            <w:vAlign w:val="bottom"/>
            <w:tcBorders>
              <w:right w:val="single" w:sz="8" w:color="auto"/>
            </w:tcBorders>
            <w:vMerge w:val="continue"/>
          </w:tcPr>
          <w:p>
            <w:pPr>
              <w:spacing w:after="0"/>
              <w:rPr>
                <w:sz w:val="8"/>
                <w:szCs w:val="8"/>
                <w:color w:val="auto"/>
              </w:rPr>
            </w:pPr>
          </w:p>
        </w:tc>
        <w:tc>
          <w:tcPr>
            <w:tcW w:w="266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400" w:type="dxa"/>
            <w:vAlign w:val="bottom"/>
            <w:tcBorders>
              <w:left w:val="single" w:sz="8" w:color="auto"/>
              <w:bottom w:val="single" w:sz="8" w:color="auto"/>
              <w:right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3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Supply Chain Leadership</w:t>
            </w:r>
          </w:p>
        </w:tc>
        <w:tc>
          <w:tcPr>
            <w:tcW w:w="25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X</w:t>
            </w:r>
          </w:p>
        </w:tc>
        <w:tc>
          <w:tcPr>
            <w:tcW w:w="266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400" w:type="dxa"/>
            <w:vAlign w:val="bottom"/>
            <w:tcBorders>
              <w:left w:val="single" w:sz="8" w:color="auto"/>
              <w:bottom w:val="single" w:sz="8" w:color="auto"/>
              <w:right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3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Leadership Team</w:t>
            </w:r>
          </w:p>
        </w:tc>
        <w:tc>
          <w:tcPr>
            <w:tcW w:w="25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X</w:t>
            </w:r>
          </w:p>
        </w:tc>
        <w:tc>
          <w:tcPr>
            <w:tcW w:w="266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400" w:type="dxa"/>
            <w:vAlign w:val="bottom"/>
            <w:tcBorders>
              <w:left w:val="single" w:sz="8" w:color="auto"/>
              <w:bottom w:val="single" w:sz="8" w:color="auto"/>
              <w:right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3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Holders of French-Qualified Awards</w:t>
            </w:r>
          </w:p>
        </w:tc>
        <w:tc>
          <w:tcPr>
            <w:tcW w:w="25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X</w:t>
            </w:r>
          </w:p>
        </w:tc>
        <w:tc>
          <w:tcPr>
            <w:tcW w:w="266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400" w:type="dxa"/>
            <w:vAlign w:val="bottom"/>
            <w:tcBorders>
              <w:left w:val="single" w:sz="8" w:color="auto"/>
              <w:bottom w:val="single" w:sz="8" w:color="auto"/>
              <w:right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619760</wp:posOffset>
            </wp:positionV>
            <wp:extent cx="715899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780"/>
          </w:cols>
          <w:pgMar w:left="740" w:top="1373" w:right="37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37"/>
        </w:trPr>
        <w:tc>
          <w:tcPr>
            <w:tcW w:w="8060" w:type="dxa"/>
            <w:vAlign w:val="bottom"/>
          </w:tcPr>
          <w:p>
            <w:pPr>
              <w:spacing w:after="0"/>
              <w:rPr>
                <w:sz w:val="20"/>
                <w:szCs w:val="20"/>
                <w:color w:val="auto"/>
              </w:rPr>
            </w:pPr>
          </w:p>
        </w:tc>
        <w:tc>
          <w:tcPr>
            <w:tcW w:w="3180" w:type="dxa"/>
            <w:vAlign w:val="bottom"/>
          </w:tcPr>
          <w:p>
            <w:pPr>
              <w:ind w:left="226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c>
          <w:tcPr>
            <w:tcW w:w="0" w:type="dxa"/>
            <w:vAlign w:val="bottom"/>
          </w:tcPr>
          <w:p>
            <w:pPr>
              <w:spacing w:after="0"/>
              <w:rPr>
                <w:sz w:val="1"/>
                <w:szCs w:val="1"/>
                <w:color w:val="auto"/>
              </w:rPr>
            </w:pPr>
          </w:p>
        </w:tc>
      </w:tr>
      <w:tr>
        <w:trPr>
          <w:trHeight w:val="428"/>
        </w:trPr>
        <w:tc>
          <w:tcPr>
            <w:tcW w:w="806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Subsidiaries of Allegro MicroSystems, Inc.</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7"/>
        </w:trPr>
        <w:tc>
          <w:tcPr>
            <w:tcW w:w="80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18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State of Other Jurisdiction of</w:t>
            </w:r>
          </w:p>
        </w:tc>
        <w:tc>
          <w:tcPr>
            <w:tcW w:w="0" w:type="dxa"/>
            <w:vAlign w:val="bottom"/>
          </w:tcPr>
          <w:p>
            <w:pPr>
              <w:spacing w:after="0"/>
              <w:rPr>
                <w:sz w:val="1"/>
                <w:szCs w:val="1"/>
                <w:color w:val="auto"/>
              </w:rPr>
            </w:pPr>
          </w:p>
        </w:tc>
      </w:tr>
      <w:tr>
        <w:trPr>
          <w:trHeight w:val="193"/>
        </w:trPr>
        <w:tc>
          <w:tcPr>
            <w:tcW w:w="8060" w:type="dxa"/>
            <w:vAlign w:val="bottom"/>
            <w:tcBorders>
              <w:bottom w:val="single" w:sz="8" w:color="auto"/>
            </w:tcBorders>
            <w:vMerge w:val="continue"/>
          </w:tcPr>
          <w:p>
            <w:pPr>
              <w:spacing w:after="0"/>
              <w:rPr>
                <w:sz w:val="16"/>
                <w:szCs w:val="16"/>
                <w:color w:val="auto"/>
              </w:rPr>
            </w:pPr>
          </w:p>
        </w:tc>
        <w:tc>
          <w:tcPr>
            <w:tcW w:w="31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0" w:type="dxa"/>
            <w:vAlign w:val="bottom"/>
          </w:tcPr>
          <w:p>
            <w:pPr>
              <w:spacing w:after="0"/>
              <w:rPr>
                <w:sz w:val="1"/>
                <w:szCs w:val="1"/>
                <w:color w:val="auto"/>
              </w:rPr>
            </w:pPr>
          </w:p>
        </w:tc>
      </w:tr>
      <w:tr>
        <w:trPr>
          <w:trHeight w:val="260"/>
        </w:trPr>
        <w:tc>
          <w:tcPr>
            <w:tcW w:w="80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Allegro MicroSystems, LLC</w:t>
            </w:r>
          </w:p>
        </w:tc>
        <w:tc>
          <w:tcPr>
            <w:tcW w:w="3180" w:type="dxa"/>
            <w:vAlign w:val="bottom"/>
            <w:tcBorders>
              <w:bottom w:val="single" w:sz="8" w:color="CFF0FC"/>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68"/>
        </w:trPr>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Allegro MicroSystems Argentina, S.A.</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Argentina</w:t>
            </w:r>
          </w:p>
        </w:tc>
        <w:tc>
          <w:tcPr>
            <w:tcW w:w="0" w:type="dxa"/>
            <w:vAlign w:val="bottom"/>
          </w:tcPr>
          <w:p>
            <w:pPr>
              <w:spacing w:after="0"/>
              <w:rPr>
                <w:sz w:val="1"/>
                <w:szCs w:val="1"/>
                <w:color w:val="auto"/>
              </w:rPr>
            </w:pPr>
          </w:p>
        </w:tc>
      </w:tr>
      <w:tr>
        <w:trPr>
          <w:trHeight w:val="26"/>
        </w:trPr>
        <w:tc>
          <w:tcPr>
            <w:tcW w:w="80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80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Allegro MicroSystems Argentina S.A. Sucursal Uruguay</w:t>
            </w:r>
          </w:p>
        </w:tc>
        <w:tc>
          <w:tcPr>
            <w:tcW w:w="3180" w:type="dxa"/>
            <w:vAlign w:val="bottom"/>
            <w:tcBorders>
              <w:bottom w:val="single" w:sz="8" w:color="CFF0FC"/>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Uruguay</w:t>
            </w:r>
          </w:p>
        </w:tc>
        <w:tc>
          <w:tcPr>
            <w:tcW w:w="0" w:type="dxa"/>
            <w:vAlign w:val="bottom"/>
          </w:tcPr>
          <w:p>
            <w:pPr>
              <w:spacing w:after="0"/>
              <w:rPr>
                <w:sz w:val="1"/>
                <w:szCs w:val="1"/>
                <w:color w:val="auto"/>
              </w:rPr>
            </w:pPr>
          </w:p>
        </w:tc>
      </w:tr>
      <w:tr>
        <w:trPr>
          <w:trHeight w:val="268"/>
        </w:trPr>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Allegro MicroSystems Business Development, Inc.</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6"/>
        </w:trPr>
        <w:tc>
          <w:tcPr>
            <w:tcW w:w="80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80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Allegro MicroSystems Europe Limited</w:t>
            </w:r>
          </w:p>
        </w:tc>
        <w:tc>
          <w:tcPr>
            <w:tcW w:w="3180" w:type="dxa"/>
            <w:vAlign w:val="bottom"/>
            <w:tcBorders>
              <w:bottom w:val="single" w:sz="8" w:color="CFF0FC"/>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68"/>
        </w:trPr>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Allegro MicroSystems France SAS</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6"/>
        </w:trPr>
        <w:tc>
          <w:tcPr>
            <w:tcW w:w="80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80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Allegro MicroSystems Germany GmbH</w:t>
            </w:r>
          </w:p>
        </w:tc>
        <w:tc>
          <w:tcPr>
            <w:tcW w:w="3180" w:type="dxa"/>
            <w:vAlign w:val="bottom"/>
            <w:tcBorders>
              <w:bottom w:val="single" w:sz="8" w:color="CFF0FC"/>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68"/>
        </w:trPr>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Allegro MicroSystems Shanghai Co., Ltd.</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6"/>
        </w:trPr>
        <w:tc>
          <w:tcPr>
            <w:tcW w:w="80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80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Allegro MicroSystems Philippines, Inc.</w:t>
            </w:r>
          </w:p>
        </w:tc>
        <w:tc>
          <w:tcPr>
            <w:tcW w:w="3180" w:type="dxa"/>
            <w:vAlign w:val="bottom"/>
            <w:tcBorders>
              <w:bottom w:val="single" w:sz="8" w:color="CFF0FC"/>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Philippines</w:t>
            </w:r>
          </w:p>
        </w:tc>
        <w:tc>
          <w:tcPr>
            <w:tcW w:w="0" w:type="dxa"/>
            <w:vAlign w:val="bottom"/>
          </w:tcPr>
          <w:p>
            <w:pPr>
              <w:spacing w:after="0"/>
              <w:rPr>
                <w:sz w:val="1"/>
                <w:szCs w:val="1"/>
                <w:color w:val="auto"/>
              </w:rPr>
            </w:pPr>
          </w:p>
        </w:tc>
      </w:tr>
      <w:tr>
        <w:trPr>
          <w:trHeight w:val="268"/>
        </w:trPr>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Allegro MicroSystems Philippines Realty Inc.</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Philippines</w:t>
            </w:r>
          </w:p>
        </w:tc>
        <w:tc>
          <w:tcPr>
            <w:tcW w:w="0" w:type="dxa"/>
            <w:vAlign w:val="bottom"/>
          </w:tcPr>
          <w:p>
            <w:pPr>
              <w:spacing w:after="0"/>
              <w:rPr>
                <w:sz w:val="1"/>
                <w:szCs w:val="1"/>
                <w:color w:val="auto"/>
              </w:rPr>
            </w:pPr>
          </w:p>
        </w:tc>
      </w:tr>
      <w:tr>
        <w:trPr>
          <w:trHeight w:val="26"/>
        </w:trPr>
        <w:tc>
          <w:tcPr>
            <w:tcW w:w="80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80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LadarSystems, LLC</w:t>
            </w:r>
          </w:p>
        </w:tc>
        <w:tc>
          <w:tcPr>
            <w:tcW w:w="3180" w:type="dxa"/>
            <w:vAlign w:val="bottom"/>
            <w:tcBorders>
              <w:bottom w:val="single" w:sz="8" w:color="CFF0FC"/>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Wyoming</w:t>
            </w:r>
          </w:p>
        </w:tc>
        <w:tc>
          <w:tcPr>
            <w:tcW w:w="0" w:type="dxa"/>
            <w:vAlign w:val="bottom"/>
          </w:tcPr>
          <w:p>
            <w:pPr>
              <w:spacing w:after="0"/>
              <w:rPr>
                <w:sz w:val="1"/>
                <w:szCs w:val="1"/>
                <w:color w:val="auto"/>
              </w:rPr>
            </w:pPr>
          </w:p>
        </w:tc>
      </w:tr>
      <w:tr>
        <w:trPr>
          <w:trHeight w:val="268"/>
        </w:trPr>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CrivaSense Technologies SAS</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6"/>
        </w:trPr>
        <w:tc>
          <w:tcPr>
            <w:tcW w:w="80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80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Voxtel, LLC</w:t>
            </w:r>
          </w:p>
        </w:tc>
        <w:tc>
          <w:tcPr>
            <w:tcW w:w="3180" w:type="dxa"/>
            <w:vAlign w:val="bottom"/>
            <w:tcBorders>
              <w:bottom w:val="single" w:sz="8" w:color="CFF0FC"/>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68"/>
        </w:trPr>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Allegro MicroSystems Japan GK</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6"/>
        </w:trPr>
        <w:tc>
          <w:tcPr>
            <w:tcW w:w="80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80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Allegro MicroSystems Marketing India Private Limited</w:t>
            </w:r>
          </w:p>
        </w:tc>
        <w:tc>
          <w:tcPr>
            <w:tcW w:w="3180" w:type="dxa"/>
            <w:vAlign w:val="bottom"/>
            <w:tcBorders>
              <w:bottom w:val="single" w:sz="8" w:color="CFF0FC"/>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68"/>
        </w:trPr>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Allegro MicroSystems Ireland Ltd</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3554095</wp:posOffset>
            </wp:positionV>
            <wp:extent cx="71589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56" w:name="page157"/>
    <w:bookmarkEnd w:id="156"/>
    <w:p>
      <w:pPr>
        <w:ind w:left="974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3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333-260647, No. 333-280960) and Form S-8 (No. 333-249771) of Allegro MicroSystems, Inc. of our report dated May 21, 2026 relating to the financial statements and the effectiveness of internal control over financial reporting, which appears in this Form 10-K.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903605</wp:posOffset>
            </wp:positionV>
            <wp:extent cx="715899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 Doogue, certify that:</w:t>
      </w:r>
    </w:p>
    <w:p>
      <w:pPr>
        <w:spacing w:after="0" w:line="221" w:lineRule="exact"/>
        <w:rPr>
          <w:sz w:val="20"/>
          <w:szCs w:val="20"/>
          <w:color w:val="auto"/>
        </w:rPr>
      </w:pPr>
    </w:p>
    <w:p>
      <w:pPr>
        <w:ind w:left="380" w:hanging="373"/>
        <w:spacing w:after="0"/>
        <w:tabs>
          <w:tab w:leader="none" w:pos="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March 27, 2026 of Allegro MicroSystems, Inc.;</w:t>
      </w:r>
    </w:p>
    <w:p>
      <w:pPr>
        <w:spacing w:after="0" w:line="220" w:lineRule="exact"/>
        <w:rPr>
          <w:rFonts w:ascii="Times New Roman" w:cs="Times New Roman" w:eastAsia="Times New Roman" w:hAnsi="Times New Roman"/>
          <w:sz w:val="18"/>
          <w:szCs w:val="18"/>
          <w:color w:val="auto"/>
        </w:rPr>
      </w:pPr>
    </w:p>
    <w:p>
      <w:pPr>
        <w:jc w:val="both"/>
        <w:ind w:left="380" w:hanging="373"/>
        <w:spacing w:after="0" w:line="263" w:lineRule="auto"/>
        <w:tabs>
          <w:tab w:leader="none" w:pos="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3"/>
        <w:spacing w:after="0" w:line="278" w:lineRule="auto"/>
        <w:tabs>
          <w:tab w:leader="none" w:pos="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380" w:hanging="373"/>
        <w:spacing w:after="0" w:line="263" w:lineRule="auto"/>
        <w:tabs>
          <w:tab w:leader="none" w:pos="3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60" w:hanging="366"/>
        <w:spacing w:after="0" w:line="263" w:lineRule="auto"/>
        <w:tabs>
          <w:tab w:leader="none" w:pos="54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60" w:hanging="366"/>
        <w:spacing w:after="0" w:line="263" w:lineRule="auto"/>
        <w:tabs>
          <w:tab w:leader="none" w:pos="54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60" w:right="20" w:hanging="366"/>
        <w:spacing w:after="0" w:line="278" w:lineRule="auto"/>
        <w:tabs>
          <w:tab w:leader="none" w:pos="54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560" w:hanging="366"/>
        <w:spacing w:after="0" w:line="263" w:lineRule="auto"/>
        <w:tabs>
          <w:tab w:leader="none" w:pos="54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0" w:hanging="373"/>
        <w:spacing w:after="0" w:line="278" w:lineRule="auto"/>
        <w:tabs>
          <w:tab w:leader="none" w:pos="36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560" w:hanging="366"/>
        <w:spacing w:after="0" w:line="278" w:lineRule="auto"/>
        <w:tabs>
          <w:tab w:leader="none" w:pos="54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560" w:hanging="366"/>
        <w:spacing w:after="0" w:line="278" w:lineRule="auto"/>
        <w:tabs>
          <w:tab w:leader="none" w:pos="54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60"/>
        <w:spacing w:after="0"/>
        <w:tabs>
          <w:tab w:leader="none" w:pos="4300" w:val="left"/>
          <w:tab w:leader="none" w:pos="7720" w:val="left"/>
        </w:tabs>
        <w:rPr>
          <w:sz w:val="20"/>
          <w:szCs w:val="20"/>
          <w:color w:val="auto"/>
        </w:rPr>
      </w:pPr>
      <w:r>
        <w:rPr>
          <w:rFonts w:ascii="Times New Roman" w:cs="Times New Roman" w:eastAsia="Times New Roman" w:hAnsi="Times New Roman"/>
          <w:sz w:val="18"/>
          <w:szCs w:val="18"/>
          <w:color w:val="auto"/>
        </w:rPr>
        <w:t>Date: May 21,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 Doogue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33020</wp:posOffset>
            </wp:positionV>
            <wp:extent cx="34137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5">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54"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Michael C. Doogue</w:t>
      </w:r>
    </w:p>
    <w:p>
      <w:pPr>
        <w:spacing w:after="0" w:line="26"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7"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772795</wp:posOffset>
            </wp:positionV>
            <wp:extent cx="715899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P. D’Antilio, certify that:</w:t>
      </w:r>
    </w:p>
    <w:p>
      <w:pPr>
        <w:spacing w:after="0" w:line="221" w:lineRule="exact"/>
        <w:rPr>
          <w:sz w:val="20"/>
          <w:szCs w:val="20"/>
          <w:color w:val="auto"/>
        </w:rPr>
      </w:pPr>
    </w:p>
    <w:p>
      <w:pPr>
        <w:ind w:left="380" w:hanging="373"/>
        <w:spacing w:after="0"/>
        <w:tabs>
          <w:tab w:leader="none" w:pos="3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March 27, 2026 of Allegro MicroSystems, Inc.;</w:t>
      </w:r>
    </w:p>
    <w:p>
      <w:pPr>
        <w:spacing w:after="0" w:line="220" w:lineRule="exact"/>
        <w:rPr>
          <w:rFonts w:ascii="Times New Roman" w:cs="Times New Roman" w:eastAsia="Times New Roman" w:hAnsi="Times New Roman"/>
          <w:sz w:val="18"/>
          <w:szCs w:val="18"/>
          <w:color w:val="auto"/>
        </w:rPr>
      </w:pPr>
    </w:p>
    <w:p>
      <w:pPr>
        <w:jc w:val="both"/>
        <w:ind w:left="380" w:hanging="373"/>
        <w:spacing w:after="0" w:line="263" w:lineRule="auto"/>
        <w:tabs>
          <w:tab w:leader="none" w:pos="3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3"/>
        <w:spacing w:after="0" w:line="278" w:lineRule="auto"/>
        <w:tabs>
          <w:tab w:leader="none" w:pos="3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380" w:hanging="373"/>
        <w:spacing w:after="0" w:line="263" w:lineRule="auto"/>
        <w:tabs>
          <w:tab w:leader="none" w:pos="3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60" w:hanging="366"/>
        <w:spacing w:after="0" w:line="263" w:lineRule="auto"/>
        <w:tabs>
          <w:tab w:leader="none" w:pos="54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60" w:hanging="366"/>
        <w:spacing w:after="0" w:line="263" w:lineRule="auto"/>
        <w:tabs>
          <w:tab w:leader="none" w:pos="54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60" w:right="20" w:hanging="366"/>
        <w:spacing w:after="0" w:line="278" w:lineRule="auto"/>
        <w:tabs>
          <w:tab w:leader="none" w:pos="54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560" w:hanging="366"/>
        <w:spacing w:after="0" w:line="263" w:lineRule="auto"/>
        <w:tabs>
          <w:tab w:leader="none" w:pos="54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0" w:hanging="373"/>
        <w:spacing w:after="0" w:line="278" w:lineRule="auto"/>
        <w:tabs>
          <w:tab w:leader="none" w:pos="36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560" w:hanging="366"/>
        <w:spacing w:after="0" w:line="278" w:lineRule="auto"/>
        <w:tabs>
          <w:tab w:leader="none" w:pos="54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560" w:hanging="366"/>
        <w:spacing w:after="0" w:line="278" w:lineRule="auto"/>
        <w:tabs>
          <w:tab w:leader="none" w:pos="54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60"/>
        <w:spacing w:after="0"/>
        <w:tabs>
          <w:tab w:leader="none" w:pos="4300" w:val="left"/>
          <w:tab w:leader="none" w:pos="7740" w:val="left"/>
        </w:tabs>
        <w:rPr>
          <w:sz w:val="20"/>
          <w:szCs w:val="20"/>
          <w:color w:val="auto"/>
        </w:rPr>
      </w:pPr>
      <w:r>
        <w:rPr>
          <w:rFonts w:ascii="Times New Roman" w:cs="Times New Roman" w:eastAsia="Times New Roman" w:hAnsi="Times New Roman"/>
          <w:sz w:val="18"/>
          <w:szCs w:val="18"/>
          <w:color w:val="auto"/>
        </w:rPr>
        <w:t>Date: May 21,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P. D’Antilio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33020</wp:posOffset>
            </wp:positionV>
            <wp:extent cx="34137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7">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54"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Derek P. D’Antilio</w:t>
      </w:r>
    </w:p>
    <w:p>
      <w:pPr>
        <w:spacing w:after="0" w:line="26"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7"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755650</wp:posOffset>
            </wp:positionV>
            <wp:extent cx="715899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59" w:name="page160"/>
    <w:bookmarkEnd w:id="159"/>
    <w:p>
      <w:pPr>
        <w:ind w:left="97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3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Annual Report on Form 10-K of Allegro MicroSystems, Inc. (the “Company”) for the fiscal year ended</w:t>
      </w:r>
    </w:p>
    <w:p>
      <w:pPr>
        <w:spacing w:after="0" w:line="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March 27, 2026 as filed with the Securities and Exchange Commission on the date hereof (the "Report"), I certify pursuant to 18 U.S.C. §1350, as adopted pursuant to §906 of the Sarbanes-Oxley Act of 2002, that, to the best of my knowledge:</w:t>
      </w:r>
    </w:p>
    <w:p>
      <w:pPr>
        <w:spacing w:after="0" w:line="182" w:lineRule="exact"/>
        <w:rPr>
          <w:sz w:val="20"/>
          <w:szCs w:val="20"/>
          <w:color w:val="auto"/>
        </w:rPr>
      </w:pPr>
    </w:p>
    <w:p>
      <w:pPr>
        <w:ind w:left="760" w:hanging="753"/>
        <w:spacing w:after="0"/>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0" w:lineRule="exact"/>
        <w:rPr>
          <w:rFonts w:ascii="Times New Roman" w:cs="Times New Roman" w:eastAsia="Times New Roman" w:hAnsi="Times New Roman"/>
          <w:sz w:val="18"/>
          <w:szCs w:val="18"/>
          <w:color w:val="auto"/>
        </w:rPr>
      </w:pPr>
    </w:p>
    <w:p>
      <w:pPr>
        <w:ind w:left="760" w:hanging="753"/>
        <w:spacing w:after="0"/>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4" w:lineRule="exact"/>
        <w:rPr>
          <w:sz w:val="20"/>
          <w:szCs w:val="20"/>
          <w:color w:val="auto"/>
        </w:rPr>
      </w:pPr>
    </w:p>
    <w:p>
      <w:pPr>
        <w:ind w:left="60"/>
        <w:spacing w:after="0"/>
        <w:tabs>
          <w:tab w:leader="none" w:pos="4300" w:val="left"/>
          <w:tab w:leader="none" w:pos="7720" w:val="left"/>
        </w:tabs>
        <w:rPr>
          <w:sz w:val="20"/>
          <w:szCs w:val="20"/>
          <w:color w:val="auto"/>
        </w:rPr>
      </w:pPr>
      <w:r>
        <w:rPr>
          <w:rFonts w:ascii="Times New Roman" w:cs="Times New Roman" w:eastAsia="Times New Roman" w:hAnsi="Times New Roman"/>
          <w:sz w:val="18"/>
          <w:szCs w:val="18"/>
          <w:color w:val="auto"/>
        </w:rPr>
        <w:t>Date: May 21,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 Doogue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33020</wp:posOffset>
            </wp:positionV>
            <wp:extent cx="341376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9">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54"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Michael C. Doogue</w:t>
      </w:r>
    </w:p>
    <w:p>
      <w:pPr>
        <w:spacing w:after="0" w:line="26"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7"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1044575</wp:posOffset>
            </wp:positionV>
            <wp:extent cx="715899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60" w:name="page161"/>
    <w:bookmarkEnd w:id="160"/>
    <w:p>
      <w:pPr>
        <w:ind w:left="974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3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Annual Report on Form 10-K of Allegro MicroSystems, Inc. (the “Company”) for the fiscal year ended</w:t>
      </w:r>
    </w:p>
    <w:p>
      <w:pPr>
        <w:spacing w:after="0" w:line="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March 27, 2026 as filed with the Securities and Exchange Commission on the date hereof (the "Report"), I certify pursuant to 18 U.S.C. §1350, as adopted pursuant to §906 of the Sarbanes-Oxley Act of 2002, that, to the best of my knowledge:</w:t>
      </w:r>
    </w:p>
    <w:p>
      <w:pPr>
        <w:spacing w:after="0" w:line="182" w:lineRule="exact"/>
        <w:rPr>
          <w:sz w:val="20"/>
          <w:szCs w:val="20"/>
          <w:color w:val="auto"/>
        </w:rPr>
      </w:pPr>
    </w:p>
    <w:p>
      <w:pPr>
        <w:ind w:left="760" w:hanging="753"/>
        <w:spacing w:after="0"/>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0" w:lineRule="exact"/>
        <w:rPr>
          <w:rFonts w:ascii="Times New Roman" w:cs="Times New Roman" w:eastAsia="Times New Roman" w:hAnsi="Times New Roman"/>
          <w:sz w:val="18"/>
          <w:szCs w:val="18"/>
          <w:color w:val="auto"/>
        </w:rPr>
      </w:pPr>
    </w:p>
    <w:p>
      <w:pPr>
        <w:ind w:left="760" w:hanging="753"/>
        <w:spacing w:after="0"/>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4" w:lineRule="exact"/>
        <w:rPr>
          <w:sz w:val="20"/>
          <w:szCs w:val="20"/>
          <w:color w:val="auto"/>
        </w:rPr>
      </w:pPr>
    </w:p>
    <w:p>
      <w:pPr>
        <w:ind w:left="60"/>
        <w:spacing w:after="0"/>
        <w:tabs>
          <w:tab w:leader="none" w:pos="4300" w:val="left"/>
          <w:tab w:leader="none" w:pos="7740" w:val="left"/>
        </w:tabs>
        <w:rPr>
          <w:sz w:val="20"/>
          <w:szCs w:val="20"/>
          <w:color w:val="auto"/>
        </w:rPr>
      </w:pPr>
      <w:r>
        <w:rPr>
          <w:rFonts w:ascii="Times New Roman" w:cs="Times New Roman" w:eastAsia="Times New Roman" w:hAnsi="Times New Roman"/>
          <w:sz w:val="18"/>
          <w:szCs w:val="18"/>
          <w:color w:val="auto"/>
        </w:rPr>
        <w:t>Date: May 21,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P. D’Antilio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33020</wp:posOffset>
            </wp:positionV>
            <wp:extent cx="341376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1">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54"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Derek P. D’Antilio</w:t>
      </w:r>
    </w:p>
    <w:p>
      <w:pPr>
        <w:spacing w:after="0" w:line="26"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7"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1027430</wp:posOffset>
            </wp:positionV>
            <wp:extent cx="715899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61" w:name="page162"/>
    <w:bookmarkEnd w:id="1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1)"/>
      <w:numFmt w:val="lowerRoman"/>
      <w:start w:val="4"/>
    </w:lvl>
  </w:abstractNum>
  <w:abstractNum w:abstractNumId="14">
    <w:nsid w:val="579BE4F1"/>
    <w:multiLevelType w:val="hybridMultilevel"/>
    <w:lvl w:ilvl="0">
      <w:lvlJc w:val="left"/>
      <w:lvlText w:val="(%1)"/>
      <w:numFmt w:val="lowerRoman"/>
      <w:start w:val="3"/>
    </w:lvl>
  </w:abstractNum>
  <w:abstractNum w:abstractNumId="15">
    <w:nsid w:val="310C50B3"/>
    <w:multiLevelType w:val="hybridMultilevel"/>
    <w:lvl w:ilvl="0">
      <w:lvlJc w:val="left"/>
      <w:lvlText w:val="(%1)"/>
      <w:numFmt w:val="lowerRoman"/>
      <w:start w:val="10"/>
    </w:lvl>
  </w:abstractNum>
  <w:abstractNum w:abstractNumId="16">
    <w:nsid w:val="5FF87E05"/>
    <w:multiLevelType w:val="hybridMultilevel"/>
    <w:lvl w:ilvl="0">
      <w:lvlJc w:val="left"/>
      <w:lvlText w:val="%1."/>
      <w:numFmt w:val="decimal"/>
      <w:start w:val="1"/>
    </w:lvl>
  </w:abstractNum>
  <w:abstractNum w:abstractNumId="17">
    <w:nsid w:val="2F305DEF"/>
    <w:multiLevelType w:val="hybridMultilevel"/>
    <w:lvl w:ilvl="0">
      <w:lvlJc w:val="left"/>
      <w:lvlText w:val="%1."/>
      <w:numFmt w:val="decimal"/>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1."/>
      <w:numFmt w:val="decimal"/>
      <w:start w:val="1"/>
    </w:lvl>
  </w:abstractNum>
  <w:abstractNum w:abstractNumId="22">
    <w:nsid w:val="1381823A"/>
    <w:multiLevelType w:val="hybridMultilevel"/>
    <w:lvl w:ilvl="0">
      <w:lvlJc w:val="left"/>
      <w:lvlText w:val="%1."/>
      <w:numFmt w:val="decimal"/>
      <w:start w:val="2"/>
    </w:lvl>
  </w:abstractNum>
  <w:abstractNum w:abstractNumId="23">
    <w:nsid w:val="5DB70AE5"/>
    <w:multiLevelType w:val="hybridMultilevel"/>
    <w:lvl w:ilvl="0">
      <w:lvlJc w:val="left"/>
      <w:lvlText w:val="(%1)"/>
      <w:numFmt w:val="decimal"/>
      <w:start w:val="1"/>
    </w:lvl>
  </w:abstractNum>
  <w:abstractNum w:abstractNumId="24">
    <w:nsid w:val="100F8FCA"/>
    <w:multiLevelType w:val="hybridMultilevel"/>
    <w:lvl w:ilvl="0">
      <w:lvlJc w:val="left"/>
      <w:lvlText w:val="%1."/>
      <w:numFmt w:val="decimal"/>
      <w:start w:val="3"/>
    </w:lvl>
  </w:abstractNum>
  <w:abstractNum w:abstractNumId="25">
    <w:nsid w:val="6590700B"/>
    <w:multiLevelType w:val="hybridMultilevel"/>
    <w:lvl w:ilvl="0">
      <w:lvlJc w:val="left"/>
      <w:lvlText w:val="%1."/>
      <w:numFmt w:val="decimal"/>
      <w:start w:val="4"/>
    </w:lvl>
  </w:abstractNum>
  <w:abstractNum w:abstractNumId="26">
    <w:nsid w:val="15014ACB"/>
    <w:multiLevelType w:val="hybridMultilevel"/>
    <w:lvl w:ilvl="0">
      <w:lvlJc w:val="left"/>
      <w:lvlText w:val="%1."/>
      <w:numFmt w:val="decimal"/>
      <w:start w:val="5"/>
    </w:lvl>
  </w:abstractNum>
  <w:abstractNum w:abstractNumId="27">
    <w:nsid w:val="5F5E7FD0"/>
    <w:multiLevelType w:val="hybridMultilevel"/>
    <w:lvl w:ilvl="0">
      <w:lvlJc w:val="left"/>
      <w:lvlText w:val="%1."/>
      <w:numFmt w:val="decimal"/>
      <w:start w:val="7"/>
    </w:lvl>
  </w:abstractNum>
  <w:abstractNum w:abstractNumId="28">
    <w:nsid w:val="98A3148"/>
    <w:multiLevelType w:val="hybridMultilevel"/>
    <w:lvl w:ilvl="0">
      <w:lvlJc w:val="left"/>
      <w:lvlText w:val="%1."/>
      <w:numFmt w:val="decimal"/>
      <w:start w:val="8"/>
    </w:lvl>
  </w:abstractNum>
  <w:abstractNum w:abstractNumId="29">
    <w:nsid w:val="799D0247"/>
    <w:multiLevelType w:val="hybridMultilevel"/>
    <w:lvl w:ilvl="0">
      <w:lvlJc w:val="left"/>
      <w:lvlText w:val="%1."/>
      <w:numFmt w:val="decimal"/>
      <w:start w:val="9"/>
    </w:lvl>
  </w:abstractNum>
  <w:abstractNum w:abstractNumId="30">
    <w:nsid w:val="6B94764"/>
    <w:multiLevelType w:val="hybridMultilevel"/>
    <w:lvl w:ilvl="0">
      <w:lvlJc w:val="left"/>
      <w:lvlText w:val="%1."/>
      <w:numFmt w:val="decimal"/>
      <w:start w:val="10"/>
    </w:lvl>
  </w:abstractNum>
  <w:abstractNum w:abstractNumId="31">
    <w:nsid w:val="42C296BD"/>
    <w:multiLevelType w:val="hybridMultilevel"/>
    <w:lvl w:ilvl="0">
      <w:lvlJc w:val="left"/>
      <w:lvlText w:val="%1."/>
      <w:numFmt w:val="decimal"/>
      <w:start w:val="11"/>
    </w:lvl>
  </w:abstractNum>
  <w:abstractNum w:abstractNumId="32">
    <w:nsid w:val="168E121F"/>
    <w:multiLevelType w:val="hybridMultilevel"/>
    <w:lvl w:ilvl="0">
      <w:lvlJc w:val="left"/>
      <w:lvlText w:val="%1."/>
      <w:numFmt w:val="decimal"/>
      <w:start w:val="12"/>
    </w:lvl>
  </w:abstractNum>
  <w:abstractNum w:abstractNumId="33">
    <w:nsid w:val="1EBA5D23"/>
    <w:multiLevelType w:val="hybridMultilevel"/>
    <w:lvl w:ilvl="0">
      <w:lvlJc w:val="left"/>
      <w:lvlText w:val="%1."/>
      <w:numFmt w:val="decimal"/>
      <w:start w:val="14"/>
    </w:lvl>
  </w:abstractNum>
  <w:abstractNum w:abstractNumId="34">
    <w:nsid w:val="661E3F1E"/>
    <w:multiLevelType w:val="hybridMultilevel"/>
    <w:lvl w:ilvl="0">
      <w:lvlJc w:val="left"/>
      <w:lvlText w:val="%1."/>
      <w:numFmt w:val="decimal"/>
      <w:start w:val="15"/>
    </w:lvl>
  </w:abstractNum>
  <w:abstractNum w:abstractNumId="35">
    <w:nsid w:val="5DC79EA8"/>
    <w:multiLevelType w:val="hybridMultilevel"/>
    <w:lvl w:ilvl="0">
      <w:lvlJc w:val="left"/>
      <w:lvlText w:val="%1."/>
      <w:numFmt w:val="decimal"/>
      <w:start w:val="16"/>
    </w:lvl>
  </w:abstractNum>
  <w:abstractNum w:abstractNumId="36">
    <w:nsid w:val="540A471C"/>
    <w:multiLevelType w:val="hybridMultilevel"/>
    <w:lvl w:ilvl="0">
      <w:lvlJc w:val="left"/>
      <w:lvlText w:val="%1."/>
      <w:numFmt w:val="decimal"/>
      <w:start w:val="17"/>
    </w:lvl>
  </w:abstractNum>
  <w:abstractNum w:abstractNumId="37">
    <w:nsid w:val="7BD3EE7B"/>
    <w:multiLevelType w:val="hybridMultilevel"/>
    <w:lvl w:ilvl="0">
      <w:lvlJc w:val="left"/>
      <w:lvlText w:val="%1."/>
      <w:numFmt w:val="decimal"/>
      <w:start w:val="18"/>
    </w:lvl>
  </w:abstractNum>
  <w:abstractNum w:abstractNumId="38">
    <w:nsid w:val="51D9C564"/>
    <w:multiLevelType w:val="hybridMultilevel"/>
    <w:lvl w:ilvl="0">
      <w:lvlJc w:val="left"/>
      <w:lvlText w:val="%1."/>
      <w:numFmt w:val="decimal"/>
      <w:start w:val="19"/>
    </w:lvl>
  </w:abstractNum>
  <w:abstractNum w:abstractNumId="39">
    <w:nsid w:val="613EFDC5"/>
    <w:multiLevelType w:val="hybridMultilevel"/>
    <w:lvl w:ilvl="0">
      <w:lvlJc w:val="left"/>
      <w:lvlText w:val="%1."/>
      <w:numFmt w:val="decimal"/>
      <w:start w:val="1"/>
    </w:lvl>
  </w:abstractNum>
  <w:abstractNum w:abstractNumId="40">
    <w:nsid w:val="BF72B14"/>
    <w:multiLevelType w:val="hybridMultilevel"/>
    <w:lvl w:ilvl="0">
      <w:lvlJc w:val="left"/>
      <w:lvlText w:val="%1."/>
      <w:numFmt w:val="decimal"/>
      <w:start w:val="20"/>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1."/>
      <w:numFmt w:val="decimal"/>
      <w:start w:val="21"/>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o"/>
      <w:numFmt w:val="bullet"/>
      <w:start w:val="1"/>
    </w:lvl>
  </w:abstractNum>
  <w:abstractNum w:abstractNumId="45">
    <w:nsid w:val="1A32234B"/>
    <w:multiLevelType w:val="hybridMultilevel"/>
    <w:lvl w:ilvl="0">
      <w:lvlJc w:val="left"/>
      <w:lvlText w:val="%1."/>
      <w:numFmt w:val="decimal"/>
      <w:start w:val="1"/>
    </w:lvl>
    <w:lvl w:ilvl="1">
      <w:lvlJc w:val="left"/>
      <w:lvlText w:val="(%2)"/>
      <w:numFmt w:val="lowerLetter"/>
      <w:start w:val="1"/>
    </w:lvl>
  </w:abstractNum>
  <w:abstractNum w:abstractNumId="46">
    <w:nsid w:val="3B0FD379"/>
    <w:multiLevelType w:val="hybridMultilevel"/>
    <w:lvl w:ilvl="0">
      <w:lvlJc w:val="left"/>
      <w:lvlText w:val="%1"/>
      <w:numFmt w:val="decimal"/>
      <w:start w:val="1"/>
    </w:lvl>
    <w:lvl w:ilvl="1">
      <w:lvlJc w:val="left"/>
      <w:lvlText w:val="(%2)"/>
      <w:numFmt w:val="lowerLetter"/>
      <w:start w:val="4"/>
    </w:lvl>
  </w:abstractNum>
  <w:abstractNum w:abstractNumId="47">
    <w:nsid w:val="68EB2F63"/>
    <w:multiLevelType w:val="hybridMultilevel"/>
    <w:lvl w:ilvl="0">
      <w:lvlJc w:val="left"/>
      <w:lvlText w:val="%1."/>
      <w:numFmt w:val="decimal"/>
      <w:start w:val="4"/>
    </w:lvl>
    <w:lvl w:ilvl="1">
      <w:lvlJc w:val="left"/>
      <w:lvlText w:val="(%2)"/>
      <w:numFmt w:val="lowerLetter"/>
      <w:start w:val="1"/>
    </w:lvl>
  </w:abstractNum>
  <w:abstractNum w:abstractNumId="48">
    <w:nsid w:val="4962813B"/>
    <w:multiLevelType w:val="hybridMultilevel"/>
    <w:lvl w:ilvl="0">
      <w:lvlJc w:val="left"/>
      <w:lvlText w:val="(%1)"/>
      <w:numFmt w:val="lowerLetter"/>
      <w:start w:val="3"/>
    </w:lvl>
  </w:abstractNum>
  <w:abstractNum w:abstractNumId="49">
    <w:nsid w:val="60B6DF70"/>
    <w:multiLevelType w:val="hybridMultilevel"/>
    <w:lvl w:ilvl="0">
      <w:lvlJc w:val="left"/>
      <w:lvlText w:val="%1."/>
      <w:numFmt w:val="decimal"/>
      <w:start w:val="5"/>
    </w:lvl>
    <w:lvl w:ilvl="1">
      <w:lvlJc w:val="left"/>
      <w:lvlText w:val="(%2)"/>
      <w:numFmt w:val="lowerLetter"/>
      <w:start w:val="1"/>
    </w:lvl>
  </w:abstractNum>
  <w:abstractNum w:abstractNumId="50">
    <w:nsid w:val="6A5EE64"/>
    <w:multiLevelType w:val="hybridMultilevel"/>
    <w:lvl w:ilvl="0">
      <w:lvlJc w:val="left"/>
      <w:lvlText w:val="(%1)"/>
      <w:numFmt w:val="lowerLetter"/>
      <w:start w:val="3"/>
    </w:lvl>
  </w:abstractNum>
  <w:abstractNum w:abstractNumId="51">
    <w:nsid w:val="14330624"/>
    <w:multiLevelType w:val="hybridMultilevel"/>
    <w:lvl w:ilvl="0">
      <w:lvlJc w:val="left"/>
      <w:lvlText w:val="%1"/>
      <w:numFmt w:val="decimal"/>
      <w:start w:val="1"/>
    </w:lvl>
    <w:lvl w:ilvl="1">
      <w:lvlJc w:val="left"/>
      <w:lvlText w:val="(%2)"/>
      <w:numFmt w:val="lowerLetter"/>
      <w:start w:val="6"/>
    </w:lvl>
  </w:abstractNum>
  <w:abstractNum w:abstractNumId="52">
    <w:nsid w:val="7FFFCA11"/>
    <w:multiLevelType w:val="hybridMultilevel"/>
    <w:lvl w:ilvl="0">
      <w:lvlJc w:val="left"/>
      <w:lvlText w:val="%1."/>
      <w:numFmt w:val="decimal"/>
      <w:start w:val="8"/>
    </w:lvl>
    <w:lvl w:ilvl="1">
      <w:lvlJc w:val="left"/>
      <w:lvlText w:val="%2"/>
      <w:numFmt w:val="lowerLetter"/>
      <w:start w:val="1"/>
    </w:lvl>
  </w:abstractNum>
  <w:abstractNum w:abstractNumId="53">
    <w:nsid w:val="1A27709E"/>
    <w:multiLevelType w:val="hybridMultilevel"/>
    <w:lvl w:ilvl="0">
      <w:lvlJc w:val="left"/>
      <w:lvlText w:val="%1."/>
      <w:numFmt w:val="decimal"/>
      <w:start w:val="12"/>
    </w:lvl>
  </w:abstractNum>
  <w:abstractNum w:abstractNumId="54">
    <w:nsid w:val="71EA1109"/>
    <w:multiLevelType w:val="hybridMultilevel"/>
    <w:lvl w:ilvl="0">
      <w:lvlJc w:val="left"/>
      <w:lvlText w:val="%1."/>
      <w:numFmt w:val="decimal"/>
      <w:start w:val="16"/>
    </w:lvl>
  </w:abstractNum>
  <w:abstractNum w:abstractNumId="55">
    <w:nsid w:val="100F59DC"/>
    <w:multiLevelType w:val="hybridMultilevel"/>
    <w:lvl w:ilvl="0">
      <w:lvlJc w:val="left"/>
      <w:lvlText w:val="%1."/>
      <w:numFmt w:val="decimal"/>
      <w:start w:val="21"/>
    </w:lvl>
  </w:abstractNum>
  <w:abstractNum w:abstractNumId="56">
    <w:nsid w:val="7FB7E0AA"/>
    <w:multiLevelType w:val="hybridMultilevel"/>
    <w:lvl w:ilvl="0">
      <w:lvlJc w:val="left"/>
      <w:lvlText w:val="%1."/>
      <w:numFmt w:val="decimal"/>
      <w:start w:val="27"/>
    </w:lvl>
    <w:lvl w:ilvl="1">
      <w:lvlJc w:val="left"/>
      <w:lvlText w:val="(%2)"/>
      <w:numFmt w:val="lowerLetter"/>
      <w:start w:val="1"/>
    </w:lvl>
  </w:abstractNum>
  <w:abstractNum w:abstractNumId="57">
    <w:nsid w:val="6EB5BD4"/>
    <w:multiLevelType w:val="hybridMultilevel"/>
    <w:lvl w:ilvl="0">
      <w:lvlJc w:val="left"/>
      <w:lvlText w:val="(%1)"/>
      <w:numFmt w:val="lowerRoman"/>
      <w:start w:val="1"/>
    </w:lvl>
  </w:abstractNum>
  <w:abstractNum w:abstractNumId="58">
    <w:nsid w:val="6F6DD9AC"/>
    <w:multiLevelType w:val="hybridMultilevel"/>
    <w:lvl w:ilvl="0">
      <w:lvlJc w:val="left"/>
      <w:lvlText w:val="(%1)"/>
      <w:numFmt w:val="lowerRoman"/>
      <w:start w:val="4"/>
    </w:lvl>
  </w:abstractNum>
  <w:abstractNum w:abstractNumId="59">
    <w:nsid w:val="94211F2"/>
    <w:multiLevelType w:val="hybridMultilevel"/>
    <w:lvl w:ilvl="0">
      <w:lvlJc w:val="left"/>
      <w:lvlText w:val="(%1)"/>
      <w:numFmt w:val="lowerLetter"/>
      <w:start w:val="2"/>
    </w:lvl>
  </w:abstractNum>
  <w:abstractNum w:abstractNumId="60">
    <w:nsid w:val="885E1B"/>
    <w:multiLevelType w:val="hybridMultilevel"/>
    <w:lvl w:ilvl="0">
      <w:lvlJc w:val="left"/>
      <w:lvlText w:val="(%1)"/>
      <w:numFmt w:val="lowerRoman"/>
      <w:start w:val="1"/>
    </w:lvl>
  </w:abstractNum>
  <w:abstractNum w:abstractNumId="61">
    <w:nsid w:val="76272110"/>
    <w:multiLevelType w:val="hybridMultilevel"/>
    <w:lvl w:ilvl="0">
      <w:lvlJc w:val="left"/>
      <w:lvlText w:val="(%1)"/>
      <w:numFmt w:val="lowerRoman"/>
      <w:start w:val="2"/>
    </w:lvl>
  </w:abstractNum>
  <w:abstractNum w:abstractNumId="62">
    <w:nsid w:val="4C04A8AF"/>
    <w:multiLevelType w:val="hybridMultilevel"/>
    <w:lvl w:ilvl="0">
      <w:lvlJc w:val="left"/>
      <w:lvlText w:val="•"/>
      <w:numFmt w:val="bullet"/>
      <w:start w:val="1"/>
    </w:lvl>
  </w:abstractNum>
  <w:abstractNum w:abstractNumId="63">
    <w:nsid w:val="1716703B"/>
    <w:multiLevelType w:val="hybridMultilevel"/>
    <w:lvl w:ilvl="0">
      <w:lvlJc w:val="left"/>
      <w:lvlText w:val="o"/>
      <w:numFmt w:val="bullet"/>
      <w:start w:val="1"/>
    </w:lvl>
  </w:abstractNum>
  <w:abstractNum w:abstractNumId="64">
    <w:nsid w:val="14E17E33"/>
    <w:multiLevelType w:val="hybridMultilevel"/>
    <w:lvl w:ilvl="0">
      <w:lvlJc w:val="left"/>
      <w:lvlText w:val="%1."/>
      <w:numFmt w:val="decimal"/>
      <w:start w:val="1"/>
    </w:lvl>
    <w:lvl w:ilvl="1">
      <w:lvlJc w:val="left"/>
      <w:lvlText w:val="(%2)"/>
      <w:numFmt w:val="lowerLetter"/>
      <w:start w:val="1"/>
    </w:lvl>
  </w:abstractNum>
  <w:abstractNum w:abstractNumId="65">
    <w:nsid w:val="3222E7CD"/>
    <w:multiLevelType w:val="hybridMultilevel"/>
    <w:lvl w:ilvl="0">
      <w:lvlJc w:val="left"/>
      <w:lvlText w:val="%1"/>
      <w:numFmt w:val="decimal"/>
      <w:start w:val="1"/>
    </w:lvl>
    <w:lvl w:ilvl="1">
      <w:lvlJc w:val="left"/>
      <w:lvlText w:val="(%2)"/>
      <w:numFmt w:val="lowerLetter"/>
      <w:start w:val="4"/>
    </w:lvl>
  </w:abstractNum>
  <w:abstractNum w:abstractNumId="66">
    <w:nsid w:val="74DE0EE3"/>
    <w:multiLevelType w:val="hybridMultilevel"/>
    <w:lvl w:ilvl="0">
      <w:lvlJc w:val="left"/>
      <w:lvlText w:val="%1."/>
      <w:numFmt w:val="decimal"/>
      <w:start w:val="4"/>
    </w:lvl>
    <w:lvl w:ilvl="1">
      <w:lvlJc w:val="left"/>
      <w:lvlText w:val="(%2)"/>
      <w:numFmt w:val="lowerLetter"/>
      <w:start w:val="1"/>
    </w:lvl>
  </w:abstractNum>
  <w:abstractNum w:abstractNumId="67">
    <w:nsid w:val="68EBC550"/>
    <w:multiLevelType w:val="hybridMultilevel"/>
    <w:lvl w:ilvl="0">
      <w:lvlJc w:val="left"/>
      <w:lvlText w:val="(%1)"/>
      <w:numFmt w:val="lowerLetter"/>
      <w:start w:val="3"/>
    </w:lvl>
  </w:abstractNum>
  <w:abstractNum w:abstractNumId="68">
    <w:nsid w:val="2DF6D648"/>
    <w:multiLevelType w:val="hybridMultilevel"/>
    <w:lvl w:ilvl="0">
      <w:lvlJc w:val="left"/>
      <w:lvlText w:val="%1."/>
      <w:numFmt w:val="decimal"/>
      <w:start w:val="5"/>
    </w:lvl>
    <w:lvl w:ilvl="1">
      <w:lvlJc w:val="left"/>
      <w:lvlText w:val="(%2)"/>
      <w:numFmt w:val="lowerLetter"/>
      <w:start w:val="1"/>
    </w:lvl>
  </w:abstractNum>
  <w:abstractNum w:abstractNumId="69">
    <w:nsid w:val="46B7D447"/>
    <w:multiLevelType w:val="hybridMultilevel"/>
    <w:lvl w:ilvl="0">
      <w:lvlJc w:val="left"/>
      <w:lvlText w:val="(%1)"/>
      <w:numFmt w:val="lowerLetter"/>
      <w:start w:val="3"/>
    </w:lvl>
  </w:abstractNum>
  <w:abstractNum w:abstractNumId="70">
    <w:nsid w:val="4A2AC315"/>
    <w:multiLevelType w:val="hybridMultilevel"/>
    <w:lvl w:ilvl="0">
      <w:lvlJc w:val="left"/>
      <w:lvlText w:val="%1"/>
      <w:numFmt w:val="decimal"/>
      <w:start w:val="1"/>
    </w:lvl>
    <w:lvl w:ilvl="1">
      <w:lvlJc w:val="left"/>
      <w:lvlText w:val="(%2)"/>
      <w:numFmt w:val="lowerLetter"/>
      <w:start w:val="6"/>
    </w:lvl>
  </w:abstractNum>
  <w:abstractNum w:abstractNumId="71">
    <w:nsid w:val="39EE015C"/>
    <w:multiLevelType w:val="hybridMultilevel"/>
    <w:lvl w:ilvl="0">
      <w:lvlJc w:val="left"/>
      <w:lvlText w:val="%1."/>
      <w:numFmt w:val="decimal"/>
      <w:start w:val="8"/>
    </w:lvl>
    <w:lvl w:ilvl="1">
      <w:lvlJc w:val="left"/>
      <w:lvlText w:val="%2"/>
      <w:numFmt w:val="lowerLetter"/>
      <w:start w:val="1"/>
    </w:lvl>
  </w:abstractNum>
  <w:abstractNum w:abstractNumId="72">
    <w:nsid w:val="57FC4FBB"/>
    <w:multiLevelType w:val="hybridMultilevel"/>
    <w:lvl w:ilvl="0">
      <w:lvlJc w:val="left"/>
      <w:lvlText w:val="%1."/>
      <w:numFmt w:val="decimal"/>
      <w:start w:val="12"/>
    </w:lvl>
  </w:abstractNum>
  <w:abstractNum w:abstractNumId="73">
    <w:nsid w:val="CC1016F"/>
    <w:multiLevelType w:val="hybridMultilevel"/>
    <w:lvl w:ilvl="0">
      <w:lvlJc w:val="left"/>
      <w:lvlText w:val="%1."/>
      <w:numFmt w:val="decimal"/>
      <w:start w:val="16"/>
    </w:lvl>
  </w:abstractNum>
  <w:abstractNum w:abstractNumId="74">
    <w:nsid w:val="43F18422"/>
    <w:multiLevelType w:val="hybridMultilevel"/>
    <w:lvl w:ilvl="0">
      <w:lvlJc w:val="left"/>
      <w:lvlText w:val="%1."/>
      <w:numFmt w:val="decimal"/>
      <w:start w:val="21"/>
    </w:lvl>
  </w:abstractNum>
  <w:abstractNum w:abstractNumId="75">
    <w:nsid w:val="60EF0119"/>
    <w:multiLevelType w:val="hybridMultilevel"/>
    <w:lvl w:ilvl="0">
      <w:lvlJc w:val="left"/>
      <w:lvlText w:val="%1."/>
      <w:numFmt w:val="decimal"/>
      <w:start w:val="27"/>
    </w:lvl>
    <w:lvl w:ilvl="1">
      <w:lvlJc w:val="left"/>
      <w:lvlText w:val="(%2)"/>
      <w:numFmt w:val="lowerLetter"/>
      <w:start w:val="1"/>
    </w:lvl>
  </w:abstractNum>
  <w:abstractNum w:abstractNumId="76">
    <w:nsid w:val="26F324BA"/>
    <w:multiLevelType w:val="hybridMultilevel"/>
    <w:lvl w:ilvl="0">
      <w:lvlJc w:val="left"/>
      <w:lvlText w:val="(%1)"/>
      <w:numFmt w:val="lowerRoman"/>
      <w:start w:val="1"/>
    </w:lvl>
  </w:abstractNum>
  <w:abstractNum w:abstractNumId="77">
    <w:nsid w:val="7F01579B"/>
    <w:multiLevelType w:val="hybridMultilevel"/>
    <w:lvl w:ilvl="0">
      <w:lvlJc w:val="left"/>
      <w:lvlText w:val="(%1)"/>
      <w:numFmt w:val="lowerRoman"/>
      <w:start w:val="4"/>
    </w:lvl>
  </w:abstractNum>
  <w:abstractNum w:abstractNumId="78">
    <w:nsid w:val="49DA307D"/>
    <w:multiLevelType w:val="hybridMultilevel"/>
    <w:lvl w:ilvl="0">
      <w:lvlJc w:val="left"/>
      <w:lvlText w:val="(%1)"/>
      <w:numFmt w:val="lowerLetter"/>
      <w:start w:val="2"/>
    </w:lvl>
  </w:abstractNum>
  <w:abstractNum w:abstractNumId="79">
    <w:nsid w:val="7055A5F5"/>
    <w:multiLevelType w:val="hybridMultilevel"/>
    <w:lvl w:ilvl="0">
      <w:lvlJc w:val="left"/>
      <w:lvlText w:val="(%1)"/>
      <w:numFmt w:val="lowerRoman"/>
      <w:start w:val="1"/>
    </w:lvl>
  </w:abstractNum>
  <w:abstractNum w:abstractNumId="80">
    <w:nsid w:val="5FB8370B"/>
    <w:multiLevelType w:val="hybridMultilevel"/>
    <w:lvl w:ilvl="0">
      <w:lvlJc w:val="left"/>
      <w:lvlText w:val="(%1)"/>
      <w:numFmt w:val="lowerRoman"/>
      <w:start w:val="2"/>
    </w:lvl>
  </w:abstractNum>
  <w:abstractNum w:abstractNumId="81">
    <w:nsid w:val="50801EE1"/>
    <w:multiLevelType w:val="hybridMultilevel"/>
    <w:lvl w:ilvl="0">
      <w:lvlJc w:val="left"/>
      <w:lvlText w:val="•"/>
      <w:numFmt w:val="bullet"/>
      <w:start w:val="1"/>
    </w:lvl>
  </w:abstractNum>
  <w:abstractNum w:abstractNumId="82">
    <w:nsid w:val="488AC1A"/>
    <w:multiLevelType w:val="hybridMultilevel"/>
    <w:lvl w:ilvl="0">
      <w:lvlJc w:val="left"/>
      <w:lvlText w:val="•"/>
      <w:numFmt w:val="bullet"/>
      <w:start w:val="1"/>
    </w:lvl>
    <w:lvl w:ilvl="1">
      <w:lvlJc w:val="left"/>
      <w:lvlText w:val="o"/>
      <w:numFmt w:val="bullet"/>
      <w:start w:val="1"/>
    </w:lvl>
  </w:abstractNum>
  <w:abstractNum w:abstractNumId="83">
    <w:nsid w:val="5FB801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4">
    <w:nsid w:val="6AA78F7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5">
    <w:nsid w:val="7672BD2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6">
    <w:nsid w:val="6FC75AF8"/>
    <w:multiLevelType w:val="hybridMultilevel"/>
    <w:lvl w:ilvl="0">
      <w:lvlJc w:val="left"/>
      <w:lvlText w:val="%1"/>
      <w:numFmt w:val="decimal"/>
      <w:start w:val="1"/>
    </w:lvl>
    <w:lvl w:ilvl="1">
      <w:lvlJc w:val="left"/>
      <w:lvlText w:val="(%2)"/>
      <w:numFmt w:val="lowerRoman"/>
      <w:start w:val="3"/>
    </w:lvl>
  </w:abstractNum>
  <w:abstractNum w:abstractNumId="87">
    <w:nsid w:val="6A5F7029"/>
    <w:multiLevelType w:val="hybridMultilevel"/>
    <w:lvl w:ilvl="0">
      <w:lvlJc w:val="left"/>
      <w:lvlText w:val="%1."/>
      <w:numFmt w:val="decimal"/>
      <w:start w:val="5"/>
    </w:lvl>
    <w:lvl w:ilvl="1">
      <w:lvlJc w:val="left"/>
      <w:lvlText w:val="%2"/>
      <w:numFmt w:val="lowerRoman"/>
      <w:start w:val="1"/>
    </w:lvl>
  </w:abstractNum>
  <w:abstractNum w:abstractNumId="88">
    <w:nsid w:val="7D5E18F8"/>
    <w:multiLevelType w:val="hybridMultilevel"/>
    <w:lvl w:ilvl="0">
      <w:lvlJc w:val="left"/>
      <w:lvlText w:val="%1."/>
      <w:numFmt w:val="decimal"/>
      <w:start w:val="7"/>
    </w:lvl>
    <w:lvl w:ilvl="1">
      <w:lvlJc w:val="left"/>
      <w:lvlText w:val="(%2)"/>
      <w:numFmt w:val="lowerLetter"/>
      <w:start w:val="1"/>
    </w:lvl>
  </w:abstractNum>
  <w:abstractNum w:abstractNumId="89">
    <w:nsid w:val="5F3534A4"/>
    <w:multiLevelType w:val="hybridMultilevel"/>
    <w:lvl w:ilvl="0">
      <w:lvlJc w:val="left"/>
      <w:lvlText w:val="%1"/>
      <w:numFmt w:val="lowerLetter"/>
      <w:start w:val="1"/>
    </w:lvl>
    <w:lvl w:ilvl="1">
      <w:lvlJc w:val="left"/>
      <w:lvlText w:val="(%2)"/>
      <w:numFmt w:val="lowerLetter"/>
      <w:start w:val="8"/>
    </w:lvl>
  </w:abstractNum>
  <w:abstractNum w:abstractNumId="90">
    <w:nsid w:val="73A1821B"/>
    <w:multiLevelType w:val="hybridMultilevel"/>
    <w:lvl w:ilvl="0">
      <w:lvlJc w:val="left"/>
      <w:lvlText w:val="(%1)"/>
      <w:numFmt w:val="lowerLetter"/>
      <w:start w:val="35"/>
    </w:lvl>
    <w:lvl w:ilvl="1">
      <w:lvlJc w:val="left"/>
      <w:lvlText w:val="(%2)"/>
      <w:numFmt w:val="lowerLetter"/>
      <w:start w:val="12"/>
    </w:lvl>
  </w:abstractNum>
  <w:abstractNum w:abstractNumId="91">
    <w:nsid w:val="7DE67713"/>
    <w:multiLevelType w:val="hybridMultilevel"/>
    <w:lvl w:ilvl="0">
      <w:lvlJc w:val="left"/>
      <w:lvlText w:val="%1."/>
      <w:numFmt w:val="decimal"/>
      <w:start w:val="9"/>
    </w:lvl>
  </w:abstractNum>
  <w:abstractNum w:abstractNumId="92">
    <w:nsid w:val="555C55B5"/>
    <w:multiLevelType w:val="hybridMultilevel"/>
    <w:lvl w:ilvl="0">
      <w:lvlJc w:val="left"/>
      <w:lvlText w:val="%1."/>
      <w:numFmt w:val="decimal"/>
      <w:start w:val="11"/>
    </w:lvl>
  </w:abstractNum>
  <w:abstractNum w:abstractNumId="93">
    <w:nsid w:val="3FA62ACA"/>
    <w:multiLevelType w:val="hybridMultilevel"/>
    <w:lvl w:ilvl="0">
      <w:lvlJc w:val="left"/>
      <w:lvlText w:val="%1."/>
      <w:numFmt w:val="decimal"/>
      <w:start w:val="14"/>
    </w:lvl>
  </w:abstractNum>
  <w:abstractNum w:abstractNumId="94">
    <w:nsid w:val="14FCE74E"/>
    <w:multiLevelType w:val="hybridMultilevel"/>
    <w:lvl w:ilvl="0">
      <w:lvlJc w:val="left"/>
      <w:lvlText w:val="%1."/>
      <w:numFmt w:val="decimal"/>
      <w:start w:val="21"/>
    </w:lvl>
    <w:lvl w:ilvl="1">
      <w:lvlJc w:val="left"/>
      <w:lvlText w:val="(%2)"/>
      <w:numFmt w:val="lowerLetter"/>
      <w:start w:val="1"/>
    </w:lvl>
  </w:abstractNum>
  <w:abstractNum w:abstractNumId="95">
    <w:nsid w:val="6A3DD3E8"/>
    <w:multiLevelType w:val="hybridMultilevel"/>
    <w:lvl w:ilvl="0">
      <w:lvlJc w:val="left"/>
      <w:lvlText w:val="(%1)"/>
      <w:numFmt w:val="lowerRoman"/>
      <w:start w:val="1"/>
    </w:lvl>
  </w:abstractNum>
  <w:abstractNum w:abstractNumId="96">
    <w:nsid w:val="71C91298"/>
    <w:multiLevelType w:val="hybridMultilevel"/>
    <w:lvl w:ilvl="0">
      <w:lvlJc w:val="left"/>
      <w:lvlText w:val="%1"/>
      <w:numFmt w:val="lowerLetter"/>
      <w:start w:val="1"/>
    </w:lvl>
    <w:lvl w:ilvl="1">
      <w:lvlJc w:val="left"/>
      <w:lvlText w:val="(%2)"/>
      <w:numFmt w:val="lowerLetter"/>
      <w:start w:val="22"/>
    </w:lvl>
  </w:abstractNum>
  <w:abstractNum w:abstractNumId="97">
    <w:nsid w:val="9DAF632"/>
    <w:multiLevelType w:val="hybridMultilevel"/>
    <w:lvl w:ilvl="0">
      <w:lvlJc w:val="left"/>
      <w:lvlText w:val="(%1)"/>
      <w:numFmt w:val="lowerLetter"/>
      <w:start w:val="2"/>
    </w:lvl>
    <w:lvl w:ilvl="1">
      <w:lvlJc w:val="left"/>
      <w:lvlText w:val="%2"/>
      <w:numFmt w:val="lowerLetter"/>
      <w:start w:val="1"/>
    </w:lvl>
  </w:abstractNum>
  <w:abstractNum w:abstractNumId="98">
    <w:nsid w:val="53299938"/>
    <w:multiLevelType w:val="hybridMultilevel"/>
    <w:lvl w:ilvl="0">
      <w:lvlJc w:val="left"/>
      <w:lvlText w:val="(%1)"/>
      <w:numFmt w:val="lowerRoman"/>
      <w:start w:val="1"/>
    </w:lvl>
  </w:abstractNum>
  <w:abstractNum w:abstractNumId="99">
    <w:nsid w:val="1FBFE8E0"/>
    <w:multiLevelType w:val="hybridMultilevel"/>
    <w:lvl w:ilvl="0">
      <w:lvlJc w:val="left"/>
      <w:lvlText w:val="(%1)"/>
      <w:numFmt w:val="lowerRoman"/>
      <w:start w:val="2"/>
    </w:lvl>
    <w:lvl w:ilvl="1">
      <w:lvlJc w:val="left"/>
      <w:lvlText w:val="*"/>
      <w:numFmt w:val="bullet"/>
      <w:start w:val="1"/>
    </w:lvl>
  </w:abstractNum>
  <w:abstractNum w:abstractNumId="100">
    <w:nsid w:val="5092CA79"/>
    <w:multiLevelType w:val="hybridMultilevel"/>
    <w:lvl w:ilvl="0">
      <w:lvlJc w:val="left"/>
      <w:lvlText w:val="•"/>
      <w:numFmt w:val="bullet"/>
      <w:start w:val="1"/>
    </w:lvl>
  </w:abstractNum>
  <w:abstractNum w:abstractNumId="101">
    <w:nsid w:val="1D545C4D"/>
    <w:multiLevelType w:val="hybridMultilevel"/>
    <w:lvl w:ilvl="0">
      <w:lvlJc w:val="left"/>
      <w:lvlText w:val="(%1)"/>
      <w:numFmt w:val="decimal"/>
      <w:start w:val="2"/>
    </w:lvl>
  </w:abstractNum>
  <w:abstractNum w:abstractNumId="102">
    <w:nsid w:val="59ADEA3D"/>
    <w:multiLevelType w:val="hybridMultilevel"/>
    <w:lvl w:ilvl="0">
      <w:lvlJc w:val="left"/>
      <w:lvlText w:val="•"/>
      <w:numFmt w:val="bullet"/>
      <w:start w:val="1"/>
    </w:lvl>
  </w:abstractNum>
  <w:abstractNum w:abstractNumId="103">
    <w:nsid w:val="288F1A34"/>
    <w:multiLevelType w:val="hybridMultilevel"/>
    <w:lvl w:ilvl="0">
      <w:lvlJc w:val="left"/>
      <w:lvlText w:val="•"/>
      <w:numFmt w:val="bullet"/>
      <w:start w:val="1"/>
    </w:lvl>
  </w:abstractNum>
  <w:abstractNum w:abstractNumId="104">
    <w:nsid w:val="2A155DBC"/>
    <w:multiLevelType w:val="hybridMultilevel"/>
    <w:lvl w:ilvl="0">
      <w:lvlJc w:val="left"/>
      <w:lvlText w:val="•"/>
      <w:numFmt w:val="bullet"/>
      <w:start w:val="1"/>
    </w:lvl>
  </w:abstractNum>
  <w:abstractNum w:abstractNumId="105">
    <w:nsid w:val="1D9F6E5F"/>
    <w:multiLevelType w:val="hybridMultilevel"/>
    <w:lvl w:ilvl="0">
      <w:lvlJc w:val="left"/>
      <w:lvlText w:val="•"/>
      <w:numFmt w:val="bullet"/>
      <w:start w:val="1"/>
    </w:lvl>
    <w:lvl w:ilvl="1">
      <w:lvlJc w:val="left"/>
      <w:lvlText w:val="(%2)"/>
      <w:numFmt w:val="decimal"/>
      <w:start w:val="1"/>
    </w:lvl>
    <w:lvl w:ilvl="2">
      <w:lvlJc w:val="left"/>
      <w:lvlText w:val="o"/>
      <w:numFmt w:val="bullet"/>
      <w:start w:val="1"/>
    </w:lvl>
  </w:abstractNum>
  <w:abstractNum w:abstractNumId="106">
    <w:nsid w:val="97E1B4E"/>
    <w:multiLevelType w:val="hybridMultilevel"/>
    <w:lvl w:ilvl="0">
      <w:lvlJc w:val="left"/>
      <w:lvlText w:val="•"/>
      <w:numFmt w:val="bullet"/>
      <w:start w:val="1"/>
    </w:lvl>
  </w:abstractNum>
  <w:abstractNum w:abstractNumId="107">
    <w:nsid w:val="51088277"/>
    <w:multiLevelType w:val="hybridMultilevel"/>
    <w:lvl w:ilvl="0">
      <w:lvlJc w:val="left"/>
      <w:lvlText w:val="1"/>
      <w:numFmt w:val="bullet"/>
      <w:start w:val="1"/>
    </w:lvl>
  </w:abstractNum>
  <w:abstractNum w:abstractNumId="108">
    <w:nsid w:val="1CA0C5FA"/>
    <w:multiLevelType w:val="hybridMultilevel"/>
    <w:lvl w:ilvl="0">
      <w:lvlJc w:val="left"/>
      <w:lvlText w:val="%1."/>
      <w:numFmt w:val="decimal"/>
      <w:start w:val="1"/>
    </w:lvl>
    <w:lvl w:ilvl="1">
      <w:lvlJc w:val="left"/>
      <w:lvlText w:val="(%2)"/>
      <w:numFmt w:val="lowerLetter"/>
      <w:start w:val="1"/>
    </w:lvl>
  </w:abstractNum>
  <w:abstractNum w:abstractNumId="109">
    <w:nsid w:val="53584BCB"/>
    <w:multiLevelType w:val="hybridMultilevel"/>
    <w:lvl w:ilvl="0">
      <w:lvlJc w:val="left"/>
      <w:lvlText w:val="%1."/>
      <w:numFmt w:val="decimal"/>
      <w:start w:val="1"/>
    </w:lvl>
    <w:lvl w:ilvl="1">
      <w:lvlJc w:val="left"/>
      <w:lvlText w:val="(%2)"/>
      <w:numFmt w:val="lowerLetter"/>
      <w:start w:val="1"/>
    </w:lvl>
  </w:abstractNum>
  <w:abstractNum w:abstractNumId="110">
    <w:nsid w:val="415E286C"/>
    <w:multiLevelType w:val="hybridMultilevel"/>
    <w:lvl w:ilvl="0">
      <w:lvlJc w:val="left"/>
      <w:lvlText w:val="%1."/>
      <w:numFmt w:val="decimal"/>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9" Type="http://schemas.openxmlformats.org/officeDocument/2006/relationships/image" Target="media/image110.png"/><Relationship Id="rId150" Type="http://schemas.openxmlformats.org/officeDocument/2006/relationships/image" Target="media/image111.png"/><Relationship Id="rId151" Type="http://schemas.openxmlformats.org/officeDocument/2006/relationships/image" Target="media/image112.png"/><Relationship Id="rId152" Type="http://schemas.openxmlformats.org/officeDocument/2006/relationships/image" Target="media/image113.png"/><Relationship Id="rId153" Type="http://schemas.openxmlformats.org/officeDocument/2006/relationships/image" Target="media/image114.png"/><Relationship Id="rId154" Type="http://schemas.openxmlformats.org/officeDocument/2006/relationships/image" Target="media/image115.png"/><Relationship Id="rId155"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png"/><Relationship Id="rId158" Type="http://schemas.openxmlformats.org/officeDocument/2006/relationships/image" Target="media/image119.png"/><Relationship Id="rId159"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64" Type="http://schemas.openxmlformats.org/officeDocument/2006/relationships/image" Target="media/image125.png"/><Relationship Id="rId165" Type="http://schemas.openxmlformats.org/officeDocument/2006/relationships/image" Target="media/image126.png"/><Relationship Id="rId166" Type="http://schemas.openxmlformats.org/officeDocument/2006/relationships/image" Target="media/image127.png"/><Relationship Id="rId167" Type="http://schemas.openxmlformats.org/officeDocument/2006/relationships/image" Target="media/image128.png"/><Relationship Id="rId168" Type="http://schemas.openxmlformats.org/officeDocument/2006/relationships/image" Target="media/image129.png"/><Relationship Id="rId169"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191" Type="http://schemas.openxmlformats.org/officeDocument/2006/relationships/image" Target="media/image152.png"/><Relationship Id="rId192" Type="http://schemas.openxmlformats.org/officeDocument/2006/relationships/image" Target="media/image153.png"/><Relationship Id="rId193"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196"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png"/><Relationship Id="rId199" Type="http://schemas.openxmlformats.org/officeDocument/2006/relationships/image" Target="media/image160.png"/><Relationship Id="rId200" Type="http://schemas.openxmlformats.org/officeDocument/2006/relationships/image" Target="media/image161.png"/><Relationship Id="rId201" Type="http://schemas.openxmlformats.org/officeDocument/2006/relationships/image" Target="media/image162.png"/><Relationship Id="rId202" Type="http://schemas.openxmlformats.org/officeDocument/2006/relationships/image" Target="media/image163.png"/><Relationship Id="rId203" Type="http://schemas.openxmlformats.org/officeDocument/2006/relationships/image" Target="media/image164.png"/><Relationship Id="rId204" Type="http://schemas.openxmlformats.org/officeDocument/2006/relationships/image" Target="media/image165.png"/><Relationship Id="rId205" Type="http://schemas.openxmlformats.org/officeDocument/2006/relationships/image" Target="media/image166.png"/><Relationship Id="rId206" Type="http://schemas.openxmlformats.org/officeDocument/2006/relationships/image" Target="media/image167.png"/><Relationship Id="rId207" Type="http://schemas.openxmlformats.org/officeDocument/2006/relationships/image" Target="media/image168.png"/><Relationship Id="rId208" Type="http://schemas.openxmlformats.org/officeDocument/2006/relationships/image" Target="media/image169.png"/><Relationship Id="rId209" Type="http://schemas.openxmlformats.org/officeDocument/2006/relationships/image" Target="media/image170.png"/><Relationship Id="rId210" Type="http://schemas.openxmlformats.org/officeDocument/2006/relationships/image" Target="media/image171.png"/><Relationship Id="rId211" Type="http://schemas.openxmlformats.org/officeDocument/2006/relationships/image" Target="media/image172.png"/><Relationship Id="rId212" Type="http://schemas.openxmlformats.org/officeDocument/2006/relationships/image" Target="media/image173.png"/><Relationship Id="rId213"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218"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1" Type="http://schemas.openxmlformats.org/officeDocument/2006/relationships/image" Target="media/image182.pn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39" Type="http://schemas.openxmlformats.org/officeDocument/2006/relationships/image" Target="media/image200.png"/><Relationship Id="rId240" Type="http://schemas.openxmlformats.org/officeDocument/2006/relationships/image" Target="media/image201.png"/><Relationship Id="rId241" Type="http://schemas.openxmlformats.org/officeDocument/2006/relationships/image" Target="media/image202.png"/><Relationship Id="rId242" Type="http://schemas.openxmlformats.org/officeDocument/2006/relationships/image" Target="media/image203.png"/><Relationship Id="rId243" Type="http://schemas.openxmlformats.org/officeDocument/2006/relationships/image" Target="media/image204.png"/><Relationship Id="rId244" Type="http://schemas.openxmlformats.org/officeDocument/2006/relationships/image" Target="media/image205.png"/><Relationship Id="rId245" Type="http://schemas.openxmlformats.org/officeDocument/2006/relationships/image" Target="media/image206.png"/><Relationship Id="rId246" Type="http://schemas.openxmlformats.org/officeDocument/2006/relationships/image" Target="media/image207.png"/><Relationship Id="rId247" Type="http://schemas.openxmlformats.org/officeDocument/2006/relationships/image" Target="media/image208.png"/><Relationship Id="rId248" Type="http://schemas.openxmlformats.org/officeDocument/2006/relationships/image" Target="media/image209.png"/><Relationship Id="rId249" Type="http://schemas.openxmlformats.org/officeDocument/2006/relationships/image" Target="media/image210.png"/><Relationship Id="rId250" Type="http://schemas.openxmlformats.org/officeDocument/2006/relationships/image" Target="media/image211.png"/><Relationship Id="rId251" Type="http://schemas.openxmlformats.org/officeDocument/2006/relationships/image" Target="media/image212.png"/><Relationship Id="rId252" Type="http://schemas.openxmlformats.org/officeDocument/2006/relationships/image" Target="media/image213.png"/><Relationship Id="rId253" Type="http://schemas.openxmlformats.org/officeDocument/2006/relationships/image" Target="media/image214.png"/><Relationship Id="rId254" Type="http://schemas.openxmlformats.org/officeDocument/2006/relationships/image" Target="media/image215.png"/><Relationship Id="rId255" Type="http://schemas.openxmlformats.org/officeDocument/2006/relationships/image" Target="media/image216.png"/><Relationship Id="rId256" Type="http://schemas.openxmlformats.org/officeDocument/2006/relationships/image" Target="media/image217.png"/><Relationship Id="rId257" Type="http://schemas.openxmlformats.org/officeDocument/2006/relationships/image" Target="media/image218.png"/><Relationship Id="rId258" Type="http://schemas.openxmlformats.org/officeDocument/2006/relationships/image" Target="media/image219.png"/><Relationship Id="rId259" Type="http://schemas.openxmlformats.org/officeDocument/2006/relationships/image" Target="media/image220.png"/><Relationship Id="rId260" Type="http://schemas.openxmlformats.org/officeDocument/2006/relationships/image" Target="media/image221.png"/><Relationship Id="rId261" Type="http://schemas.openxmlformats.org/officeDocument/2006/relationships/image" Target="media/image222.png"/><Relationship Id="rId262" Type="http://schemas.openxmlformats.org/officeDocument/2006/relationships/image" Target="media/image223.png"/><Relationship Id="rId263" Type="http://schemas.openxmlformats.org/officeDocument/2006/relationships/image" Target="media/image224.png"/><Relationship Id="rId264" Type="http://schemas.openxmlformats.org/officeDocument/2006/relationships/image" Target="media/image225.png"/><Relationship Id="rId265" Type="http://schemas.openxmlformats.org/officeDocument/2006/relationships/image" Target="media/image226.png"/><Relationship Id="rId266" Type="http://schemas.openxmlformats.org/officeDocument/2006/relationships/image" Target="media/image227.png"/><Relationship Id="rId267" Type="http://schemas.openxmlformats.org/officeDocument/2006/relationships/image" Target="media/image228.png"/><Relationship Id="rId268" Type="http://schemas.openxmlformats.org/officeDocument/2006/relationships/image" Target="media/image229.png"/><Relationship Id="rId269" Type="http://schemas.openxmlformats.org/officeDocument/2006/relationships/image" Target="media/image230.png"/><Relationship Id="rId270" Type="http://schemas.openxmlformats.org/officeDocument/2006/relationships/image" Target="media/image231.png"/><Relationship Id="rId271" Type="http://schemas.openxmlformats.org/officeDocument/2006/relationships/image" Target="media/image232.png"/><Relationship Id="rId272" Type="http://schemas.openxmlformats.org/officeDocument/2006/relationships/image" Target="media/image233.png"/><Relationship Id="rId273" Type="http://schemas.openxmlformats.org/officeDocument/2006/relationships/image" Target="media/image234.png"/><Relationship Id="rId274" Type="http://schemas.openxmlformats.org/officeDocument/2006/relationships/image" Target="media/image235.png"/><Relationship Id="rId275" Type="http://schemas.openxmlformats.org/officeDocument/2006/relationships/image" Target="media/image236.png"/><Relationship Id="rId276" Type="http://schemas.openxmlformats.org/officeDocument/2006/relationships/image" Target="media/image237.png"/><Relationship Id="rId277" Type="http://schemas.openxmlformats.org/officeDocument/2006/relationships/image" Target="media/image238.png"/><Relationship Id="rId278" Type="http://schemas.openxmlformats.org/officeDocument/2006/relationships/image" Target="media/image239.png"/><Relationship Id="rId279" Type="http://schemas.openxmlformats.org/officeDocument/2006/relationships/image" Target="media/image240.png"/><Relationship Id="rId280" Type="http://schemas.openxmlformats.org/officeDocument/2006/relationships/image" Target="media/image241.png"/><Relationship Id="rId281" Type="http://schemas.openxmlformats.org/officeDocument/2006/relationships/image" Target="media/image242.png"/><Relationship Id="rId282" Type="http://schemas.openxmlformats.org/officeDocument/2006/relationships/image" Target="media/image243.png"/><Relationship Id="rId283" Type="http://schemas.openxmlformats.org/officeDocument/2006/relationships/image" Target="media/image244.png"/><Relationship Id="rId284" Type="http://schemas.openxmlformats.org/officeDocument/2006/relationships/image" Target="media/image245.png"/><Relationship Id="rId285" Type="http://schemas.openxmlformats.org/officeDocument/2006/relationships/image" Target="media/image246.png"/><Relationship Id="rId286" Type="http://schemas.openxmlformats.org/officeDocument/2006/relationships/image" Target="media/image247.png"/><Relationship Id="rId287" Type="http://schemas.openxmlformats.org/officeDocument/2006/relationships/image" Target="media/image248.png"/><Relationship Id="rId288" Type="http://schemas.openxmlformats.org/officeDocument/2006/relationships/image" Target="media/image249.png"/><Relationship Id="rId289" Type="http://schemas.openxmlformats.org/officeDocument/2006/relationships/image" Target="media/image250.png"/><Relationship Id="rId290" Type="http://schemas.openxmlformats.org/officeDocument/2006/relationships/image" Target="media/image251.png"/><Relationship Id="rId291" Type="http://schemas.openxmlformats.org/officeDocument/2006/relationships/image" Target="media/image252.png"/><Relationship Id="rId292" Type="http://schemas.openxmlformats.org/officeDocument/2006/relationships/image" Target="media/image253.png"/><Relationship Id="rId293" Type="http://schemas.openxmlformats.org/officeDocument/2006/relationships/image" Target="media/image254.png"/><Relationship Id="rId294" Type="http://schemas.openxmlformats.org/officeDocument/2006/relationships/image" Target="media/image255.png"/><Relationship Id="rId295" Type="http://schemas.openxmlformats.org/officeDocument/2006/relationships/image" Target="media/image256.png"/><Relationship Id="rId296" Type="http://schemas.openxmlformats.org/officeDocument/2006/relationships/image" Target="media/image257.png"/><Relationship Id="rId297" Type="http://schemas.openxmlformats.org/officeDocument/2006/relationships/image" Target="media/image258.png"/><Relationship Id="rId298" Type="http://schemas.openxmlformats.org/officeDocument/2006/relationships/image" Target="media/image259.png"/><Relationship Id="rId299" Type="http://schemas.openxmlformats.org/officeDocument/2006/relationships/image" Target="media/image260.png"/><Relationship Id="rId300" Type="http://schemas.openxmlformats.org/officeDocument/2006/relationships/image" Target="media/image261.png"/><Relationship Id="rId301" Type="http://schemas.openxmlformats.org/officeDocument/2006/relationships/image" Target="media/image262.png"/><Relationship Id="rId302" Type="http://schemas.openxmlformats.org/officeDocument/2006/relationships/image" Target="media/image263.png"/><Relationship Id="rId303" Type="http://schemas.openxmlformats.org/officeDocument/2006/relationships/image" Target="media/image264.png"/><Relationship Id="rId304" Type="http://schemas.openxmlformats.org/officeDocument/2006/relationships/image" Target="media/image265.png"/><Relationship Id="rId305" Type="http://schemas.openxmlformats.org/officeDocument/2006/relationships/image" Target="media/image266.png"/><Relationship Id="rId306" Type="http://schemas.openxmlformats.org/officeDocument/2006/relationships/image" Target="media/image267.png"/><Relationship Id="rId307" Type="http://schemas.openxmlformats.org/officeDocument/2006/relationships/image" Target="media/image268.png"/><Relationship Id="rId308" Type="http://schemas.openxmlformats.org/officeDocument/2006/relationships/image" Target="media/image269.png"/><Relationship Id="rId309" Type="http://schemas.openxmlformats.org/officeDocument/2006/relationships/image" Target="media/image270.png"/><Relationship Id="rId310" Type="http://schemas.openxmlformats.org/officeDocument/2006/relationships/image" Target="media/image271.png"/><Relationship Id="rId311" Type="http://schemas.openxmlformats.org/officeDocument/2006/relationships/image" Target="media/image272.png"/><Relationship Id="rId312" Type="http://schemas.openxmlformats.org/officeDocument/2006/relationships/image" Target="media/image273.png"/><Relationship Id="rId313" Type="http://schemas.openxmlformats.org/officeDocument/2006/relationships/image" Target="media/image274.png"/><Relationship Id="rId314" Type="http://schemas.openxmlformats.org/officeDocument/2006/relationships/image" Target="media/image275.png"/><Relationship Id="rId315" Type="http://schemas.openxmlformats.org/officeDocument/2006/relationships/image" Target="media/image276.png"/><Relationship Id="rId316" Type="http://schemas.openxmlformats.org/officeDocument/2006/relationships/image" Target="media/image277.png"/><Relationship Id="rId317" Type="http://schemas.openxmlformats.org/officeDocument/2006/relationships/image" Target="media/image278.png"/><Relationship Id="rId318" Type="http://schemas.openxmlformats.org/officeDocument/2006/relationships/image" Target="media/image279.png"/><Relationship Id="rId319" Type="http://schemas.openxmlformats.org/officeDocument/2006/relationships/image" Target="media/image280.png"/><Relationship Id="rId320" Type="http://schemas.openxmlformats.org/officeDocument/2006/relationships/image" Target="media/image281.png"/><Relationship Id="rId321" Type="http://schemas.openxmlformats.org/officeDocument/2006/relationships/image" Target="media/image282.png"/><Relationship Id="rId322" Type="http://schemas.openxmlformats.org/officeDocument/2006/relationships/image" Target="media/image283.png"/><Relationship Id="rId323" Type="http://schemas.openxmlformats.org/officeDocument/2006/relationships/image" Target="media/image284.png"/><Relationship Id="rId324" Type="http://schemas.openxmlformats.org/officeDocument/2006/relationships/image" Target="media/image285.png"/><Relationship Id="rId325" Type="http://schemas.openxmlformats.org/officeDocument/2006/relationships/image" Target="media/image286.png"/><Relationship Id="rId326" Type="http://schemas.openxmlformats.org/officeDocument/2006/relationships/image" Target="media/image287.png"/><Relationship Id="rId327" Type="http://schemas.openxmlformats.org/officeDocument/2006/relationships/image" Target="media/image288.png"/><Relationship Id="rId328" Type="http://schemas.openxmlformats.org/officeDocument/2006/relationships/image" Target="media/image289.png"/><Relationship Id="rId329" Type="http://schemas.openxmlformats.org/officeDocument/2006/relationships/image" Target="media/image290.png"/><Relationship Id="rId330" Type="http://schemas.openxmlformats.org/officeDocument/2006/relationships/image" Target="media/image291.png"/><Relationship Id="rId331" Type="http://schemas.openxmlformats.org/officeDocument/2006/relationships/image" Target="media/image292.png"/><Relationship Id="rId332" Type="http://schemas.openxmlformats.org/officeDocument/2006/relationships/image" Target="media/image293.png"/><Relationship Id="rId333" Type="http://schemas.openxmlformats.org/officeDocument/2006/relationships/image" Target="media/image294.png"/><Relationship Id="rId334" Type="http://schemas.openxmlformats.org/officeDocument/2006/relationships/image" Target="media/image295.png"/><Relationship Id="rId335" Type="http://schemas.openxmlformats.org/officeDocument/2006/relationships/image" Target="media/image296.png"/><Relationship Id="rId336" Type="http://schemas.openxmlformats.org/officeDocument/2006/relationships/image" Target="media/image297.png"/><Relationship Id="rId337" Type="http://schemas.openxmlformats.org/officeDocument/2006/relationships/image" Target="media/image298.png"/><Relationship Id="rId338" Type="http://schemas.openxmlformats.org/officeDocument/2006/relationships/image" Target="media/image299.png"/><Relationship Id="rId339" Type="http://schemas.openxmlformats.org/officeDocument/2006/relationships/image" Target="media/image300.png"/><Relationship Id="rId340" Type="http://schemas.openxmlformats.org/officeDocument/2006/relationships/image" Target="media/image301.png"/><Relationship Id="rId341" Type="http://schemas.openxmlformats.org/officeDocument/2006/relationships/image" Target="media/image302.png"/><Relationship Id="rId342" Type="http://schemas.openxmlformats.org/officeDocument/2006/relationships/image" Target="media/image303.png"/><Relationship Id="rId343" Type="http://schemas.openxmlformats.org/officeDocument/2006/relationships/image" Target="media/image304.png"/><Relationship Id="rId344" Type="http://schemas.openxmlformats.org/officeDocument/2006/relationships/image" Target="media/image305.png"/><Relationship Id="rId345" Type="http://schemas.openxmlformats.org/officeDocument/2006/relationships/image" Target="media/image306.png"/><Relationship Id="rId346" Type="http://schemas.openxmlformats.org/officeDocument/2006/relationships/image" Target="media/image307.png"/><Relationship Id="rId347" Type="http://schemas.openxmlformats.org/officeDocument/2006/relationships/image" Target="media/image308.png"/><Relationship Id="rId348" Type="http://schemas.openxmlformats.org/officeDocument/2006/relationships/image" Target="media/image309.png"/><Relationship Id="rId349" Type="http://schemas.openxmlformats.org/officeDocument/2006/relationships/image" Target="media/image310.png"/><Relationship Id="rId350" Type="http://schemas.openxmlformats.org/officeDocument/2006/relationships/image" Target="media/image311.png"/><Relationship Id="rId351" Type="http://schemas.openxmlformats.org/officeDocument/2006/relationships/image" Target="media/image312.png"/><Relationship Id="rId352" Type="http://schemas.openxmlformats.org/officeDocument/2006/relationships/image" Target="media/image313.png"/><Relationship Id="rId353" Type="http://schemas.openxmlformats.org/officeDocument/2006/relationships/image" Target="media/image314.png"/><Relationship Id="rId354" Type="http://schemas.openxmlformats.org/officeDocument/2006/relationships/image" Target="media/image315.png"/><Relationship Id="rId355" Type="http://schemas.openxmlformats.org/officeDocument/2006/relationships/image" Target="media/image316.png"/><Relationship Id="rId356" Type="http://schemas.openxmlformats.org/officeDocument/2006/relationships/image" Target="media/image317.png"/><Relationship Id="rId357" Type="http://schemas.openxmlformats.org/officeDocument/2006/relationships/image" Target="media/image318.png"/><Relationship Id="rId358" Type="http://schemas.openxmlformats.org/officeDocument/2006/relationships/image" Target="media/image319.png"/><Relationship Id="rId359" Type="http://schemas.openxmlformats.org/officeDocument/2006/relationships/image" Target="media/image320.png"/><Relationship Id="rId360" Type="http://schemas.openxmlformats.org/officeDocument/2006/relationships/image" Target="media/image321.png"/><Relationship Id="rId361" Type="http://schemas.openxmlformats.org/officeDocument/2006/relationships/image" Target="media/image322.png"/><Relationship Id="rId362" Type="http://schemas.openxmlformats.org/officeDocument/2006/relationships/image" Target="media/image323.png"/><Relationship Id="rId363" Type="http://schemas.openxmlformats.org/officeDocument/2006/relationships/image" Target="media/image324.png"/><Relationship Id="rId364" Type="http://schemas.openxmlformats.org/officeDocument/2006/relationships/image" Target="media/image325.png"/><Relationship Id="rId365" Type="http://schemas.openxmlformats.org/officeDocument/2006/relationships/image" Target="media/image326.png"/><Relationship Id="rId366" Type="http://schemas.openxmlformats.org/officeDocument/2006/relationships/image" Target="media/image327.png"/><Relationship Id="rId367" Type="http://schemas.openxmlformats.org/officeDocument/2006/relationships/image" Target="media/image328.png"/><Relationship Id="rId368" Type="http://schemas.openxmlformats.org/officeDocument/2006/relationships/image" Target="media/image329.png"/><Relationship Id="rId369" Type="http://schemas.openxmlformats.org/officeDocument/2006/relationships/image" Target="media/image330.png"/><Relationship Id="rId370" Type="http://schemas.openxmlformats.org/officeDocument/2006/relationships/image" Target="media/image331.png"/><Relationship Id="rId371" Type="http://schemas.openxmlformats.org/officeDocument/2006/relationships/image" Target="media/image332.png"/><Relationship Id="rId372" Type="http://schemas.openxmlformats.org/officeDocument/2006/relationships/image" Target="media/image333.png"/><Relationship Id="rId373" Type="http://schemas.openxmlformats.org/officeDocument/2006/relationships/image" Target="media/image334.png"/><Relationship Id="rId374" Type="http://schemas.openxmlformats.org/officeDocument/2006/relationships/image" Target="media/image335.png"/><Relationship Id="rId375" Type="http://schemas.openxmlformats.org/officeDocument/2006/relationships/image" Target="media/image336.png"/><Relationship Id="rId376" Type="http://schemas.openxmlformats.org/officeDocument/2006/relationships/image" Target="media/image337.png"/><Relationship Id="rId377" Type="http://schemas.openxmlformats.org/officeDocument/2006/relationships/image" Target="media/image338.png"/><Relationship Id="rId378" Type="http://schemas.openxmlformats.org/officeDocument/2006/relationships/image" Target="media/image339.png"/><Relationship Id="rId379" Type="http://schemas.openxmlformats.org/officeDocument/2006/relationships/image" Target="media/image340.png"/><Relationship Id="rId380" Type="http://schemas.openxmlformats.org/officeDocument/2006/relationships/image" Target="media/image341.png"/><Relationship Id="rId381" Type="http://schemas.openxmlformats.org/officeDocument/2006/relationships/image" Target="media/image342.png"/><Relationship Id="rId382" Type="http://schemas.openxmlformats.org/officeDocument/2006/relationships/image" Target="media/image343.png"/><Relationship Id="rId383" Type="http://schemas.openxmlformats.org/officeDocument/2006/relationships/image" Target="media/image344.png"/><Relationship Id="rId384" Type="http://schemas.openxmlformats.org/officeDocument/2006/relationships/image" Target="media/image345.png"/><Relationship Id="rId385" Type="http://schemas.openxmlformats.org/officeDocument/2006/relationships/image" Target="media/image346.png"/><Relationship Id="rId386" Type="http://schemas.openxmlformats.org/officeDocument/2006/relationships/image" Target="media/image347.png"/><Relationship Id="rId387" Type="http://schemas.openxmlformats.org/officeDocument/2006/relationships/image" Target="media/image348.png"/><Relationship Id="rId388" Type="http://schemas.openxmlformats.org/officeDocument/2006/relationships/image" Target="media/image349.png"/><Relationship Id="rId389" Type="http://schemas.openxmlformats.org/officeDocument/2006/relationships/image" Target="media/image350.png"/><Relationship Id="rId390" Type="http://schemas.openxmlformats.org/officeDocument/2006/relationships/image" Target="media/image351.png"/><Relationship Id="rId391" Type="http://schemas.openxmlformats.org/officeDocument/2006/relationships/image" Target="media/image352.png"/><Relationship Id="rId392" Type="http://schemas.openxmlformats.org/officeDocument/2006/relationships/image" Target="media/image353.png"/><Relationship Id="rId393" Type="http://schemas.openxmlformats.org/officeDocument/2006/relationships/image" Target="media/image354.png"/><Relationship Id="rId394" Type="http://schemas.openxmlformats.org/officeDocument/2006/relationships/image" Target="media/image355.png"/><Relationship Id="rId395" Type="http://schemas.openxmlformats.org/officeDocument/2006/relationships/image" Target="media/image356.png"/><Relationship Id="rId396" Type="http://schemas.openxmlformats.org/officeDocument/2006/relationships/image" Target="media/image357.png"/><Relationship Id="rId397" Type="http://schemas.openxmlformats.org/officeDocument/2006/relationships/image" Target="media/image358.png"/><Relationship Id="rId398" Type="http://schemas.openxmlformats.org/officeDocument/2006/relationships/image" Target="media/image359.png"/><Relationship Id="rId399" Type="http://schemas.openxmlformats.org/officeDocument/2006/relationships/image" Target="media/image360.png"/><Relationship Id="rId400" Type="http://schemas.openxmlformats.org/officeDocument/2006/relationships/image" Target="media/image361.png"/><Relationship Id="rId401" Type="http://schemas.openxmlformats.org/officeDocument/2006/relationships/image" Target="media/image362.png"/><Relationship Id="rId402" Type="http://schemas.openxmlformats.org/officeDocument/2006/relationships/image" Target="media/image363.png"/><Relationship Id="rId403" Type="http://schemas.openxmlformats.org/officeDocument/2006/relationships/image" Target="media/image364.png"/><Relationship Id="rId404" Type="http://schemas.openxmlformats.org/officeDocument/2006/relationships/image" Target="media/image365.png"/><Relationship Id="rId405" Type="http://schemas.openxmlformats.org/officeDocument/2006/relationships/image" Target="media/image366.png"/><Relationship Id="rId406" Type="http://schemas.openxmlformats.org/officeDocument/2006/relationships/image" Target="media/image367.png"/><Relationship Id="rId407" Type="http://schemas.openxmlformats.org/officeDocument/2006/relationships/image" Target="media/image368.png"/><Relationship Id="rId408" Type="http://schemas.openxmlformats.org/officeDocument/2006/relationships/image" Target="media/image369.png"/><Relationship Id="rId409" Type="http://schemas.openxmlformats.org/officeDocument/2006/relationships/image" Target="media/image370.png"/><Relationship Id="rId410" Type="http://schemas.openxmlformats.org/officeDocument/2006/relationships/image" Target="media/image371.png"/><Relationship Id="rId411" Type="http://schemas.openxmlformats.org/officeDocument/2006/relationships/image" Target="media/image372.png"/><Relationship Id="rId412" Type="http://schemas.openxmlformats.org/officeDocument/2006/relationships/image" Target="media/image373.png"/><Relationship Id="rId413" Type="http://schemas.openxmlformats.org/officeDocument/2006/relationships/image" Target="media/image374.png"/><Relationship Id="rId414" Type="http://schemas.openxmlformats.org/officeDocument/2006/relationships/image" Target="media/image375.png"/><Relationship Id="rId415" Type="http://schemas.openxmlformats.org/officeDocument/2006/relationships/image" Target="media/image376.png"/><Relationship Id="rId416" Type="http://schemas.openxmlformats.org/officeDocument/2006/relationships/image" Target="media/image377.png"/><Relationship Id="rId417" Type="http://schemas.openxmlformats.org/officeDocument/2006/relationships/image" Target="media/image378.png"/><Relationship Id="rId418" Type="http://schemas.openxmlformats.org/officeDocument/2006/relationships/image" Target="media/image379.png"/><Relationship Id="rId419" Type="http://schemas.openxmlformats.org/officeDocument/2006/relationships/image" Target="media/image380.png"/><Relationship Id="rId420" Type="http://schemas.openxmlformats.org/officeDocument/2006/relationships/image" Target="media/image381.png"/><Relationship Id="rId421" Type="http://schemas.openxmlformats.org/officeDocument/2006/relationships/image" Target="media/image382.png"/><Relationship Id="rId422" Type="http://schemas.openxmlformats.org/officeDocument/2006/relationships/image" Target="media/image383.png"/><Relationship Id="rId423" Type="http://schemas.openxmlformats.org/officeDocument/2006/relationships/image" Target="media/image384.png"/><Relationship Id="rId424" Type="http://schemas.openxmlformats.org/officeDocument/2006/relationships/image" Target="media/image385.png"/><Relationship Id="rId425" Type="http://schemas.openxmlformats.org/officeDocument/2006/relationships/image" Target="media/image386.png"/><Relationship Id="rId426" Type="http://schemas.openxmlformats.org/officeDocument/2006/relationships/image" Target="media/image387.png"/><Relationship Id="rId427" Type="http://schemas.openxmlformats.org/officeDocument/2006/relationships/image" Target="media/image388.png"/><Relationship Id="rId428" Type="http://schemas.openxmlformats.org/officeDocument/2006/relationships/image" Target="media/image389.png"/><Relationship Id="rId429" Type="http://schemas.openxmlformats.org/officeDocument/2006/relationships/image" Target="media/image390.png"/><Relationship Id="rId430" Type="http://schemas.openxmlformats.org/officeDocument/2006/relationships/image" Target="media/image391.png"/><Relationship Id="rId431" Type="http://schemas.openxmlformats.org/officeDocument/2006/relationships/image" Target="media/image392.png"/><Relationship Id="rId432" Type="http://schemas.openxmlformats.org/officeDocument/2006/relationships/image" Target="media/image393.png"/><Relationship Id="rId433" Type="http://schemas.openxmlformats.org/officeDocument/2006/relationships/image" Target="media/image394.png"/><Relationship Id="rId434" Type="http://schemas.openxmlformats.org/officeDocument/2006/relationships/image" Target="media/image395.png"/><Relationship Id="rId435" Type="http://schemas.openxmlformats.org/officeDocument/2006/relationships/image" Target="media/image396.png"/><Relationship Id="rId436" Type="http://schemas.openxmlformats.org/officeDocument/2006/relationships/image" Target="media/image397.png"/><Relationship Id="rId437" Type="http://schemas.openxmlformats.org/officeDocument/2006/relationships/image" Target="media/image398.png"/><Relationship Id="rId438" Type="http://schemas.openxmlformats.org/officeDocument/2006/relationships/image" Target="media/image399.png"/><Relationship Id="rId439" Type="http://schemas.openxmlformats.org/officeDocument/2006/relationships/image" Target="media/image400.png"/><Relationship Id="rId440" Type="http://schemas.openxmlformats.org/officeDocument/2006/relationships/image" Target="media/image401.png"/><Relationship Id="rId441" Type="http://schemas.openxmlformats.org/officeDocument/2006/relationships/image" Target="media/image402.png"/><Relationship Id="rId442" Type="http://schemas.openxmlformats.org/officeDocument/2006/relationships/image" Target="media/image403.png"/><Relationship Id="rId443" Type="http://schemas.openxmlformats.org/officeDocument/2006/relationships/image" Target="media/image404.png"/><Relationship Id="rId444" Type="http://schemas.openxmlformats.org/officeDocument/2006/relationships/image" Target="media/image405.png"/><Relationship Id="rId445" Type="http://schemas.openxmlformats.org/officeDocument/2006/relationships/image" Target="media/image406.png"/><Relationship Id="rId446" Type="http://schemas.openxmlformats.org/officeDocument/2006/relationships/image" Target="media/image407.png"/><Relationship Id="rId447" Type="http://schemas.openxmlformats.org/officeDocument/2006/relationships/image" Target="media/image408.png"/><Relationship Id="rId448" Type="http://schemas.openxmlformats.org/officeDocument/2006/relationships/image" Target="media/image409.png"/><Relationship Id="rId449" Type="http://schemas.openxmlformats.org/officeDocument/2006/relationships/image" Target="media/image410.png"/><Relationship Id="rId450" Type="http://schemas.openxmlformats.org/officeDocument/2006/relationships/image" Target="media/image411.png"/><Relationship Id="rId451" Type="http://schemas.openxmlformats.org/officeDocument/2006/relationships/image" Target="media/image412.png"/><Relationship Id="rId452" Type="http://schemas.openxmlformats.org/officeDocument/2006/relationships/image" Target="media/image413.png"/><Relationship Id="rId113" Type="http://schemas.openxmlformats.org/officeDocument/2006/relationships/hyperlink" Target="https://www.sec.gov/Archives/edgar/data/866291/000119312520283961/d23499dex31.htm" TargetMode="External"/><Relationship Id="rId114" Type="http://schemas.openxmlformats.org/officeDocument/2006/relationships/hyperlink" Target="https://www.sec.gov/Archives/edgar/data/866291/000086629123000017/algmq4fy23ex32.htm" TargetMode="External"/><Relationship Id="rId115" Type="http://schemas.openxmlformats.org/officeDocument/2006/relationships/hyperlink" Target="https://www.sec.gov/Archives/edgar/data/866291/000119312520273413/d38154dex41.htm" TargetMode="External"/><Relationship Id="rId116" Type="http://schemas.openxmlformats.org/officeDocument/2006/relationships/hyperlink" Target="https://www.sec.gov/Archives/edgar/data/866291/000095010324010519/dp214872_ex1002.htm" TargetMode="External"/><Relationship Id="rId117" Type="http://schemas.openxmlformats.org/officeDocument/2006/relationships/hyperlink" Target="https://www.sec.gov/Archives/edgar/data/866291/000119312520283961/d23499dex101.htm" TargetMode="External"/><Relationship Id="rId118" Type="http://schemas.openxmlformats.org/officeDocument/2006/relationships/hyperlink" Target="https://www.sec.gov/Archives/edgar/data/866291/000086629121000020/algmq4fy21ex44.htm" TargetMode="External"/><Relationship Id="rId119" Type="http://schemas.openxmlformats.org/officeDocument/2006/relationships/hyperlink" Target="https://www.sec.gov/Archives/edgar/data/866291/000086629121000048/exhibit43.htm" TargetMode="External"/><Relationship Id="rId120" Type="http://schemas.openxmlformats.org/officeDocument/2006/relationships/hyperlink" Target="https://www.sec.gov/Archives/edgar/data/866291/000119312520264848/d38154dex1020.htm" TargetMode="External"/><Relationship Id="rId121" Type="http://schemas.openxmlformats.org/officeDocument/2006/relationships/hyperlink" Target="https://www.sec.gov/Archives/edgar/data/866291/000119312520264848/d38154dex1021.htm" TargetMode="External"/><Relationship Id="rId122" Type="http://schemas.openxmlformats.org/officeDocument/2006/relationships/hyperlink" Target="https://www.sec.gov/Archives/edgar/data/866291/000119312520264848/d38154dex1022.htm" TargetMode="External"/><Relationship Id="rId123" Type="http://schemas.openxmlformats.org/officeDocument/2006/relationships/hyperlink" Target="https://www.sec.gov/Archives/edgar/data/866291/000119312520264848/d38154dex1023.htm" TargetMode="External"/><Relationship Id="rId124" Type="http://schemas.openxmlformats.org/officeDocument/2006/relationships/hyperlink" Target="https://www.sec.gov/Archives/edgar/data/866291/000119312520268455/d38154dex1030.htm" TargetMode="External"/><Relationship Id="rId125" Type="http://schemas.openxmlformats.org/officeDocument/2006/relationships/hyperlink" Target="https://www.sec.gov/Archives/edgar/data/866291/000119312526030636/algm-ex10_2.htm" TargetMode="External"/><Relationship Id="rId126" Type="http://schemas.openxmlformats.org/officeDocument/2006/relationships/hyperlink" Target="https://www.sec.gov/Archives/edgar/data/866291/000095017024063770/algm-ex10_7.htm" TargetMode="External"/><Relationship Id="rId127" Type="http://schemas.openxmlformats.org/officeDocument/2006/relationships/hyperlink" Target="https://www.sec.gov/Archives/edgar/data/866291/000095017024063770/algm-ex10_8.htm" TargetMode="External"/><Relationship Id="rId130" Type="http://schemas.openxmlformats.org/officeDocument/2006/relationships/hyperlink" Target="https://www.sec.gov/Archives/edgar/data/866291/000119312520273413/d38154dex1034.htm" TargetMode="External"/><Relationship Id="rId131" Type="http://schemas.openxmlformats.org/officeDocument/2006/relationships/hyperlink" Target="https://www.sec.gov/Archives/edgar/data/866291/000119312520282732/d35634dex995.htm" TargetMode="External"/><Relationship Id="rId132" Type="http://schemas.openxmlformats.org/officeDocument/2006/relationships/hyperlink" Target="https://www.sec.gov/Archives/edgar/data/866291/000086629123000017/algmq4fy23ex1032.htm" TargetMode="External"/><Relationship Id="rId133" Type="http://schemas.openxmlformats.org/officeDocument/2006/relationships/hyperlink" Target="https://www.sec.gov/Archives/edgar/data/866291/000095017025076059/algm-ex10_14.htm" TargetMode="External"/><Relationship Id="rId134" Type="http://schemas.openxmlformats.org/officeDocument/2006/relationships/hyperlink" Target="https://www.sec.gov/Archives/edgar/data/866291/000119312526030636/algm-ex10_1.htm" TargetMode="External"/><Relationship Id="rId135" Type="http://schemas.openxmlformats.org/officeDocument/2006/relationships/hyperlink" Target="https://www.sec.gov/Archives/edgar/data/866291/000119312520273413/d38154dex1043.htm" TargetMode="External"/><Relationship Id="rId136" Type="http://schemas.openxmlformats.org/officeDocument/2006/relationships/hyperlink" Target="https://www.sec.gov/Archives/edgar/data/866291/000095010325002318/dp225234_ex1001.htm" TargetMode="External"/><Relationship Id="rId137" Type="http://schemas.openxmlformats.org/officeDocument/2006/relationships/hyperlink" Target="https://www.sec.gov/Archives/edgar/data/866291/000095010325002318/dp225234_ex1002.htm" TargetMode="External"/><Relationship Id="rId138" Type="http://schemas.openxmlformats.org/officeDocument/2006/relationships/hyperlink" Target="https://www.sec.gov/Archives/edgar/data/866291/000086629123000006/algm-20221223x10qex106.htm" TargetMode="External"/><Relationship Id="rId139" Type="http://schemas.openxmlformats.org/officeDocument/2006/relationships/hyperlink" Target="https://www.sec.gov/Archives/edgar/data/866291/000095017024109070/algm-ex10_1.htm" TargetMode="External"/><Relationship Id="rId140" Type="http://schemas.openxmlformats.org/officeDocument/2006/relationships/hyperlink" Target="https://www.sec.gov/Archives/edgar/data/866291/000086629123000039/allegro-creditagreementrcf.htm" TargetMode="External"/><Relationship Id="rId141" Type="http://schemas.openxmlformats.org/officeDocument/2006/relationships/hyperlink" Target="https://www.sec.gov/Archives/edgar/data/866291/000086629123000054/algm-2023630x10qex105.htm" TargetMode="External"/><Relationship Id="rId142" Type="http://schemas.openxmlformats.org/officeDocument/2006/relationships/hyperlink" Target="https://www.sec.gov/Archives/edgar/data/866291/000095017023056993/algm-ex10_1.htm" TargetMode="External"/><Relationship Id="rId143" Type="http://schemas.openxmlformats.org/officeDocument/2006/relationships/hyperlink" Target="https://www.sec.gov/Archives/edgar/data/866291/000095010324011823/dp216206_ex1001.htm" TargetMode="External"/><Relationship Id="rId146" Type="http://schemas.openxmlformats.org/officeDocument/2006/relationships/hyperlink" Target="https://www.sec.gov/Archives/edgar/data/866291/000095017025015395/algm-ex10_1.htm" TargetMode="External"/><Relationship Id="rId147" Type="http://schemas.openxmlformats.org/officeDocument/2006/relationships/hyperlink" Target="https://www.sec.gov/Archives/edgar/data/866291/000119312526018091/algm-ex10_1.htm" TargetMode="External"/><Relationship Id="rId148" Type="http://schemas.openxmlformats.org/officeDocument/2006/relationships/hyperlink" Target="https://www.sec.gov/Archives/edgar/data/866291/000095017024063770/algm-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2026-05-21T07:30:14Z</dcterms:created>
  <dcterms:modified xsi:type="dcterms:W3CDTF">2026-05-21T07:30:14Z</dcterms:modified>
</cp:coreProperties>
</file>